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339CA" w:rsidRPr="001A0FAF" w:rsidRDefault="00F339CA" w:rsidP="00F339CA">
      <w:pPr>
        <w:pStyle w:val="Header"/>
        <w:rPr>
          <w:lang w:val="en-GB"/>
        </w:rPr>
      </w:pPr>
      <w:r>
        <w:rPr>
          <w:noProof/>
          <w:lang w:val="en-GB" w:eastAsia="en-GB"/>
        </w:rPr>
        <mc:AlternateContent>
          <mc:Choice Requires="wps">
            <w:drawing>
              <wp:anchor distT="0" distB="0" distL="36195" distR="114300" simplePos="0" relativeHeight="251701760" behindDoc="0" locked="0" layoutInCell="1" allowOverlap="1" wp14:anchorId="52659E05" wp14:editId="1F6C0714">
                <wp:simplePos x="0" y="0"/>
                <wp:positionH relativeFrom="page">
                  <wp:posOffset>3962400</wp:posOffset>
                </wp:positionH>
                <wp:positionV relativeFrom="page">
                  <wp:posOffset>600075</wp:posOffset>
                </wp:positionV>
                <wp:extent cx="3462020" cy="828675"/>
                <wp:effectExtent l="0" t="0" r="0" b="0"/>
                <wp:wrapNone/>
                <wp:docPr id="41" name="Tekstvak 41"/>
                <wp:cNvGraphicFramePr/>
                <a:graphic xmlns:a="http://schemas.openxmlformats.org/drawingml/2006/main">
                  <a:graphicData uri="http://schemas.microsoft.com/office/word/2010/wordprocessingShape">
                    <wps:wsp>
                      <wps:cNvSpPr txBox="1"/>
                      <wps:spPr>
                        <a:xfrm>
                          <a:off x="0" y="0"/>
                          <a:ext cx="3462020" cy="828675"/>
                        </a:xfrm>
                        <a:prstGeom prst="rect">
                          <a:avLst/>
                        </a:prstGeom>
                        <a:noFill/>
                        <a:ln w="6350">
                          <a:noFill/>
                        </a:ln>
                        <a:effectLst/>
                      </wps:spPr>
                      <wps:txbx>
                        <w:txbxContent>
                          <w:p w:rsidR="00967895" w:rsidRPr="001751B4" w:rsidRDefault="00967895" w:rsidP="00F339CA">
                            <w:pPr>
                              <w:pStyle w:val="CoverKoptekst"/>
                              <w:rPr>
                                <w:lang w:val="en-US"/>
                              </w:rPr>
                            </w:pPr>
                            <w:r w:rsidRPr="001751B4">
                              <w:rPr>
                                <w:lang w:val="en-US"/>
                              </w:rPr>
                              <w:t xml:space="preserve">FACULTY OF ECONOMICS </w:t>
                            </w:r>
                            <w:r w:rsidRPr="001751B4">
                              <w:rPr>
                                <w:lang w:val="en-US"/>
                              </w:rPr>
                              <w:br/>
                              <w:t>AND BUSINE</w:t>
                            </w:r>
                            <w:r>
                              <w:rPr>
                                <w:lang w:val="en-US"/>
                              </w:rPr>
                              <w:t>S</w:t>
                            </w:r>
                            <w:r w:rsidRPr="001751B4">
                              <w:rPr>
                                <w:lang w:val="en-US"/>
                              </w:rPr>
                              <w:t>S</w:t>
                            </w:r>
                            <w:r w:rsidRPr="001751B4">
                              <w:rPr>
                                <w:lang w:val="en-US"/>
                              </w:rPr>
                              <w:br/>
                            </w:r>
                            <w:r>
                              <w:rPr>
                                <w:lang w:val="en-US"/>
                              </w:rPr>
                              <w:t>cAMPUS bRUSSELS</w:t>
                            </w:r>
                          </w:p>
                          <w:sdt>
                            <w:sdtPr>
                              <w:alias w:val="NaamFaculteit/Dienst"/>
                              <w:tag w:val="NaamFaculteit/Dienst"/>
                              <w:id w:val="-439843526"/>
                            </w:sdtPr>
                            <w:sdtEndPr/>
                            <w:sdtContent>
                              <w:p w:rsidR="00967895" w:rsidRPr="001751B4" w:rsidRDefault="00967895" w:rsidP="00F339CA">
                                <w:pPr>
                                  <w:pStyle w:val="CoverKoptekst"/>
                                  <w:jc w:val="center"/>
                                  <w:rPr>
                                    <w:lang w:val="en-US"/>
                                  </w:rPr>
                                </w:pPr>
                                <w:r w:rsidRPr="001751B4">
                                  <w:rPr>
                                    <w:lang w:val="en-US"/>
                                  </w:rPr>
                                  <w:br/>
                                  <w:t>campus Brussel</w:t>
                                </w:r>
                              </w:p>
                              <w:p w:rsidR="00967895" w:rsidRPr="001751B4" w:rsidRDefault="00905AC9" w:rsidP="00F339CA">
                                <w:pPr>
                                  <w:pStyle w:val="CoverKoptekst"/>
                                  <w:rPr>
                                    <w:lang w:val="en-US"/>
                                  </w:rPr>
                                </w:pPr>
                              </w:p>
                            </w:sdtContent>
                          </w:sdt>
                          <w:p w:rsidR="00967895" w:rsidRPr="001751B4" w:rsidRDefault="00967895" w:rsidP="00F339CA">
                            <w:pPr>
                              <w:pStyle w:val="CoverKoptekst"/>
                              <w:rPr>
                                <w:lang w:val="en-US"/>
                              </w:rPr>
                            </w:pPr>
                          </w:p>
                        </w:txbxContent>
                      </wps:txbx>
                      <wps:bodyPr rot="0" spcFirstLastPara="0" vertOverflow="overflow" horzOverflow="overflow" vert="horz" wrap="square" lIns="216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659E05" id="Tekstvak 41" o:spid="_x0000_s1028" type="#_x0000_t202" style="position:absolute;left:0;text-align:left;margin-left:312pt;margin-top:47.25pt;width:272.6pt;height:65.25pt;z-index:251701760;visibility:visible;mso-wrap-style:square;mso-width-percent:0;mso-height-percent:0;mso-wrap-distance-left:2.85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" filled="f" stroked="f" strokeweight=".5pt">
                <v:textbox inset="6mm,2mm,6mm,2mm">
                  <w:txbxContent>
                    <w:p w:rsidR="00967895" w:rsidRPr="001751B4" w:rsidRDefault="00967895" w:rsidP="00F339CA">
                      <w:pPr>
                        <w:pStyle w:val="CoverKoptekst"/>
                        <w:rPr>
                          <w:lang w:val="en-US"/>
                        </w:rPr>
                      </w:pPr>
                      <w:r w:rsidRPr="001751B4">
                        <w:rPr>
                          <w:lang w:val="en-US"/>
                        </w:rPr>
                        <w:t xml:space="preserve">FACULTY OF ECONOMICS </w:t>
                      </w:r>
                      <w:r w:rsidRPr="001751B4">
                        <w:rPr>
                          <w:lang w:val="en-US"/>
                        </w:rPr>
                        <w:br/>
                        <w:t>AND BUSINE</w:t>
                      </w:r>
                      <w:r>
                        <w:rPr>
                          <w:lang w:val="en-US"/>
                        </w:rPr>
                        <w:t>S</w:t>
                      </w:r>
                      <w:r w:rsidRPr="001751B4">
                        <w:rPr>
                          <w:lang w:val="en-US"/>
                        </w:rPr>
                        <w:t>S</w:t>
                      </w:r>
                      <w:r w:rsidRPr="001751B4">
                        <w:rPr>
                          <w:lang w:val="en-US"/>
                        </w:rPr>
                        <w:br/>
                      </w:r>
                      <w:r>
                        <w:rPr>
                          <w:lang w:val="en-US"/>
                        </w:rPr>
                        <w:t>cAMPUS bRUSSELS</w:t>
                      </w:r>
                    </w:p>
                    <w:sdt>
                      <w:sdtPr>
                        <w:alias w:val="NaamFaculteit/Dienst"/>
                        <w:tag w:val="NaamFaculteit/Dienst"/>
                        <w:id w:val="-439843526"/>
                      </w:sdtPr>
                      <w:sdtContent>
                        <w:p w:rsidR="00967895" w:rsidRPr="001751B4" w:rsidRDefault="00967895" w:rsidP="00F339CA">
                          <w:pPr>
                            <w:pStyle w:val="CoverKoptekst"/>
                            <w:jc w:val="center"/>
                            <w:rPr>
                              <w:lang w:val="en-US"/>
                            </w:rPr>
                          </w:pPr>
                          <w:r w:rsidRPr="001751B4">
                            <w:rPr>
                              <w:lang w:val="en-US"/>
                            </w:rPr>
                            <w:br/>
                            <w:t>campus Brussel</w:t>
                          </w:r>
                        </w:p>
                        <w:p w:rsidR="00967895" w:rsidRPr="001751B4" w:rsidRDefault="00967895" w:rsidP="00F339CA">
                          <w:pPr>
                            <w:pStyle w:val="CoverKoptekst"/>
                            <w:rPr>
                              <w:lang w:val="en-US"/>
                            </w:rPr>
                          </w:pPr>
                        </w:p>
                      </w:sdtContent>
                    </w:sdt>
                    <w:p w:rsidR="00967895" w:rsidRPr="001751B4" w:rsidRDefault="00967895" w:rsidP="00F339CA">
                      <w:pPr>
                        <w:pStyle w:val="CoverKoptekst"/>
                        <w:rPr>
                          <w:lang w:val="en-US"/>
                        </w:rPr>
                      </w:pPr>
                    </w:p>
                  </w:txbxContent>
                </v:textbox>
                <w10:wrap anchorx="page" anchory="page"/>
              </v:shape>
            </w:pict>
          </mc:Fallback>
        </mc:AlternateContent>
      </w:r>
      <w:r>
        <w:rPr>
          <w:noProof/>
          <w:lang w:val="en-GB" w:eastAsia="en-GB"/>
        </w:rPr>
        <w:drawing>
          <wp:anchor distT="0" distB="0" distL="114300" distR="114300" simplePos="0" relativeHeight="251702784" behindDoc="0" locked="0" layoutInCell="1" allowOverlap="1" wp14:anchorId="0E584BE8" wp14:editId="6C64BB40">
            <wp:simplePos x="0" y="0"/>
            <wp:positionH relativeFrom="column">
              <wp:posOffset>-367030</wp:posOffset>
            </wp:positionH>
            <wp:positionV relativeFrom="paragraph">
              <wp:posOffset>-471805</wp:posOffset>
            </wp:positionV>
            <wp:extent cx="2014728" cy="719328"/>
            <wp:effectExtent l="0" t="0" r="5080" b="508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LEUVEN_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4728" cy="719328"/>
                    </a:xfrm>
                    <a:prstGeom prst="rect">
                      <a:avLst/>
                    </a:prstGeom>
                  </pic:spPr>
                </pic:pic>
              </a:graphicData>
            </a:graphic>
          </wp:anchor>
        </w:drawing>
      </w:r>
      <w:r>
        <w:rPr>
          <w:noProof/>
          <w:lang w:val="en-GB" w:eastAsia="en-GB"/>
        </w:rPr>
        <mc:AlternateContent>
          <mc:Choice Requires="wps">
            <w:drawing>
              <wp:anchor distT="0" distB="0" distL="114300" distR="114300" simplePos="0" relativeHeight="251700736" behindDoc="1" locked="0" layoutInCell="1" allowOverlap="1" wp14:anchorId="6F707A63" wp14:editId="491416A2">
                <wp:simplePos x="0" y="0"/>
                <wp:positionH relativeFrom="page">
                  <wp:posOffset>288290</wp:posOffset>
                </wp:positionH>
                <wp:positionV relativeFrom="page">
                  <wp:posOffset>720090</wp:posOffset>
                </wp:positionV>
                <wp:extent cx="6984000" cy="720000"/>
                <wp:effectExtent l="0" t="0" r="7620" b="4445"/>
                <wp:wrapNone/>
                <wp:docPr id="29" name="Tekstvak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984000" cy="720000"/>
                        </a:xfrm>
                        <a:prstGeom prst="rect">
                          <a:avLst/>
                        </a:prstGeom>
                        <a:solidFill>
                          <a:srgbClr val="1D8DB0"/>
                        </a:solidFill>
                        <a:ln w="6350">
                          <a:noFill/>
                        </a:ln>
                        <a:effectLst/>
                      </wps:spPr>
                      <wps:txbx>
                        <w:txbxContent>
                          <w:p w:rsidR="00967895" w:rsidRPr="00394CF7" w:rsidRDefault="00967895" w:rsidP="00F339CA">
                            <w:pPr>
                              <w:pStyle w:val="CoverKoptekst"/>
                            </w:pPr>
                            <w:r>
                              <w:rPr>
                                <w:noProof/>
                                <w:lang w:val="en-GB" w:eastAsia="en-GB"/>
                              </w:rPr>
                              <w:drawing>
                                <wp:inline distT="0" distB="0" distL="0" distR="0" wp14:anchorId="191FC4D4" wp14:editId="72CEBD7F">
                                  <wp:extent cx="6977380" cy="725409"/>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77380" cy="725409"/>
                                          </a:xfrm>
                                          <a:prstGeom prst="rect">
                                            <a:avLst/>
                                          </a:prstGeom>
                                          <a:noFill/>
                                          <a:ln>
                                            <a:noFill/>
                                          </a:ln>
                                        </pic:spPr>
                                      </pic:pic>
                                    </a:graphicData>
                                  </a:graphic>
                                </wp:inline>
                              </w:drawing>
                            </w:r>
                            <w:r>
                              <w:rPr>
                                <w:noProof/>
                                <w:lang w:val="en-GB" w:eastAsia="en-GB"/>
                              </w:rPr>
                              <w:drawing>
                                <wp:inline distT="0" distB="0" distL="0" distR="0" wp14:anchorId="0048B218" wp14:editId="7FE4E70E">
                                  <wp:extent cx="3469005" cy="72580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9005" cy="72580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707A63" id="_x0000_s1029" type="#_x0000_t202" style="position:absolute;left:0;text-align:left;margin-left:22.7pt;margin-top:56.7pt;width:549.9pt;height:56.7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" fillcolor="#1d8db0" stroked="f" strokeweight=".5pt">
                <v:path arrowok="t"/>
                <o:lock v:ext="edit" aspectratio="t"/>
                <v:textbox inset="0,0,0,0">
                  <w:txbxContent>
                    <w:p w:rsidR="00967895" w:rsidRPr="00394CF7" w:rsidRDefault="00967895" w:rsidP="00F339CA">
                      <w:pPr>
                        <w:pStyle w:val="CoverKoptekst"/>
                      </w:pPr>
                      <w:r>
                        <w:rPr>
                          <w:noProof/>
                          <w:lang w:val="en-GB" w:eastAsia="en-GB"/>
                        </w:rPr>
                        <w:drawing>
                          <wp:inline distT="0" distB="0" distL="0" distR="0" wp14:anchorId="191FC4D4" wp14:editId="72CEBD7F">
                            <wp:extent cx="6977380" cy="725409"/>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77380" cy="725409"/>
                                    </a:xfrm>
                                    <a:prstGeom prst="rect">
                                      <a:avLst/>
                                    </a:prstGeom>
                                    <a:noFill/>
                                    <a:ln>
                                      <a:noFill/>
                                    </a:ln>
                                  </pic:spPr>
                                </pic:pic>
                              </a:graphicData>
                            </a:graphic>
                          </wp:inline>
                        </w:drawing>
                      </w:r>
                      <w:r>
                        <w:rPr>
                          <w:noProof/>
                          <w:lang w:val="en-GB" w:eastAsia="en-GB"/>
                        </w:rPr>
                        <w:drawing>
                          <wp:inline distT="0" distB="0" distL="0" distR="0" wp14:anchorId="0048B218" wp14:editId="7FE4E70E">
                            <wp:extent cx="3469005" cy="72580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9005" cy="725805"/>
                                    </a:xfrm>
                                    <a:prstGeom prst="rect">
                                      <a:avLst/>
                                    </a:prstGeom>
                                    <a:noFill/>
                                    <a:ln>
                                      <a:noFill/>
                                    </a:ln>
                                  </pic:spPr>
                                </pic:pic>
                              </a:graphicData>
                            </a:graphic>
                          </wp:inline>
                        </w:drawing>
                      </w:r>
                    </w:p>
                  </w:txbxContent>
                </v:textbox>
                <w10:wrap anchorx="page" anchory="page"/>
              </v:shape>
            </w:pict>
          </mc:Fallback>
        </mc:AlternateContent>
      </w:r>
    </w:p>
    <w:p w:rsidR="00F339CA" w:rsidRPr="001A0FAF" w:rsidRDefault="00F339CA" w:rsidP="00F339CA">
      <w:pPr>
        <w:rPr>
          <w:lang w:val="en-GB"/>
        </w:rPr>
      </w:pPr>
      <w:r>
        <w:rPr>
          <w:noProof/>
          <w:lang w:val="en-GB" w:eastAsia="en-GB"/>
        </w:rPr>
        <mc:AlternateContent>
          <mc:Choice Requires="wps">
            <w:drawing>
              <wp:anchor distT="0" distB="0" distL="36195" distR="114300" simplePos="0" relativeHeight="251699712" behindDoc="0" locked="0" layoutInCell="1" allowOverlap="1" wp14:anchorId="22B529A2" wp14:editId="1B0AEB18">
                <wp:simplePos x="0" y="0"/>
                <wp:positionH relativeFrom="margin">
                  <wp:posOffset>3068955</wp:posOffset>
                </wp:positionH>
                <wp:positionV relativeFrom="page">
                  <wp:posOffset>1772920</wp:posOffset>
                </wp:positionV>
                <wp:extent cx="3240000" cy="504000"/>
                <wp:effectExtent l="0" t="0" r="0" b="10795"/>
                <wp:wrapNone/>
                <wp:docPr id="37" name="Tekstvak 37"/>
                <wp:cNvGraphicFramePr/>
                <a:graphic xmlns:a="http://schemas.openxmlformats.org/drawingml/2006/main">
                  <a:graphicData uri="http://schemas.microsoft.com/office/word/2010/wordprocessingShape">
                    <wps:wsp>
                      <wps:cNvSpPr txBox="1"/>
                      <wps:spPr>
                        <a:xfrm>
                          <a:off x="0" y="0"/>
                          <a:ext cx="3240000" cy="504000"/>
                        </a:xfrm>
                        <a:prstGeom prst="rect">
                          <a:avLst/>
                        </a:prstGeom>
                        <a:noFill/>
                        <a:ln w="6350">
                          <a:noFill/>
                        </a:ln>
                        <a:effectLst/>
                      </wps:spPr>
                      <wps:txbx>
                        <w:txbxContent>
                          <w:sdt>
                            <w:sdtPr>
                              <w:alias w:val="Subtekst"/>
                              <w:tag w:val="Subtekst"/>
                              <w:id w:val="2048411196"/>
                            </w:sdtPr>
                            <w:sdtEndPr/>
                            <w:sdtContent>
                              <w:p w:rsidR="00967895" w:rsidRPr="00C93379" w:rsidRDefault="00967895" w:rsidP="00F339CA">
                                <w:pPr>
                                  <w:pStyle w:val="CoverSubtekst"/>
                                </w:pPr>
                                <w:r>
                                  <w:t>Internally</w:t>
                                </w:r>
                                <w:r w:rsidRPr="00805AE7">
                                  <w:t xml:space="preserve"> </w:t>
                                </w:r>
                                <w:r>
                                  <w:t>Organised M</w:t>
                                </w:r>
                                <w:r w:rsidRPr="00805AE7">
                                  <w:t>aster</w:t>
                                </w:r>
                                <w:r>
                                  <w:t xml:space="preserve">’s Thesis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B529A2" id="Tekstvak 37" o:spid="_x0000_s1030" type="#_x0000_t202" style="position:absolute;margin-left:241.65pt;margin-top:139.6pt;width:255.1pt;height:39.7pt;z-index:251699712;visibility:visible;mso-wrap-style:square;mso-width-percent:0;mso-height-percent:0;mso-wrap-distance-left:2.85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" filled="f" stroked="f" strokeweight=".5pt">
                <v:textbox inset="0,0,0,0">
                  <w:txbxContent>
                    <w:sdt>
                      <w:sdtPr>
                        <w:alias w:val="Subtekst"/>
                        <w:tag w:val="Subtekst"/>
                        <w:id w:val="2048411196"/>
                      </w:sdtPr>
                      <w:sdtContent>
                        <w:p w:rsidR="00967895" w:rsidRPr="00C93379" w:rsidRDefault="00967895" w:rsidP="00F339CA">
                          <w:pPr>
                            <w:pStyle w:val="CoverSubtekst"/>
                          </w:pPr>
                          <w:r>
                            <w:t>Internally</w:t>
                          </w:r>
                          <w:r w:rsidRPr="00805AE7">
                            <w:t xml:space="preserve"> </w:t>
                          </w:r>
                          <w:r>
                            <w:t>Organised M</w:t>
                          </w:r>
                          <w:r w:rsidRPr="00805AE7">
                            <w:t>aster</w:t>
                          </w:r>
                          <w:r>
                            <w:t xml:space="preserve">’s Thesis </w:t>
                          </w:r>
                        </w:p>
                      </w:sdtContent>
                    </w:sdt>
                  </w:txbxContent>
                </v:textbox>
                <w10:wrap anchorx="margin" anchory="page"/>
              </v:shape>
            </w:pict>
          </mc:Fallback>
        </mc:AlternateContent>
      </w:r>
    </w:p>
    <w:p w:rsidR="00F339CA" w:rsidRPr="001A0FAF" w:rsidRDefault="00F339CA" w:rsidP="00F339CA">
      <w:pPr>
        <w:rPr>
          <w:lang w:val="en-GB"/>
        </w:rPr>
      </w:pPr>
    </w:p>
    <w:p w:rsidR="00F339CA" w:rsidRPr="001A0FAF" w:rsidRDefault="00F339CA" w:rsidP="00F339CA">
      <w:pPr>
        <w:rPr>
          <w:lang w:val="en-GB"/>
        </w:rPr>
      </w:pPr>
    </w:p>
    <w:p w:rsidR="00F339CA" w:rsidRPr="001A0FAF" w:rsidRDefault="00F339CA" w:rsidP="00F339CA">
      <w:pPr>
        <w:rPr>
          <w:lang w:val="en-GB"/>
        </w:rPr>
      </w:pPr>
    </w:p>
    <w:p w:rsidR="00F339CA" w:rsidRPr="001A0FAF" w:rsidRDefault="00F339CA" w:rsidP="00F339CA">
      <w:pPr>
        <w:rPr>
          <w:lang w:val="en-GB"/>
        </w:rPr>
      </w:pPr>
    </w:p>
    <w:p w:rsidR="00F339CA" w:rsidRPr="001A0FAF" w:rsidRDefault="00F339CA" w:rsidP="00F339CA">
      <w:pPr>
        <w:rPr>
          <w:lang w:val="en-GB"/>
        </w:rPr>
      </w:pPr>
    </w:p>
    <w:p w:rsidR="00F339CA" w:rsidRPr="001A0FAF" w:rsidRDefault="00F339CA" w:rsidP="00F339CA">
      <w:pPr>
        <w:rPr>
          <w:lang w:val="en-GB"/>
        </w:rPr>
      </w:pPr>
    </w:p>
    <w:sdt>
      <w:sdtPr>
        <w:id w:val="-1510665965"/>
        <w:placeholder>
          <w:docPart w:val="04654F24519344AFBE9D353928FE1D6B"/>
        </w:placeholder>
      </w:sdtPr>
      <w:sdtEndPr/>
      <w:sdtContent>
        <w:p w:rsidR="00F339CA" w:rsidRPr="002A6908" w:rsidRDefault="00F339CA" w:rsidP="00F339CA">
          <w:pPr>
            <w:pStyle w:val="CoverTitel"/>
            <w:rPr>
              <w:color w:val="auto"/>
              <w:sz w:val="20"/>
              <w:szCs w:val="20"/>
              <w:lang w:val="en-US"/>
            </w:rPr>
          </w:pPr>
          <w:r>
            <w:rPr>
              <w:lang w:val="en-US"/>
            </w:rPr>
            <w:t xml:space="preserve">Development of a Capability Maturity Model for Big Data Governance </w:t>
          </w:r>
        </w:p>
      </w:sdtContent>
    </w:sdt>
    <w:p w:rsidR="00F339CA" w:rsidRPr="002A6908" w:rsidRDefault="00F339CA" w:rsidP="00F339CA">
      <w:pPr>
        <w:rPr>
          <w:rFonts w:ascii="Arial" w:hAnsi="Arial" w:cs="Arial"/>
          <w:lang w:val="en-US"/>
        </w:rPr>
      </w:pPr>
    </w:p>
    <w:p w:rsidR="00F339CA" w:rsidRPr="00015B16" w:rsidRDefault="00905AC9" w:rsidP="00F339CA">
      <w:pPr>
        <w:rPr>
          <w:rFonts w:ascii="Arial" w:hAnsi="Arial" w:cs="Arial"/>
          <w:lang w:val="en-US"/>
        </w:rPr>
      </w:pPr>
      <w:sdt>
        <w:sdtPr>
          <w:rPr>
            <w:rFonts w:ascii="Arial" w:hAnsi="Arial" w:cs="Arial"/>
            <w:lang w:val="en-US"/>
          </w:rPr>
          <w:alias w:val="Subtitel"/>
          <w:tag w:val="Subtitel cover"/>
          <w:id w:val="5634305"/>
          <w:placeholder>
            <w:docPart w:val="936A112A6A8A4C5A88030333037E6A09"/>
          </w:placeholder>
          <w:text/>
        </w:sdtPr>
        <w:sdtEndPr/>
        <w:sdtContent>
          <w:r w:rsidR="00F339CA">
            <w:rPr>
              <w:rFonts w:ascii="Arial" w:hAnsi="Arial" w:cs="Arial"/>
              <w:lang w:val="en-US"/>
            </w:rPr>
            <w:t xml:space="preserve">Evaluation in the Belgian Financial Sector </w:t>
          </w:r>
        </w:sdtContent>
      </w:sdt>
    </w:p>
    <w:p w:rsidR="00F339CA" w:rsidRPr="00015B16" w:rsidRDefault="00F339CA" w:rsidP="00F339CA">
      <w:pPr>
        <w:rPr>
          <w:rFonts w:ascii="Arial" w:hAnsi="Arial" w:cs="Arial"/>
          <w:lang w:val="en-US"/>
        </w:rPr>
      </w:pPr>
    </w:p>
    <w:p w:rsidR="00F339CA" w:rsidRPr="00015B16" w:rsidRDefault="00F339CA" w:rsidP="00F339CA">
      <w:pPr>
        <w:rPr>
          <w:rFonts w:ascii="Arial" w:hAnsi="Arial" w:cs="Arial"/>
          <w:lang w:val="en-US"/>
        </w:rPr>
      </w:pPr>
    </w:p>
    <w:p w:rsidR="00F339CA" w:rsidRPr="00015B16" w:rsidRDefault="00F339CA" w:rsidP="00F339CA">
      <w:pPr>
        <w:rPr>
          <w:rFonts w:ascii="Arial" w:hAnsi="Arial" w:cs="Arial"/>
          <w:lang w:val="en-US"/>
        </w:rPr>
      </w:pPr>
    </w:p>
    <w:sdt>
      <w:sdtPr>
        <w:alias w:val="Auteur"/>
        <w:tag w:val="Auteur"/>
        <w:id w:val="429555224"/>
      </w:sdtPr>
      <w:sdtEndPr/>
      <w:sdtContent>
        <w:p w:rsidR="00F339CA" w:rsidRPr="002A6908" w:rsidRDefault="00F339CA" w:rsidP="00F339CA">
          <w:pPr>
            <w:pStyle w:val="CoverAuteur"/>
            <w:rPr>
              <w:rFonts w:eastAsiaTheme="minorEastAsia" w:cstheme="minorBidi"/>
              <w:b w:val="0"/>
              <w:bCs w:val="0"/>
              <w:sz w:val="20"/>
              <w:szCs w:val="20"/>
              <w:lang w:val="en-US" w:eastAsia="nl-BE"/>
            </w:rPr>
          </w:pPr>
          <w:r>
            <w:rPr>
              <w:lang w:val="en-US"/>
            </w:rPr>
            <w:t>Andra-Raluca MERTILOS</w:t>
          </w:r>
        </w:p>
      </w:sdtContent>
    </w:sdt>
    <w:p w:rsidR="00F339CA" w:rsidRPr="002A6908" w:rsidRDefault="00F339CA" w:rsidP="00F339CA">
      <w:pPr>
        <w:jc w:val="right"/>
        <w:rPr>
          <w:lang w:val="en-US"/>
        </w:rPr>
      </w:pPr>
    </w:p>
    <w:sdt>
      <w:sdtPr>
        <w:rPr>
          <w:rFonts w:ascii="Arial" w:hAnsi="Arial" w:cs="Arial"/>
          <w:sz w:val="24"/>
          <w:szCs w:val="24"/>
        </w:rPr>
        <w:alias w:val="Subtekst"/>
        <w:tag w:val="Subtekst"/>
        <w:id w:val="1701512538"/>
      </w:sdtPr>
      <w:sdtEndPr/>
      <w:sdtContent>
        <w:p w:rsidR="00F339CA" w:rsidRPr="002A6908" w:rsidRDefault="00F339CA" w:rsidP="00F339CA">
          <w:pPr>
            <w:jc w:val="right"/>
            <w:rPr>
              <w:rFonts w:ascii="Arial" w:hAnsi="Arial" w:cs="Arial"/>
              <w:sz w:val="24"/>
              <w:szCs w:val="24"/>
              <w:lang w:val="en-US"/>
            </w:rPr>
          </w:pPr>
          <w:r w:rsidRPr="002A6908">
            <w:rPr>
              <w:rFonts w:ascii="Arial" w:hAnsi="Arial" w:cs="Arial"/>
              <w:sz w:val="24"/>
              <w:szCs w:val="24"/>
              <w:lang w:val="en-US"/>
            </w:rPr>
            <w:t>Master</w:t>
          </w:r>
          <w:r>
            <w:rPr>
              <w:rFonts w:ascii="Arial" w:hAnsi="Arial" w:cs="Arial"/>
              <w:sz w:val="24"/>
              <w:szCs w:val="24"/>
              <w:lang w:val="en-US"/>
            </w:rPr>
            <w:t>’s Thesis S</w:t>
          </w:r>
          <w:r w:rsidRPr="002A6908">
            <w:rPr>
              <w:rFonts w:ascii="Arial" w:hAnsi="Arial" w:cs="Arial"/>
              <w:sz w:val="24"/>
              <w:szCs w:val="24"/>
              <w:lang w:val="en-US"/>
            </w:rPr>
            <w:t>ubmitted for the Degree of</w:t>
          </w:r>
          <w:r>
            <w:rPr>
              <w:rFonts w:ascii="Arial" w:hAnsi="Arial" w:cs="Arial"/>
              <w:sz w:val="24"/>
              <w:szCs w:val="24"/>
              <w:lang w:val="en-US"/>
            </w:rPr>
            <w:t xml:space="preserve"> </w:t>
          </w:r>
          <w:r>
            <w:rPr>
              <w:rFonts w:ascii="Arial" w:hAnsi="Arial" w:cs="Arial"/>
              <w:sz w:val="24"/>
              <w:szCs w:val="24"/>
              <w:lang w:val="en-US"/>
            </w:rPr>
            <w:br/>
          </w:r>
          <w:r w:rsidRPr="002A6908">
            <w:rPr>
              <w:rFonts w:ascii="Arial" w:hAnsi="Arial" w:cs="Arial"/>
              <w:sz w:val="24"/>
              <w:szCs w:val="24"/>
              <w:lang w:val="en-US"/>
            </w:rPr>
            <w:t xml:space="preserve">Master in Business Administration </w:t>
          </w:r>
          <w:r w:rsidRPr="002A6908">
            <w:rPr>
              <w:rFonts w:ascii="Arial" w:hAnsi="Arial" w:cs="Arial"/>
              <w:sz w:val="24"/>
              <w:szCs w:val="24"/>
              <w:lang w:val="en-US"/>
            </w:rPr>
            <w:br/>
          </w:r>
          <w:r>
            <w:rPr>
              <w:rFonts w:ascii="Arial" w:hAnsi="Arial" w:cs="Arial"/>
              <w:sz w:val="24"/>
              <w:szCs w:val="24"/>
              <w:lang w:val="en-US"/>
            </w:rPr>
            <w:t>Graduation Subject:</w:t>
          </w:r>
          <w:r w:rsidRPr="002A6908">
            <w:rPr>
              <w:rFonts w:ascii="Arial" w:hAnsi="Arial" w:cs="Arial"/>
              <w:sz w:val="24"/>
              <w:szCs w:val="24"/>
              <w:lang w:val="en-US"/>
            </w:rPr>
            <w:t xml:space="preserve"> </w:t>
          </w:r>
          <w:r>
            <w:rPr>
              <w:rFonts w:ascii="Arial" w:hAnsi="Arial" w:cs="Arial"/>
              <w:sz w:val="24"/>
              <w:szCs w:val="24"/>
              <w:lang w:val="en-US"/>
            </w:rPr>
            <w:t>Business Information Management</w:t>
          </w:r>
        </w:p>
      </w:sdtContent>
    </w:sdt>
    <w:p w:rsidR="00F339CA" w:rsidRPr="002A6908" w:rsidRDefault="00F339CA" w:rsidP="00F339CA">
      <w:pPr>
        <w:jc w:val="right"/>
        <w:rPr>
          <w:rFonts w:ascii="Arial" w:hAnsi="Arial" w:cs="Arial"/>
          <w:sz w:val="24"/>
          <w:szCs w:val="24"/>
          <w:lang w:val="en-US"/>
        </w:rPr>
      </w:pPr>
      <w:r w:rsidRPr="002A6908">
        <w:rPr>
          <w:rFonts w:ascii="Arial" w:hAnsi="Arial" w:cs="Arial"/>
          <w:sz w:val="24"/>
          <w:szCs w:val="24"/>
          <w:lang w:val="en-US"/>
        </w:rPr>
        <w:t xml:space="preserve">Supervisor: </w:t>
      </w:r>
      <w:r>
        <w:rPr>
          <w:rFonts w:ascii="Arial" w:hAnsi="Arial" w:cs="Arial"/>
          <w:sz w:val="24"/>
          <w:szCs w:val="24"/>
          <w:lang w:val="en-US"/>
        </w:rPr>
        <w:t>Yves</w:t>
      </w:r>
      <w:r w:rsidRPr="002A6908">
        <w:rPr>
          <w:rFonts w:ascii="Arial" w:hAnsi="Arial" w:cs="Arial"/>
          <w:sz w:val="24"/>
          <w:szCs w:val="24"/>
          <w:lang w:val="en-US"/>
        </w:rPr>
        <w:t xml:space="preserve"> </w:t>
      </w:r>
      <w:r>
        <w:rPr>
          <w:rFonts w:ascii="Arial" w:hAnsi="Arial" w:cs="Arial"/>
          <w:sz w:val="24"/>
          <w:szCs w:val="24"/>
          <w:lang w:val="en-US"/>
        </w:rPr>
        <w:t>WAUTELET</w:t>
      </w:r>
    </w:p>
    <w:p w:rsidR="00F339CA" w:rsidRPr="00687A52" w:rsidRDefault="00F339CA" w:rsidP="00F339CA">
      <w:pPr>
        <w:jc w:val="right"/>
        <w:rPr>
          <w:rFonts w:ascii="Arial" w:hAnsi="Arial" w:cs="Arial"/>
          <w:sz w:val="24"/>
          <w:szCs w:val="24"/>
          <w:lang w:val="en-US"/>
        </w:rPr>
      </w:pPr>
      <w:r w:rsidRPr="00687A52">
        <w:rPr>
          <w:rFonts w:ascii="Arial" w:hAnsi="Arial" w:cs="Arial"/>
          <w:sz w:val="24"/>
          <w:szCs w:val="24"/>
          <w:lang w:val="en-US"/>
        </w:rPr>
        <w:t>Academic Year: 201</w:t>
      </w:r>
      <w:r>
        <w:rPr>
          <w:rFonts w:ascii="Arial" w:hAnsi="Arial" w:cs="Arial"/>
          <w:sz w:val="24"/>
          <w:szCs w:val="24"/>
          <w:lang w:val="en-US"/>
        </w:rPr>
        <w:t>4–2015</w:t>
      </w:r>
    </w:p>
    <w:p w:rsidR="00F339CA" w:rsidRPr="00687A52" w:rsidRDefault="00F339CA" w:rsidP="00F339CA">
      <w:pPr>
        <w:spacing w:after="600"/>
        <w:jc w:val="right"/>
        <w:rPr>
          <w:rFonts w:ascii="Arial" w:hAnsi="Arial" w:cs="Arial"/>
          <w:sz w:val="24"/>
          <w:szCs w:val="24"/>
          <w:lang w:val="en-US"/>
        </w:rPr>
      </w:pPr>
      <w:r w:rsidRPr="00687A52">
        <w:rPr>
          <w:rFonts w:ascii="Arial" w:hAnsi="Arial" w:cs="Arial"/>
          <w:sz w:val="24"/>
          <w:szCs w:val="24"/>
          <w:lang w:val="en-US"/>
        </w:rPr>
        <w:t xml:space="preserve">Defended in: </w:t>
      </w:r>
      <w:r w:rsidR="001C4701">
        <w:rPr>
          <w:rFonts w:ascii="Arial" w:hAnsi="Arial" w:cs="Arial"/>
          <w:sz w:val="24"/>
          <w:szCs w:val="24"/>
          <w:lang w:val="en-US"/>
        </w:rPr>
        <w:t>June</w:t>
      </w:r>
      <w:r w:rsidR="001C4701" w:rsidRPr="00687A52">
        <w:rPr>
          <w:rFonts w:ascii="Arial" w:hAnsi="Arial" w:cs="Arial"/>
          <w:sz w:val="24"/>
          <w:szCs w:val="24"/>
          <w:lang w:val="en-US"/>
        </w:rPr>
        <w:t xml:space="preserve"> 2015</w:t>
      </w:r>
    </w:p>
    <w:p w:rsidR="00F339CA" w:rsidRPr="00687A52" w:rsidRDefault="00F339CA" w:rsidP="00F339CA">
      <w:pPr>
        <w:rPr>
          <w:rFonts w:ascii="Arial" w:hAnsi="Arial" w:cs="Arial"/>
          <w:sz w:val="24"/>
          <w:szCs w:val="24"/>
          <w:lang w:val="en-US"/>
        </w:rPr>
      </w:pPr>
    </w:p>
    <w:p w:rsidR="00F339CA" w:rsidRDefault="00F339CA" w:rsidP="00F339CA">
      <w:pPr>
        <w:jc w:val="center"/>
        <w:rPr>
          <w:rFonts w:ascii="Arial" w:hAnsi="Arial" w:cs="Arial"/>
          <w:b/>
          <w:caps/>
          <w:sz w:val="14"/>
          <w:szCs w:val="20"/>
          <w:lang w:val="en-US"/>
        </w:rPr>
        <w:sectPr w:rsidR="00F339CA" w:rsidSect="004375EB">
          <w:footerReference w:type="default" r:id="rId14"/>
          <w:pgSz w:w="11906" w:h="16838"/>
          <w:pgMar w:top="1418" w:right="1021" w:bottom="993" w:left="1418" w:header="709" w:footer="709" w:gutter="0"/>
          <w:pgNumType w:fmt="lowerRoman" w:start="1"/>
          <w:cols w:space="708"/>
          <w:docGrid w:linePitch="360"/>
        </w:sectPr>
      </w:pPr>
      <w:r w:rsidRPr="0048442D">
        <w:rPr>
          <w:rFonts w:ascii="Arial" w:hAnsi="Arial" w:cs="Arial"/>
          <w:b/>
          <w:caps/>
          <w:sz w:val="14"/>
          <w:szCs w:val="20"/>
          <w:lang w:val="en-US"/>
        </w:rPr>
        <w:t>Faculty of Economi</w:t>
      </w:r>
      <w:r>
        <w:rPr>
          <w:rFonts w:ascii="Arial" w:hAnsi="Arial" w:cs="Arial"/>
          <w:b/>
          <w:caps/>
          <w:sz w:val="14"/>
          <w:szCs w:val="20"/>
          <w:lang w:val="en-US"/>
        </w:rPr>
        <w:t xml:space="preserve">CS and </w:t>
      </w:r>
      <w:r w:rsidRPr="0048442D">
        <w:rPr>
          <w:rFonts w:ascii="Arial" w:hAnsi="Arial" w:cs="Arial"/>
          <w:b/>
          <w:caps/>
          <w:sz w:val="14"/>
          <w:szCs w:val="20"/>
          <w:lang w:val="en-US"/>
        </w:rPr>
        <w:t>business</w:t>
      </w:r>
      <w:r>
        <w:rPr>
          <w:rFonts w:ascii="Arial" w:hAnsi="Arial" w:cs="Arial"/>
          <w:b/>
          <w:caps/>
          <w:sz w:val="14"/>
          <w:szCs w:val="20"/>
          <w:lang w:val="en-US"/>
        </w:rPr>
        <w:t xml:space="preserve"> - </w:t>
      </w:r>
      <w:r w:rsidRPr="0048442D">
        <w:rPr>
          <w:rFonts w:ascii="Arial" w:hAnsi="Arial" w:cs="Arial"/>
          <w:b/>
          <w:caps/>
          <w:sz w:val="14"/>
          <w:szCs w:val="20"/>
          <w:lang w:val="en-US"/>
        </w:rPr>
        <w:t>campus</w:t>
      </w:r>
      <w:r>
        <w:rPr>
          <w:rFonts w:ascii="Arial" w:hAnsi="Arial" w:cs="Arial"/>
          <w:b/>
          <w:caps/>
          <w:sz w:val="14"/>
          <w:szCs w:val="20"/>
          <w:lang w:val="en-US"/>
        </w:rPr>
        <w:t xml:space="preserve"> brusseLS</w:t>
      </w:r>
      <w:r w:rsidRPr="0048442D">
        <w:rPr>
          <w:rFonts w:ascii="Arial" w:hAnsi="Arial" w:cs="Arial"/>
          <w:b/>
          <w:caps/>
          <w:sz w:val="14"/>
          <w:szCs w:val="20"/>
          <w:lang w:val="en-US"/>
        </w:rPr>
        <w:br/>
        <w:t xml:space="preserve">warmoesberg 26 </w:t>
      </w:r>
      <w:r>
        <w:rPr>
          <w:rFonts w:ascii="Arial" w:hAnsi="Arial" w:cs="Arial"/>
          <w:b/>
          <w:caps/>
          <w:sz w:val="14"/>
          <w:szCs w:val="20"/>
          <w:lang w:val="en-US"/>
        </w:rPr>
        <w:t xml:space="preserve">– B </w:t>
      </w:r>
      <w:r w:rsidRPr="0048442D">
        <w:rPr>
          <w:rFonts w:ascii="Arial" w:hAnsi="Arial" w:cs="Arial"/>
          <w:b/>
          <w:caps/>
          <w:sz w:val="14"/>
          <w:szCs w:val="20"/>
          <w:lang w:val="en-US"/>
        </w:rPr>
        <w:t>1000 brussELs BelgiUM</w:t>
      </w:r>
    </w:p>
    <w:sdt>
      <w:sdtPr>
        <w:rPr>
          <w:rFonts w:ascii="Verdana" w:eastAsiaTheme="minorHAnsi" w:hAnsi="Verdana" w:cs="Times New Roman"/>
          <w:b w:val="0"/>
          <w:bCs w:val="0"/>
          <w:color w:val="auto"/>
          <w:sz w:val="20"/>
          <w:szCs w:val="20"/>
          <w:lang w:val="nl-BE" w:eastAsia="en-US"/>
        </w:rPr>
        <w:id w:val="-1001129287"/>
        <w:docPartObj>
          <w:docPartGallery w:val="Table of Contents"/>
          <w:docPartUnique/>
        </w:docPartObj>
      </w:sdtPr>
      <w:sdtEndPr>
        <w:rPr>
          <w:noProof/>
        </w:rPr>
      </w:sdtEndPr>
      <w:sdtContent>
        <w:p w:rsidR="008B5812" w:rsidRPr="00DE32A9" w:rsidRDefault="008B5812" w:rsidP="008B5812">
          <w:pPr>
            <w:pStyle w:val="TOCHeading"/>
            <w:spacing w:line="360" w:lineRule="auto"/>
            <w:jc w:val="both"/>
            <w:rPr>
              <w:rStyle w:val="Heading1Char"/>
              <w:rFonts w:ascii="Verdana" w:hAnsi="Verdana"/>
              <w:b/>
              <w:sz w:val="20"/>
              <w:szCs w:val="20"/>
            </w:rPr>
          </w:pPr>
          <w:r w:rsidRPr="00DE32A9">
            <w:rPr>
              <w:rStyle w:val="Heading1Char"/>
              <w:rFonts w:ascii="Verdana" w:hAnsi="Verdana"/>
              <w:b/>
              <w:sz w:val="20"/>
              <w:szCs w:val="20"/>
            </w:rPr>
            <w:t>Table of contents</w:t>
          </w:r>
        </w:p>
        <w:p w:rsidR="006D18E7" w:rsidRPr="006D18E7" w:rsidRDefault="008B5812">
          <w:pPr>
            <w:pStyle w:val="TOC1"/>
            <w:tabs>
              <w:tab w:val="right" w:leader="dot" w:pos="9457"/>
            </w:tabs>
            <w:rPr>
              <w:rFonts w:eastAsiaTheme="minorEastAsia"/>
              <w:noProof/>
              <w:sz w:val="20"/>
              <w:szCs w:val="20"/>
              <w:lang w:val="en-GB" w:eastAsia="en-GB"/>
            </w:rPr>
          </w:pPr>
          <w:r w:rsidRPr="006D18E7">
            <w:rPr>
              <w:rFonts w:ascii="Verdana" w:hAnsi="Verdana" w:cs="Times New Roman"/>
              <w:sz w:val="20"/>
              <w:szCs w:val="20"/>
            </w:rPr>
            <w:fldChar w:fldCharType="begin"/>
          </w:r>
          <w:r w:rsidRPr="006D18E7">
            <w:rPr>
              <w:rFonts w:ascii="Verdana" w:hAnsi="Verdana" w:cs="Times New Roman"/>
              <w:sz w:val="20"/>
              <w:szCs w:val="20"/>
            </w:rPr>
            <w:instrText xml:space="preserve"> TOC \o "1-3" \h \z \u </w:instrText>
          </w:r>
          <w:r w:rsidRPr="006D18E7">
            <w:rPr>
              <w:rFonts w:ascii="Verdana" w:hAnsi="Verdana" w:cs="Times New Roman"/>
              <w:sz w:val="20"/>
              <w:szCs w:val="20"/>
            </w:rPr>
            <w:fldChar w:fldCharType="separate"/>
          </w:r>
          <w:hyperlink w:anchor="_Toc423597478" w:history="1">
            <w:r w:rsidR="006D18E7" w:rsidRPr="006D18E7">
              <w:rPr>
                <w:rStyle w:val="Hyperlink"/>
                <w:rFonts w:ascii="Verdana" w:hAnsi="Verdana"/>
                <w:noProof/>
                <w:sz w:val="20"/>
                <w:szCs w:val="20"/>
              </w:rPr>
              <w:t>List of figures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_Toc423597478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v</w:t>
            </w:r>
            <w:r w:rsidR="006D18E7" w:rsidRPr="006D18E7">
              <w:rPr>
                <w:noProof/>
                <w:webHidden/>
                <w:sz w:val="20"/>
                <w:szCs w:val="20"/>
              </w:rPr>
              <w:fldChar w:fldCharType="end"/>
            </w:r>
          </w:hyperlink>
        </w:p>
        <w:p w:rsidR="006D18E7" w:rsidRPr="006D18E7" w:rsidRDefault="00905AC9">
          <w:pPr>
            <w:pStyle w:val="TOC1"/>
            <w:tabs>
              <w:tab w:val="right" w:leader="dot" w:pos="9457"/>
            </w:tabs>
            <w:rPr>
              <w:rFonts w:eastAsiaTheme="minorEastAsia"/>
              <w:noProof/>
              <w:sz w:val="20"/>
              <w:szCs w:val="20"/>
              <w:lang w:val="en-GB" w:eastAsia="en-GB"/>
            </w:rPr>
          </w:pPr>
          <w:hyperlink w:anchor="_Toc423597479" w:history="1">
            <w:r w:rsidR="006D18E7" w:rsidRPr="006D18E7">
              <w:rPr>
                <w:rStyle w:val="Hyperlink"/>
                <w:rFonts w:ascii="Verdana" w:hAnsi="Verdana"/>
                <w:noProof/>
                <w:sz w:val="20"/>
                <w:szCs w:val="20"/>
              </w:rPr>
              <w:t>List of tables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_Toc423597479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v</w:t>
            </w:r>
            <w:r w:rsidR="006D18E7" w:rsidRPr="006D18E7">
              <w:rPr>
                <w:noProof/>
                <w:webHidden/>
                <w:sz w:val="20"/>
                <w:szCs w:val="20"/>
              </w:rPr>
              <w:fldChar w:fldCharType="end"/>
            </w:r>
          </w:hyperlink>
        </w:p>
        <w:p w:rsidR="006D18E7" w:rsidRPr="006D18E7" w:rsidRDefault="00905AC9">
          <w:pPr>
            <w:pStyle w:val="TOC1"/>
            <w:tabs>
              <w:tab w:val="right" w:leader="dot" w:pos="9457"/>
            </w:tabs>
            <w:rPr>
              <w:rFonts w:eastAsiaTheme="minorEastAsia"/>
              <w:noProof/>
              <w:sz w:val="20"/>
              <w:szCs w:val="20"/>
              <w:lang w:val="en-GB" w:eastAsia="en-GB"/>
            </w:rPr>
          </w:pPr>
          <w:hyperlink w:anchor="_Toc423597480" w:history="1">
            <w:r w:rsidR="006D18E7" w:rsidRPr="006D18E7">
              <w:rPr>
                <w:rStyle w:val="Hyperlink"/>
                <w:rFonts w:ascii="Verdana" w:hAnsi="Verdana"/>
                <w:noProof/>
                <w:sz w:val="20"/>
                <w:szCs w:val="20"/>
              </w:rPr>
              <w:t>List of appendices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_Toc423597480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vi</w:t>
            </w:r>
            <w:r w:rsidR="006D18E7" w:rsidRPr="006D18E7">
              <w:rPr>
                <w:noProof/>
                <w:webHidden/>
                <w:sz w:val="20"/>
                <w:szCs w:val="20"/>
              </w:rPr>
              <w:fldChar w:fldCharType="end"/>
            </w:r>
          </w:hyperlink>
        </w:p>
        <w:p w:rsidR="006D18E7" w:rsidRPr="006D18E7" w:rsidRDefault="00905AC9">
          <w:pPr>
            <w:pStyle w:val="TOC1"/>
            <w:tabs>
              <w:tab w:val="right" w:leader="dot" w:pos="9457"/>
            </w:tabs>
            <w:rPr>
              <w:rFonts w:eastAsiaTheme="minorEastAsia"/>
              <w:noProof/>
              <w:sz w:val="20"/>
              <w:szCs w:val="20"/>
              <w:lang w:val="en-GB" w:eastAsia="en-GB"/>
            </w:rPr>
          </w:pPr>
          <w:hyperlink w:anchor="_Toc423597481" w:history="1">
            <w:r w:rsidR="006D18E7" w:rsidRPr="006D18E7">
              <w:rPr>
                <w:rStyle w:val="Hyperlink"/>
                <w:rFonts w:ascii="Verdana" w:hAnsi="Verdana"/>
                <w:noProof/>
                <w:sz w:val="20"/>
                <w:szCs w:val="20"/>
              </w:rPr>
              <w:t>List of abbreviations used</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_Toc423597481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vii</w:t>
            </w:r>
            <w:r w:rsidR="006D18E7" w:rsidRPr="006D18E7">
              <w:rPr>
                <w:noProof/>
                <w:webHidden/>
                <w:sz w:val="20"/>
                <w:szCs w:val="20"/>
              </w:rPr>
              <w:fldChar w:fldCharType="end"/>
            </w:r>
          </w:hyperlink>
        </w:p>
        <w:p w:rsidR="006D18E7" w:rsidRPr="006D18E7" w:rsidRDefault="00905AC9">
          <w:pPr>
            <w:pStyle w:val="TOC1"/>
            <w:tabs>
              <w:tab w:val="left" w:pos="660"/>
              <w:tab w:val="right" w:leader="dot" w:pos="9457"/>
            </w:tabs>
            <w:rPr>
              <w:rFonts w:eastAsiaTheme="minorEastAsia"/>
              <w:noProof/>
              <w:sz w:val="20"/>
              <w:szCs w:val="20"/>
              <w:lang w:val="en-GB" w:eastAsia="en-GB"/>
            </w:rPr>
          </w:pPr>
          <w:hyperlink w:anchor="_Toc423597482" w:history="1">
            <w:r w:rsidR="006D18E7" w:rsidRPr="006D18E7">
              <w:rPr>
                <w:rStyle w:val="Hyperlink"/>
                <w:rFonts w:ascii="Verdana" w:hAnsi="Verdana" w:cs="Times New Roman"/>
                <w:noProof/>
                <w:sz w:val="20"/>
                <w:szCs w:val="20"/>
              </w:rPr>
              <w:t>1.</w:t>
            </w:r>
            <w:r w:rsidR="006D18E7" w:rsidRPr="006D18E7">
              <w:rPr>
                <w:rFonts w:eastAsiaTheme="minorEastAsia"/>
                <w:noProof/>
                <w:sz w:val="20"/>
                <w:szCs w:val="20"/>
                <w:lang w:val="en-GB" w:eastAsia="en-GB"/>
              </w:rPr>
              <w:tab/>
            </w:r>
            <w:r w:rsidR="006D18E7" w:rsidRPr="006D18E7">
              <w:rPr>
                <w:rStyle w:val="Hyperlink"/>
                <w:rFonts w:ascii="Verdana" w:hAnsi="Verdana" w:cs="Times New Roman"/>
                <w:noProof/>
                <w:sz w:val="20"/>
                <w:szCs w:val="20"/>
              </w:rPr>
              <w:t>INTRODUCTION</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_Toc423597482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1</w:t>
            </w:r>
            <w:r w:rsidR="006D18E7" w:rsidRPr="006D18E7">
              <w:rPr>
                <w:noProof/>
                <w:webHidden/>
                <w:sz w:val="20"/>
                <w:szCs w:val="20"/>
              </w:rPr>
              <w:fldChar w:fldCharType="end"/>
            </w:r>
          </w:hyperlink>
        </w:p>
        <w:p w:rsidR="006D18E7" w:rsidRPr="006D18E7" w:rsidRDefault="00905AC9">
          <w:pPr>
            <w:pStyle w:val="TOC1"/>
            <w:tabs>
              <w:tab w:val="right" w:leader="dot" w:pos="9457"/>
            </w:tabs>
            <w:rPr>
              <w:rFonts w:eastAsiaTheme="minorEastAsia"/>
              <w:noProof/>
              <w:sz w:val="20"/>
              <w:szCs w:val="20"/>
              <w:lang w:val="en-GB" w:eastAsia="en-GB"/>
            </w:rPr>
          </w:pPr>
          <w:hyperlink w:anchor="_Toc423597483" w:history="1">
            <w:r w:rsidR="006D18E7" w:rsidRPr="006D18E7">
              <w:rPr>
                <w:rStyle w:val="Hyperlink"/>
                <w:rFonts w:ascii="Verdana" w:hAnsi="Verdana" w:cs="Times New Roman"/>
                <w:noProof/>
                <w:sz w:val="20"/>
                <w:szCs w:val="20"/>
              </w:rPr>
              <w:t>1.2 Research context</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_Toc423597483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2</w:t>
            </w:r>
            <w:r w:rsidR="006D18E7" w:rsidRPr="006D18E7">
              <w:rPr>
                <w:noProof/>
                <w:webHidden/>
                <w:sz w:val="20"/>
                <w:szCs w:val="20"/>
              </w:rPr>
              <w:fldChar w:fldCharType="end"/>
            </w:r>
          </w:hyperlink>
        </w:p>
        <w:p w:rsidR="006D18E7" w:rsidRPr="006D18E7" w:rsidRDefault="00905AC9">
          <w:pPr>
            <w:pStyle w:val="TOC1"/>
            <w:tabs>
              <w:tab w:val="right" w:leader="dot" w:pos="9457"/>
            </w:tabs>
            <w:rPr>
              <w:rFonts w:eastAsiaTheme="minorEastAsia"/>
              <w:noProof/>
              <w:sz w:val="20"/>
              <w:szCs w:val="20"/>
              <w:lang w:val="en-GB" w:eastAsia="en-GB"/>
            </w:rPr>
          </w:pPr>
          <w:hyperlink w:anchor="_Toc423597484" w:history="1">
            <w:r w:rsidR="006D18E7" w:rsidRPr="006D18E7">
              <w:rPr>
                <w:rStyle w:val="Hyperlink"/>
                <w:rFonts w:ascii="Verdana" w:hAnsi="Verdana" w:cs="Times New Roman"/>
                <w:noProof/>
                <w:sz w:val="20"/>
                <w:szCs w:val="20"/>
              </w:rPr>
              <w:t>1.3 Research process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_Toc423597484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2</w:t>
            </w:r>
            <w:r w:rsidR="006D18E7" w:rsidRPr="006D18E7">
              <w:rPr>
                <w:noProof/>
                <w:webHidden/>
                <w:sz w:val="20"/>
                <w:szCs w:val="20"/>
              </w:rPr>
              <w:fldChar w:fldCharType="end"/>
            </w:r>
          </w:hyperlink>
        </w:p>
        <w:p w:rsidR="006D18E7" w:rsidRPr="006D18E7" w:rsidRDefault="00905AC9">
          <w:pPr>
            <w:pStyle w:val="TOC1"/>
            <w:tabs>
              <w:tab w:val="right" w:leader="dot" w:pos="9457"/>
            </w:tabs>
            <w:rPr>
              <w:rFonts w:eastAsiaTheme="minorEastAsia"/>
              <w:noProof/>
              <w:sz w:val="20"/>
              <w:szCs w:val="20"/>
              <w:lang w:val="en-GB" w:eastAsia="en-GB"/>
            </w:rPr>
          </w:pPr>
          <w:hyperlink w:anchor="_Toc423597485" w:history="1">
            <w:r w:rsidR="006D18E7" w:rsidRPr="006D18E7">
              <w:rPr>
                <w:rStyle w:val="Hyperlink"/>
                <w:rFonts w:ascii="Verdana" w:hAnsi="Verdana" w:cs="Times New Roman"/>
                <w:noProof/>
                <w:sz w:val="20"/>
                <w:szCs w:val="20"/>
              </w:rPr>
              <w:t>2. IT GOVERNANCE</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_Toc423597485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5</w:t>
            </w:r>
            <w:r w:rsidR="006D18E7" w:rsidRPr="006D18E7">
              <w:rPr>
                <w:noProof/>
                <w:webHidden/>
                <w:sz w:val="20"/>
                <w:szCs w:val="20"/>
              </w:rPr>
              <w:fldChar w:fldCharType="end"/>
            </w:r>
          </w:hyperlink>
        </w:p>
        <w:p w:rsidR="006D18E7" w:rsidRPr="006D18E7" w:rsidRDefault="00905AC9">
          <w:pPr>
            <w:pStyle w:val="TOC1"/>
            <w:tabs>
              <w:tab w:val="right" w:leader="dot" w:pos="9457"/>
            </w:tabs>
            <w:rPr>
              <w:rFonts w:eastAsiaTheme="minorEastAsia"/>
              <w:noProof/>
              <w:sz w:val="20"/>
              <w:szCs w:val="20"/>
              <w:lang w:val="en-GB" w:eastAsia="en-GB"/>
            </w:rPr>
          </w:pPr>
          <w:hyperlink w:anchor="_Toc423597486" w:history="1">
            <w:r w:rsidR="006D18E7" w:rsidRPr="006D18E7">
              <w:rPr>
                <w:rStyle w:val="Hyperlink"/>
                <w:rFonts w:ascii="Verdana" w:hAnsi="Verdana" w:cs="Times New Roman"/>
                <w:noProof/>
                <w:sz w:val="20"/>
                <w:szCs w:val="20"/>
              </w:rPr>
              <w:t>2.1 About this chapter</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_Toc423597486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5</w:t>
            </w:r>
            <w:r w:rsidR="006D18E7" w:rsidRPr="006D18E7">
              <w:rPr>
                <w:noProof/>
                <w:webHidden/>
                <w:sz w:val="20"/>
                <w:szCs w:val="20"/>
              </w:rPr>
              <w:fldChar w:fldCharType="end"/>
            </w:r>
          </w:hyperlink>
        </w:p>
        <w:p w:rsidR="006D18E7" w:rsidRPr="006D18E7" w:rsidRDefault="00905AC9">
          <w:pPr>
            <w:pStyle w:val="TOC1"/>
            <w:tabs>
              <w:tab w:val="right" w:leader="dot" w:pos="9457"/>
            </w:tabs>
            <w:rPr>
              <w:rFonts w:eastAsiaTheme="minorEastAsia"/>
              <w:noProof/>
              <w:sz w:val="20"/>
              <w:szCs w:val="20"/>
              <w:lang w:val="en-GB" w:eastAsia="en-GB"/>
            </w:rPr>
          </w:pPr>
          <w:hyperlink w:anchor="_Toc423597487" w:history="1">
            <w:r w:rsidR="006D18E7" w:rsidRPr="006D18E7">
              <w:rPr>
                <w:rStyle w:val="Hyperlink"/>
                <w:rFonts w:ascii="Verdana" w:hAnsi="Verdana" w:cs="Times New Roman"/>
                <w:noProof/>
                <w:sz w:val="20"/>
                <w:szCs w:val="20"/>
              </w:rPr>
              <w:t>2.2 Governance and IT governance</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_Toc423597487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5</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488" w:history="1">
            <w:r w:rsidR="006D18E7" w:rsidRPr="006D18E7">
              <w:rPr>
                <w:rStyle w:val="Hyperlink"/>
                <w:rFonts w:ascii="Verdana" w:hAnsi="Verdana" w:cs="Times New Roman"/>
                <w:noProof/>
                <w:sz w:val="20"/>
                <w:szCs w:val="20"/>
              </w:rPr>
              <w:t>2.2.1 Governance definition</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_Toc423597488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5</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489" w:history="1">
            <w:r w:rsidR="006D18E7" w:rsidRPr="006D18E7">
              <w:rPr>
                <w:rStyle w:val="Hyperlink"/>
                <w:rFonts w:ascii="Verdana" w:hAnsi="Verdana" w:cs="Times New Roman"/>
                <w:noProof/>
                <w:sz w:val="20"/>
                <w:szCs w:val="20"/>
              </w:rPr>
              <w:t>2.2.2 IT governance definition</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_Toc423597489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6</w:t>
            </w:r>
            <w:r w:rsidR="006D18E7" w:rsidRPr="006D18E7">
              <w:rPr>
                <w:noProof/>
                <w:webHidden/>
                <w:sz w:val="20"/>
                <w:szCs w:val="20"/>
              </w:rPr>
              <w:fldChar w:fldCharType="end"/>
            </w:r>
          </w:hyperlink>
        </w:p>
        <w:p w:rsidR="006D18E7" w:rsidRPr="006D18E7" w:rsidRDefault="00905AC9">
          <w:pPr>
            <w:pStyle w:val="TOC1"/>
            <w:tabs>
              <w:tab w:val="right" w:leader="dot" w:pos="9457"/>
            </w:tabs>
            <w:rPr>
              <w:rFonts w:eastAsiaTheme="minorEastAsia"/>
              <w:noProof/>
              <w:sz w:val="20"/>
              <w:szCs w:val="20"/>
              <w:lang w:val="en-GB" w:eastAsia="en-GB"/>
            </w:rPr>
          </w:pPr>
          <w:hyperlink w:anchor="_Toc423597490" w:history="1">
            <w:r w:rsidR="006D18E7" w:rsidRPr="006D18E7">
              <w:rPr>
                <w:rStyle w:val="Hyperlink"/>
                <w:rFonts w:ascii="Verdana" w:hAnsi="Verdana" w:cs="Times New Roman"/>
                <w:noProof/>
                <w:sz w:val="20"/>
                <w:szCs w:val="20"/>
              </w:rPr>
              <w:t>2.3 Components and mechanisms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_Toc423597490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7</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491" w:history="1">
            <w:r w:rsidR="006D18E7" w:rsidRPr="006D18E7">
              <w:rPr>
                <w:rStyle w:val="Hyperlink"/>
                <w:rFonts w:ascii="Verdana" w:hAnsi="Verdana" w:cs="Times New Roman"/>
                <w:noProof/>
                <w:sz w:val="20"/>
                <w:szCs w:val="20"/>
              </w:rPr>
              <w:t>2.3.1 IT omnipresence in the enterprise</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_Toc423597491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7</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492" w:history="1">
            <w:r w:rsidR="006D18E7" w:rsidRPr="006D18E7">
              <w:rPr>
                <w:rStyle w:val="Hyperlink"/>
                <w:rFonts w:ascii="Verdana" w:hAnsi="Verdana" w:cs="Times New Roman"/>
                <w:noProof/>
                <w:sz w:val="20"/>
                <w:szCs w:val="20"/>
              </w:rPr>
              <w:t>2.3.2 Environmental contingencies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_Toc423597492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7</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493" w:history="1">
            <w:r w:rsidR="006D18E7" w:rsidRPr="006D18E7">
              <w:rPr>
                <w:rStyle w:val="Hyperlink"/>
                <w:rFonts w:ascii="Verdana" w:hAnsi="Verdana" w:cs="Times New Roman"/>
                <w:noProof/>
                <w:sz w:val="20"/>
                <w:szCs w:val="20"/>
              </w:rPr>
              <w:t>2.3.3 Decision-making structures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_Toc423597493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8</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494" w:history="1">
            <w:r w:rsidR="006D18E7" w:rsidRPr="006D18E7">
              <w:rPr>
                <w:rStyle w:val="Hyperlink"/>
                <w:rFonts w:ascii="Verdana" w:hAnsi="Verdana" w:cs="Times New Roman"/>
                <w:noProof/>
                <w:sz w:val="20"/>
                <w:szCs w:val="20"/>
              </w:rPr>
              <w:t>2.3.4 Scope of decision-making</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_Toc423597494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8</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495" w:history="1">
            <w:r w:rsidR="006D18E7" w:rsidRPr="006D18E7">
              <w:rPr>
                <w:rStyle w:val="Hyperlink"/>
                <w:rFonts w:ascii="Verdana" w:hAnsi="Verdana" w:cs="Times New Roman"/>
                <w:noProof/>
                <w:sz w:val="20"/>
                <w:szCs w:val="20"/>
              </w:rPr>
              <w:t>2.3.5 Decision-making fields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_Toc423597495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9</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496" w:history="1">
            <w:r w:rsidR="006D18E7" w:rsidRPr="006D18E7">
              <w:rPr>
                <w:rStyle w:val="Hyperlink"/>
                <w:rFonts w:ascii="Verdana" w:hAnsi="Verdana" w:cs="Times New Roman"/>
                <w:noProof/>
                <w:sz w:val="20"/>
                <w:szCs w:val="20"/>
              </w:rPr>
              <w:t>2.3.6 Functions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_Toc423597496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9</w:t>
            </w:r>
            <w:r w:rsidR="006D18E7" w:rsidRPr="006D18E7">
              <w:rPr>
                <w:noProof/>
                <w:webHidden/>
                <w:sz w:val="20"/>
                <w:szCs w:val="20"/>
              </w:rPr>
              <w:fldChar w:fldCharType="end"/>
            </w:r>
          </w:hyperlink>
        </w:p>
        <w:p w:rsidR="006D18E7" w:rsidRPr="006D18E7" w:rsidRDefault="00905AC9">
          <w:pPr>
            <w:pStyle w:val="TOC1"/>
            <w:tabs>
              <w:tab w:val="right" w:leader="dot" w:pos="9457"/>
            </w:tabs>
            <w:rPr>
              <w:rFonts w:eastAsiaTheme="minorEastAsia"/>
              <w:noProof/>
              <w:sz w:val="20"/>
              <w:szCs w:val="20"/>
              <w:lang w:val="en-GB" w:eastAsia="en-GB"/>
            </w:rPr>
          </w:pPr>
          <w:hyperlink w:anchor="_Toc423597497" w:history="1">
            <w:r w:rsidR="006D18E7" w:rsidRPr="006D18E7">
              <w:rPr>
                <w:rStyle w:val="Hyperlink"/>
                <w:rFonts w:ascii="Verdana" w:hAnsi="Verdana" w:cs="Times New Roman"/>
                <w:noProof/>
                <w:sz w:val="20"/>
                <w:szCs w:val="20"/>
              </w:rPr>
              <w:t>2.4 Building an IT governance framework</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_Toc423597497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10</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498" w:history="1">
            <w:r w:rsidR="006D18E7" w:rsidRPr="006D18E7">
              <w:rPr>
                <w:rStyle w:val="Hyperlink"/>
                <w:rFonts w:ascii="Verdana" w:hAnsi="Verdana" w:cs="Times New Roman"/>
                <w:noProof/>
                <w:sz w:val="20"/>
                <w:szCs w:val="20"/>
              </w:rPr>
              <w:t>2.4.1 IT governance framework outline</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_Toc423597498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10</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499" w:history="1">
            <w:r w:rsidR="006D18E7" w:rsidRPr="006D18E7">
              <w:rPr>
                <w:rStyle w:val="Hyperlink"/>
                <w:rFonts w:ascii="Verdana" w:hAnsi="Verdana" w:cs="Times New Roman"/>
                <w:noProof/>
                <w:sz w:val="20"/>
                <w:szCs w:val="20"/>
              </w:rPr>
              <w:t>2.4.2 Structures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_Toc423597499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10</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00" w:history="1">
            <w:r w:rsidR="006D18E7" w:rsidRPr="006D18E7">
              <w:rPr>
                <w:rStyle w:val="Hyperlink"/>
                <w:rFonts w:ascii="Verdana" w:hAnsi="Verdana" w:cs="Times New Roman"/>
                <w:noProof/>
                <w:sz w:val="20"/>
                <w:szCs w:val="20"/>
              </w:rPr>
              <w:t>2.4.3 Processes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_Toc423597500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11</w:t>
            </w:r>
            <w:r w:rsidR="006D18E7" w:rsidRPr="006D18E7">
              <w:rPr>
                <w:noProof/>
                <w:webHidden/>
                <w:sz w:val="20"/>
                <w:szCs w:val="20"/>
              </w:rPr>
              <w:fldChar w:fldCharType="end"/>
            </w:r>
          </w:hyperlink>
        </w:p>
        <w:p w:rsidR="006D18E7" w:rsidRPr="006D18E7" w:rsidRDefault="00905AC9">
          <w:pPr>
            <w:pStyle w:val="TOC3"/>
            <w:tabs>
              <w:tab w:val="right" w:leader="dot" w:pos="9457"/>
            </w:tabs>
            <w:rPr>
              <w:rFonts w:eastAsiaTheme="minorEastAsia"/>
              <w:noProof/>
              <w:sz w:val="20"/>
              <w:szCs w:val="20"/>
              <w:lang w:val="en-GB" w:eastAsia="en-GB"/>
            </w:rPr>
          </w:pPr>
          <w:hyperlink w:anchor="_Toc423597501" w:history="1">
            <w:r w:rsidR="006D18E7" w:rsidRPr="006D18E7">
              <w:rPr>
                <w:rStyle w:val="Hyperlink"/>
                <w:rFonts w:ascii="Verdana" w:hAnsi="Verdana" w:cs="Times New Roman"/>
                <w:noProof/>
                <w:sz w:val="20"/>
                <w:szCs w:val="20"/>
              </w:rPr>
              <w:t>2.4.3.1 COBIT</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_Toc423597501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12</w:t>
            </w:r>
            <w:r w:rsidR="006D18E7" w:rsidRPr="006D18E7">
              <w:rPr>
                <w:noProof/>
                <w:webHidden/>
                <w:sz w:val="20"/>
                <w:szCs w:val="20"/>
              </w:rPr>
              <w:fldChar w:fldCharType="end"/>
            </w:r>
          </w:hyperlink>
        </w:p>
        <w:p w:rsidR="006D18E7" w:rsidRPr="006D18E7" w:rsidRDefault="00905AC9">
          <w:pPr>
            <w:pStyle w:val="TOC3"/>
            <w:tabs>
              <w:tab w:val="right" w:leader="dot" w:pos="9457"/>
            </w:tabs>
            <w:rPr>
              <w:rFonts w:eastAsiaTheme="minorEastAsia"/>
              <w:noProof/>
              <w:sz w:val="20"/>
              <w:szCs w:val="20"/>
              <w:lang w:val="en-GB" w:eastAsia="en-GB"/>
            </w:rPr>
          </w:pPr>
          <w:hyperlink w:anchor="_Toc423597502" w:history="1">
            <w:r w:rsidR="006D18E7" w:rsidRPr="006D18E7">
              <w:rPr>
                <w:rStyle w:val="Hyperlink"/>
                <w:rFonts w:ascii="Verdana" w:hAnsi="Verdana" w:cs="Times New Roman"/>
                <w:noProof/>
                <w:sz w:val="20"/>
                <w:szCs w:val="20"/>
              </w:rPr>
              <w:t>2.4.3.2 ITIL</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_Toc423597502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12</w:t>
            </w:r>
            <w:r w:rsidR="006D18E7" w:rsidRPr="006D18E7">
              <w:rPr>
                <w:noProof/>
                <w:webHidden/>
                <w:sz w:val="20"/>
                <w:szCs w:val="20"/>
              </w:rPr>
              <w:fldChar w:fldCharType="end"/>
            </w:r>
          </w:hyperlink>
        </w:p>
        <w:p w:rsidR="006D18E7" w:rsidRPr="006D18E7" w:rsidRDefault="00905AC9">
          <w:pPr>
            <w:pStyle w:val="TOC3"/>
            <w:tabs>
              <w:tab w:val="right" w:leader="dot" w:pos="9457"/>
            </w:tabs>
            <w:rPr>
              <w:rFonts w:eastAsiaTheme="minorEastAsia"/>
              <w:noProof/>
              <w:sz w:val="20"/>
              <w:szCs w:val="20"/>
              <w:lang w:val="en-GB" w:eastAsia="en-GB"/>
            </w:rPr>
          </w:pPr>
          <w:hyperlink w:anchor="_Toc423597503" w:history="1">
            <w:r w:rsidR="006D18E7" w:rsidRPr="006D18E7">
              <w:rPr>
                <w:rStyle w:val="Hyperlink"/>
                <w:rFonts w:ascii="Verdana" w:hAnsi="Verdana" w:cs="Times New Roman"/>
                <w:noProof/>
                <w:sz w:val="20"/>
                <w:szCs w:val="20"/>
              </w:rPr>
              <w:t>2.4.3.3 The strategy alignment model</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_Toc423597503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12</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04" w:history="1">
            <w:r w:rsidR="006D18E7" w:rsidRPr="006D18E7">
              <w:rPr>
                <w:rStyle w:val="Hyperlink"/>
                <w:rFonts w:ascii="Verdana" w:hAnsi="Verdana" w:cs="Times New Roman"/>
                <w:noProof/>
                <w:sz w:val="20"/>
                <w:szCs w:val="20"/>
              </w:rPr>
              <w:t>2.4.4 Relational mechanisms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_Toc423597504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14</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05" w:history="1">
            <w:r w:rsidR="006D18E7" w:rsidRPr="006D18E7">
              <w:rPr>
                <w:rStyle w:val="Hyperlink"/>
                <w:rFonts w:ascii="Verdana" w:hAnsi="Verdana" w:cs="Times New Roman"/>
                <w:noProof/>
                <w:sz w:val="20"/>
                <w:szCs w:val="20"/>
              </w:rPr>
              <w:t>2.4.5 IT Governance framework summary</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_Toc423597505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14</w:t>
            </w:r>
            <w:r w:rsidR="006D18E7" w:rsidRPr="006D18E7">
              <w:rPr>
                <w:noProof/>
                <w:webHidden/>
                <w:sz w:val="20"/>
                <w:szCs w:val="20"/>
              </w:rPr>
              <w:fldChar w:fldCharType="end"/>
            </w:r>
          </w:hyperlink>
        </w:p>
        <w:p w:rsidR="006D18E7" w:rsidRPr="006D18E7" w:rsidRDefault="00905AC9">
          <w:pPr>
            <w:pStyle w:val="TOC1"/>
            <w:tabs>
              <w:tab w:val="right" w:leader="dot" w:pos="9457"/>
            </w:tabs>
            <w:rPr>
              <w:rFonts w:eastAsiaTheme="minorEastAsia"/>
              <w:noProof/>
              <w:sz w:val="20"/>
              <w:szCs w:val="20"/>
              <w:lang w:val="en-GB" w:eastAsia="en-GB"/>
            </w:rPr>
          </w:pPr>
          <w:hyperlink w:anchor="_Toc423597506" w:history="1">
            <w:r w:rsidR="006D18E7" w:rsidRPr="006D18E7">
              <w:rPr>
                <w:rStyle w:val="Hyperlink"/>
                <w:rFonts w:ascii="Verdana" w:hAnsi="Verdana" w:cs="Times New Roman"/>
                <w:noProof/>
                <w:sz w:val="20"/>
                <w:szCs w:val="20"/>
              </w:rPr>
              <w:t>2.5 Chapter conclusion</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_Toc423597506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15</w:t>
            </w:r>
            <w:r w:rsidR="006D18E7" w:rsidRPr="006D18E7">
              <w:rPr>
                <w:noProof/>
                <w:webHidden/>
                <w:sz w:val="20"/>
                <w:szCs w:val="20"/>
              </w:rPr>
              <w:fldChar w:fldCharType="end"/>
            </w:r>
          </w:hyperlink>
        </w:p>
        <w:p w:rsidR="006D18E7" w:rsidRPr="006D18E7" w:rsidRDefault="00905AC9">
          <w:pPr>
            <w:pStyle w:val="TOC1"/>
            <w:tabs>
              <w:tab w:val="right" w:leader="dot" w:pos="9457"/>
            </w:tabs>
            <w:rPr>
              <w:rFonts w:eastAsiaTheme="minorEastAsia"/>
              <w:noProof/>
              <w:sz w:val="20"/>
              <w:szCs w:val="20"/>
              <w:lang w:val="en-GB" w:eastAsia="en-GB"/>
            </w:rPr>
          </w:pPr>
          <w:hyperlink w:anchor="_Toc423597507" w:history="1">
            <w:r w:rsidR="006D18E7" w:rsidRPr="006D18E7">
              <w:rPr>
                <w:rStyle w:val="Hyperlink"/>
                <w:rFonts w:ascii="Verdana" w:hAnsi="Verdana"/>
                <w:noProof/>
                <w:sz w:val="20"/>
                <w:szCs w:val="20"/>
              </w:rPr>
              <w:t>3. CAPABILITY MATURITY MODELS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_Toc423597507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17</w:t>
            </w:r>
            <w:r w:rsidR="006D18E7" w:rsidRPr="006D18E7">
              <w:rPr>
                <w:noProof/>
                <w:webHidden/>
                <w:sz w:val="20"/>
                <w:szCs w:val="20"/>
              </w:rPr>
              <w:fldChar w:fldCharType="end"/>
            </w:r>
          </w:hyperlink>
        </w:p>
        <w:p w:rsidR="006D18E7" w:rsidRPr="006D18E7" w:rsidRDefault="00905AC9">
          <w:pPr>
            <w:pStyle w:val="TOC1"/>
            <w:tabs>
              <w:tab w:val="right" w:leader="dot" w:pos="9457"/>
            </w:tabs>
            <w:rPr>
              <w:rFonts w:eastAsiaTheme="minorEastAsia"/>
              <w:noProof/>
              <w:sz w:val="20"/>
              <w:szCs w:val="20"/>
              <w:lang w:val="en-GB" w:eastAsia="en-GB"/>
            </w:rPr>
          </w:pPr>
          <w:hyperlink w:anchor="_Toc423597508" w:history="1">
            <w:r w:rsidR="006D18E7" w:rsidRPr="006D18E7">
              <w:rPr>
                <w:rStyle w:val="Hyperlink"/>
                <w:rFonts w:ascii="Verdana" w:hAnsi="Verdana" w:cs="Times New Roman"/>
                <w:noProof/>
                <w:sz w:val="20"/>
                <w:szCs w:val="20"/>
              </w:rPr>
              <w:t>3.1 About this chapter</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_Toc423597508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17</w:t>
            </w:r>
            <w:r w:rsidR="006D18E7" w:rsidRPr="006D18E7">
              <w:rPr>
                <w:noProof/>
                <w:webHidden/>
                <w:sz w:val="20"/>
                <w:szCs w:val="20"/>
              </w:rPr>
              <w:fldChar w:fldCharType="end"/>
            </w:r>
          </w:hyperlink>
        </w:p>
        <w:p w:rsidR="006D18E7" w:rsidRPr="006D18E7" w:rsidRDefault="00905AC9">
          <w:pPr>
            <w:pStyle w:val="TOC1"/>
            <w:tabs>
              <w:tab w:val="right" w:leader="dot" w:pos="9457"/>
            </w:tabs>
            <w:rPr>
              <w:rFonts w:eastAsiaTheme="minorEastAsia"/>
              <w:noProof/>
              <w:sz w:val="20"/>
              <w:szCs w:val="20"/>
              <w:lang w:val="en-GB" w:eastAsia="en-GB"/>
            </w:rPr>
          </w:pPr>
          <w:hyperlink w:anchor="_Toc423597509" w:history="1">
            <w:r w:rsidR="006D18E7" w:rsidRPr="006D18E7">
              <w:rPr>
                <w:rStyle w:val="Hyperlink"/>
                <w:rFonts w:ascii="Verdana" w:hAnsi="Verdana" w:cs="Times New Roman"/>
                <w:noProof/>
                <w:sz w:val="20"/>
                <w:szCs w:val="20"/>
              </w:rPr>
              <w:t>3.2 Origin and concepts of maturity models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_Toc423597509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17</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10" w:history="1">
            <w:r w:rsidR="006D18E7" w:rsidRPr="006D18E7">
              <w:rPr>
                <w:rStyle w:val="Hyperlink"/>
                <w:rFonts w:ascii="Verdana" w:hAnsi="Verdana" w:cs="Times New Roman"/>
                <w:noProof/>
                <w:sz w:val="20"/>
                <w:szCs w:val="20"/>
              </w:rPr>
              <w:t>3.2.1 Mature organizations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_Toc423597510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17</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11" w:history="1">
            <w:r w:rsidR="006D18E7" w:rsidRPr="006D18E7">
              <w:rPr>
                <w:rStyle w:val="Hyperlink"/>
                <w:rFonts w:ascii="Verdana" w:hAnsi="Verdana" w:cs="Times New Roman"/>
                <w:noProof/>
                <w:sz w:val="20"/>
                <w:szCs w:val="20"/>
              </w:rPr>
              <w:t>3.2.2 Origins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_Toc423597511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18</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12" w:history="1">
            <w:r w:rsidR="006D18E7" w:rsidRPr="006D18E7">
              <w:rPr>
                <w:rStyle w:val="Hyperlink"/>
                <w:rFonts w:ascii="Verdana" w:hAnsi="Verdana" w:cs="Times New Roman"/>
                <w:noProof/>
                <w:sz w:val="20"/>
                <w:szCs w:val="20"/>
              </w:rPr>
              <w:t>3.2.3 Capability, performance and maturity</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_Toc423597512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18</w:t>
            </w:r>
            <w:r w:rsidR="006D18E7" w:rsidRPr="006D18E7">
              <w:rPr>
                <w:noProof/>
                <w:webHidden/>
                <w:sz w:val="20"/>
                <w:szCs w:val="20"/>
              </w:rPr>
              <w:fldChar w:fldCharType="end"/>
            </w:r>
          </w:hyperlink>
        </w:p>
        <w:p w:rsidR="006D18E7" w:rsidRPr="006D18E7" w:rsidRDefault="00905AC9">
          <w:pPr>
            <w:pStyle w:val="TOC1"/>
            <w:tabs>
              <w:tab w:val="right" w:leader="dot" w:pos="9457"/>
            </w:tabs>
            <w:rPr>
              <w:rFonts w:eastAsiaTheme="minorEastAsia"/>
              <w:noProof/>
              <w:sz w:val="20"/>
              <w:szCs w:val="20"/>
              <w:lang w:val="en-GB" w:eastAsia="en-GB"/>
            </w:rPr>
          </w:pPr>
          <w:hyperlink w:anchor="_Toc423597513" w:history="1">
            <w:r w:rsidR="006D18E7" w:rsidRPr="006D18E7">
              <w:rPr>
                <w:rStyle w:val="Hyperlink"/>
                <w:rFonts w:ascii="Verdana" w:hAnsi="Verdana" w:cs="Times New Roman"/>
                <w:noProof/>
                <w:sz w:val="20"/>
                <w:szCs w:val="20"/>
              </w:rPr>
              <w:t>3.3 Capability Maturity model description</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_Toc423597513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19</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14" w:history="1">
            <w:r w:rsidR="006D18E7" w:rsidRPr="006D18E7">
              <w:rPr>
                <w:rStyle w:val="Hyperlink"/>
                <w:rFonts w:ascii="Verdana" w:hAnsi="Verdana" w:cs="Times New Roman"/>
                <w:noProof/>
                <w:sz w:val="20"/>
                <w:szCs w:val="20"/>
              </w:rPr>
              <w:t>3.3.1 Components of a CMMI</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_Toc423597514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19</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15" w:history="1">
            <w:r w:rsidR="006D18E7" w:rsidRPr="006D18E7">
              <w:rPr>
                <w:rStyle w:val="Hyperlink"/>
                <w:rFonts w:ascii="Verdana" w:hAnsi="Verdana" w:cs="Times New Roman"/>
                <w:noProof/>
                <w:sz w:val="20"/>
                <w:szCs w:val="20"/>
              </w:rPr>
              <w:t>3.3.2 Process areas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_Toc423597515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20</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16" w:history="1">
            <w:r w:rsidR="006D18E7" w:rsidRPr="006D18E7">
              <w:rPr>
                <w:rStyle w:val="Hyperlink"/>
                <w:rFonts w:ascii="Verdana" w:hAnsi="Verdana" w:cs="Times New Roman"/>
                <w:noProof/>
                <w:sz w:val="20"/>
                <w:szCs w:val="20"/>
              </w:rPr>
              <w:t>3.3.3 Common features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_Toc423597516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21</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17" w:history="1">
            <w:r w:rsidR="006D18E7" w:rsidRPr="006D18E7">
              <w:rPr>
                <w:rStyle w:val="Hyperlink"/>
                <w:rFonts w:ascii="Verdana" w:hAnsi="Verdana" w:cs="Times New Roman"/>
                <w:noProof/>
                <w:sz w:val="20"/>
                <w:szCs w:val="20"/>
              </w:rPr>
              <w:t>3.3.4 Goals and key practices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_Toc423597517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21</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18" w:history="1">
            <w:r w:rsidR="006D18E7" w:rsidRPr="006D18E7">
              <w:rPr>
                <w:rStyle w:val="Hyperlink"/>
                <w:rFonts w:ascii="Verdana" w:hAnsi="Verdana" w:cs="Times New Roman"/>
                <w:noProof/>
                <w:sz w:val="20"/>
                <w:szCs w:val="20"/>
              </w:rPr>
              <w:t>3.3.5 Maturity levels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_Toc423597518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21</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19" w:history="1">
            <w:r w:rsidR="006D18E7" w:rsidRPr="006D18E7">
              <w:rPr>
                <w:rStyle w:val="Hyperlink"/>
                <w:rFonts w:ascii="Verdana" w:hAnsi="Verdana" w:cs="Times New Roman"/>
                <w:noProof/>
                <w:sz w:val="20"/>
                <w:szCs w:val="20"/>
              </w:rPr>
              <w:t>3.3.6 Domain applications for CMM’s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_Toc423597519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22</w:t>
            </w:r>
            <w:r w:rsidR="006D18E7" w:rsidRPr="006D18E7">
              <w:rPr>
                <w:noProof/>
                <w:webHidden/>
                <w:sz w:val="20"/>
                <w:szCs w:val="20"/>
              </w:rPr>
              <w:fldChar w:fldCharType="end"/>
            </w:r>
          </w:hyperlink>
        </w:p>
        <w:p w:rsidR="006D18E7" w:rsidRPr="006D18E7" w:rsidRDefault="00905AC9">
          <w:pPr>
            <w:pStyle w:val="TOC1"/>
            <w:tabs>
              <w:tab w:val="right" w:leader="dot" w:pos="9457"/>
            </w:tabs>
            <w:rPr>
              <w:rFonts w:eastAsiaTheme="minorEastAsia"/>
              <w:noProof/>
              <w:sz w:val="20"/>
              <w:szCs w:val="20"/>
              <w:lang w:val="en-GB" w:eastAsia="en-GB"/>
            </w:rPr>
          </w:pPr>
          <w:hyperlink w:anchor="_Toc423597520" w:history="1">
            <w:r w:rsidR="006D18E7" w:rsidRPr="006D18E7">
              <w:rPr>
                <w:rStyle w:val="Hyperlink"/>
                <w:rFonts w:ascii="Verdana" w:hAnsi="Verdana" w:cs="Times New Roman"/>
                <w:noProof/>
                <w:sz w:val="20"/>
                <w:szCs w:val="20"/>
              </w:rPr>
              <w:t>3.4 Chapter conclusion</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_Toc423597520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23</w:t>
            </w:r>
            <w:r w:rsidR="006D18E7" w:rsidRPr="006D18E7">
              <w:rPr>
                <w:noProof/>
                <w:webHidden/>
                <w:sz w:val="20"/>
                <w:szCs w:val="20"/>
              </w:rPr>
              <w:fldChar w:fldCharType="end"/>
            </w:r>
          </w:hyperlink>
        </w:p>
        <w:p w:rsidR="006D18E7" w:rsidRPr="006D18E7" w:rsidRDefault="00905AC9">
          <w:pPr>
            <w:pStyle w:val="TOC1"/>
            <w:tabs>
              <w:tab w:val="right" w:leader="dot" w:pos="9457"/>
            </w:tabs>
            <w:rPr>
              <w:rFonts w:eastAsiaTheme="minorEastAsia"/>
              <w:noProof/>
              <w:sz w:val="20"/>
              <w:szCs w:val="20"/>
              <w:lang w:val="en-GB" w:eastAsia="en-GB"/>
            </w:rPr>
          </w:pPr>
          <w:hyperlink w:anchor="_Toc423597521" w:history="1">
            <w:r w:rsidR="006D18E7" w:rsidRPr="006D18E7">
              <w:rPr>
                <w:rStyle w:val="Hyperlink"/>
                <w:rFonts w:ascii="Verdana" w:hAnsi="Verdana" w:cs="Times New Roman"/>
                <w:noProof/>
                <w:sz w:val="20"/>
                <w:szCs w:val="20"/>
              </w:rPr>
              <w:t>4. DATA GOVERNANCE</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_Toc423597521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25</w:t>
            </w:r>
            <w:r w:rsidR="006D18E7" w:rsidRPr="006D18E7">
              <w:rPr>
                <w:noProof/>
                <w:webHidden/>
                <w:sz w:val="20"/>
                <w:szCs w:val="20"/>
              </w:rPr>
              <w:fldChar w:fldCharType="end"/>
            </w:r>
          </w:hyperlink>
        </w:p>
        <w:p w:rsidR="006D18E7" w:rsidRPr="006D18E7" w:rsidRDefault="00905AC9">
          <w:pPr>
            <w:pStyle w:val="TOC1"/>
            <w:tabs>
              <w:tab w:val="right" w:leader="dot" w:pos="9457"/>
            </w:tabs>
            <w:rPr>
              <w:rFonts w:eastAsiaTheme="minorEastAsia"/>
              <w:noProof/>
              <w:sz w:val="20"/>
              <w:szCs w:val="20"/>
              <w:lang w:val="en-GB" w:eastAsia="en-GB"/>
            </w:rPr>
          </w:pPr>
          <w:hyperlink w:anchor="_Toc423597522" w:history="1">
            <w:r w:rsidR="006D18E7" w:rsidRPr="006D18E7">
              <w:rPr>
                <w:rStyle w:val="Hyperlink"/>
                <w:rFonts w:ascii="Verdana" w:hAnsi="Verdana" w:cs="Times New Roman"/>
                <w:noProof/>
                <w:sz w:val="20"/>
                <w:szCs w:val="20"/>
              </w:rPr>
              <w:t>4.1 About this chapter</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_Toc423597522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25</w:t>
            </w:r>
            <w:r w:rsidR="006D18E7" w:rsidRPr="006D18E7">
              <w:rPr>
                <w:noProof/>
                <w:webHidden/>
                <w:sz w:val="20"/>
                <w:szCs w:val="20"/>
              </w:rPr>
              <w:fldChar w:fldCharType="end"/>
            </w:r>
          </w:hyperlink>
        </w:p>
        <w:p w:rsidR="006D18E7" w:rsidRPr="006D18E7" w:rsidRDefault="00905AC9">
          <w:pPr>
            <w:pStyle w:val="TOC1"/>
            <w:tabs>
              <w:tab w:val="right" w:leader="dot" w:pos="9457"/>
            </w:tabs>
            <w:rPr>
              <w:rFonts w:eastAsiaTheme="minorEastAsia"/>
              <w:noProof/>
              <w:sz w:val="20"/>
              <w:szCs w:val="20"/>
              <w:lang w:val="en-GB" w:eastAsia="en-GB"/>
            </w:rPr>
          </w:pPr>
          <w:hyperlink w:anchor="_Toc423597523" w:history="1">
            <w:r w:rsidR="006D18E7" w:rsidRPr="006D18E7">
              <w:rPr>
                <w:rStyle w:val="Hyperlink"/>
                <w:rFonts w:ascii="Verdana" w:hAnsi="Verdana" w:cs="Times New Roman"/>
                <w:noProof/>
                <w:sz w:val="20"/>
                <w:szCs w:val="20"/>
              </w:rPr>
              <w:t>4.2. Concepts and theories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_Toc423597523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25</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24" w:history="1">
            <w:r w:rsidR="006D18E7" w:rsidRPr="006D18E7">
              <w:rPr>
                <w:rStyle w:val="Hyperlink"/>
                <w:rFonts w:ascii="Verdana" w:hAnsi="Verdana" w:cs="Times New Roman"/>
                <w:noProof/>
                <w:sz w:val="20"/>
                <w:szCs w:val="20"/>
                <w:lang w:val="fr-BE"/>
              </w:rPr>
              <w:t>4.2.1 Data and information</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_Toc423597524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25</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25" w:history="1">
            <w:r w:rsidR="006D18E7" w:rsidRPr="006D18E7">
              <w:rPr>
                <w:rStyle w:val="Hyperlink"/>
                <w:rFonts w:ascii="Verdana" w:hAnsi="Verdana" w:cs="Times New Roman"/>
                <w:noProof/>
                <w:sz w:val="20"/>
                <w:szCs w:val="20"/>
              </w:rPr>
              <w:t>4.2.2 Information and IT governance</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_Toc423597525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26</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26" w:history="1">
            <w:r w:rsidR="006D18E7" w:rsidRPr="006D18E7">
              <w:rPr>
                <w:rStyle w:val="Hyperlink"/>
                <w:rFonts w:ascii="Verdana" w:hAnsi="Verdana" w:cs="Times New Roman"/>
                <w:noProof/>
                <w:sz w:val="20"/>
                <w:szCs w:val="20"/>
              </w:rPr>
              <w:t>4.2.3 The contingency theory</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_Toc423597526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26</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27" w:history="1">
            <w:r w:rsidR="006D18E7" w:rsidRPr="006D18E7">
              <w:rPr>
                <w:rStyle w:val="Hyperlink"/>
                <w:rFonts w:ascii="Verdana" w:hAnsi="Verdana" w:cs="Times New Roman"/>
                <w:noProof/>
                <w:sz w:val="20"/>
                <w:szCs w:val="20"/>
              </w:rPr>
              <w:t>4.2.4 Governance and management</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_Toc423597527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27</w:t>
            </w:r>
            <w:r w:rsidR="006D18E7" w:rsidRPr="006D18E7">
              <w:rPr>
                <w:noProof/>
                <w:webHidden/>
                <w:sz w:val="20"/>
                <w:szCs w:val="20"/>
              </w:rPr>
              <w:fldChar w:fldCharType="end"/>
            </w:r>
          </w:hyperlink>
        </w:p>
        <w:p w:rsidR="006D18E7" w:rsidRPr="006D18E7" w:rsidRDefault="00905AC9">
          <w:pPr>
            <w:pStyle w:val="TOC1"/>
            <w:tabs>
              <w:tab w:val="right" w:leader="dot" w:pos="9457"/>
            </w:tabs>
            <w:rPr>
              <w:rFonts w:eastAsiaTheme="minorEastAsia"/>
              <w:noProof/>
              <w:sz w:val="20"/>
              <w:szCs w:val="20"/>
              <w:lang w:val="en-GB" w:eastAsia="en-GB"/>
            </w:rPr>
          </w:pPr>
          <w:hyperlink w:anchor="_Toc423597528" w:history="1">
            <w:r w:rsidR="006D18E7" w:rsidRPr="006D18E7">
              <w:rPr>
                <w:rStyle w:val="Hyperlink"/>
                <w:rFonts w:ascii="Verdana" w:hAnsi="Verdana" w:cs="Times New Roman"/>
                <w:noProof/>
                <w:sz w:val="20"/>
                <w:szCs w:val="20"/>
              </w:rPr>
              <w:t>4.3 Defining data governance</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_Toc423597528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29</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29" w:history="1">
            <w:r w:rsidR="006D18E7" w:rsidRPr="006D18E7">
              <w:rPr>
                <w:rStyle w:val="Hyperlink"/>
                <w:rFonts w:ascii="Verdana" w:hAnsi="Verdana" w:cs="Times New Roman"/>
                <w:noProof/>
                <w:sz w:val="20"/>
                <w:szCs w:val="20"/>
              </w:rPr>
              <w:t>4.3.1 Methodology of research part 1</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_Toc423597529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29</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30" w:history="1">
            <w:r w:rsidR="006D18E7" w:rsidRPr="006D18E7">
              <w:rPr>
                <w:rStyle w:val="Hyperlink"/>
                <w:rFonts w:ascii="Verdana" w:hAnsi="Verdana" w:cs="Times New Roman"/>
                <w:noProof/>
                <w:sz w:val="20"/>
                <w:szCs w:val="20"/>
              </w:rPr>
              <w:t>4.3.2 Data Governance Definitions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_Toc423597530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30</w:t>
            </w:r>
            <w:r w:rsidR="006D18E7" w:rsidRPr="006D18E7">
              <w:rPr>
                <w:noProof/>
                <w:webHidden/>
                <w:sz w:val="20"/>
                <w:szCs w:val="20"/>
              </w:rPr>
              <w:fldChar w:fldCharType="end"/>
            </w:r>
          </w:hyperlink>
        </w:p>
        <w:p w:rsidR="006D18E7" w:rsidRPr="006D18E7" w:rsidRDefault="00905AC9">
          <w:pPr>
            <w:pStyle w:val="TOC1"/>
            <w:tabs>
              <w:tab w:val="right" w:leader="dot" w:pos="9457"/>
            </w:tabs>
            <w:rPr>
              <w:rFonts w:eastAsiaTheme="minorEastAsia"/>
              <w:noProof/>
              <w:sz w:val="20"/>
              <w:szCs w:val="20"/>
              <w:lang w:val="en-GB" w:eastAsia="en-GB"/>
            </w:rPr>
          </w:pPr>
          <w:hyperlink w:anchor="_Toc423597531" w:history="1">
            <w:r w:rsidR="006D18E7" w:rsidRPr="006D18E7">
              <w:rPr>
                <w:rStyle w:val="Hyperlink"/>
                <w:rFonts w:ascii="Verdana" w:hAnsi="Verdana" w:cs="Times New Roman"/>
                <w:noProof/>
                <w:sz w:val="20"/>
                <w:szCs w:val="20"/>
              </w:rPr>
              <w:t>4.4 Data governance classifications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_Toc423597531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32</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32" w:history="1">
            <w:r w:rsidR="006D18E7" w:rsidRPr="006D18E7">
              <w:rPr>
                <w:rStyle w:val="Hyperlink"/>
                <w:rFonts w:ascii="Verdana" w:hAnsi="Verdana" w:cs="Times New Roman"/>
                <w:noProof/>
                <w:sz w:val="20"/>
                <w:szCs w:val="20"/>
              </w:rPr>
              <w:t>4.4.1 Data quality management</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_Toc423597532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32</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33" w:history="1">
            <w:r w:rsidR="006D18E7" w:rsidRPr="006D18E7">
              <w:rPr>
                <w:rStyle w:val="Hyperlink"/>
                <w:rFonts w:ascii="Verdana" w:hAnsi="Verdana" w:cs="Times New Roman"/>
                <w:noProof/>
                <w:sz w:val="20"/>
                <w:szCs w:val="20"/>
              </w:rPr>
              <w:t>4.4.2 Structures, operations and relations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_Toc423597533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32</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34" w:history="1">
            <w:r w:rsidR="006D18E7" w:rsidRPr="006D18E7">
              <w:rPr>
                <w:rStyle w:val="Hyperlink"/>
                <w:rFonts w:ascii="Verdana" w:hAnsi="Verdana" w:cs="Times New Roman"/>
                <w:noProof/>
                <w:sz w:val="20"/>
                <w:szCs w:val="20"/>
              </w:rPr>
              <w:t>4.4.3 Outcomes, enablers, core and support disciplines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_Toc423597534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33</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35" w:history="1">
            <w:r w:rsidR="006D18E7" w:rsidRPr="006D18E7">
              <w:rPr>
                <w:rStyle w:val="Hyperlink"/>
                <w:rFonts w:ascii="Verdana" w:hAnsi="Verdana" w:cs="Times New Roman"/>
                <w:noProof/>
                <w:sz w:val="20"/>
                <w:szCs w:val="20"/>
              </w:rPr>
              <w:t>4.4.4 Principles of data governance</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_Toc423597535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33</w:t>
            </w:r>
            <w:r w:rsidR="006D18E7" w:rsidRPr="006D18E7">
              <w:rPr>
                <w:noProof/>
                <w:webHidden/>
                <w:sz w:val="20"/>
                <w:szCs w:val="20"/>
              </w:rPr>
              <w:fldChar w:fldCharType="end"/>
            </w:r>
          </w:hyperlink>
        </w:p>
        <w:p w:rsidR="006D18E7" w:rsidRPr="006D18E7" w:rsidRDefault="00905AC9">
          <w:pPr>
            <w:pStyle w:val="TOC1"/>
            <w:tabs>
              <w:tab w:val="right" w:leader="dot" w:pos="9457"/>
            </w:tabs>
            <w:rPr>
              <w:rFonts w:eastAsiaTheme="minorEastAsia"/>
              <w:noProof/>
              <w:sz w:val="20"/>
              <w:szCs w:val="20"/>
              <w:lang w:val="en-GB" w:eastAsia="en-GB"/>
            </w:rPr>
          </w:pPr>
          <w:hyperlink w:anchor="_Toc423597536" w:history="1">
            <w:r w:rsidR="006D18E7" w:rsidRPr="006D18E7">
              <w:rPr>
                <w:rStyle w:val="Hyperlink"/>
                <w:rFonts w:ascii="Verdana" w:hAnsi="Verdana" w:cs="Times New Roman"/>
                <w:noProof/>
                <w:sz w:val="20"/>
                <w:szCs w:val="20"/>
              </w:rPr>
              <w:t>4.5 Data governance processes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_Toc423597536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33</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37" w:history="1">
            <w:r w:rsidR="006D18E7" w:rsidRPr="006D18E7">
              <w:rPr>
                <w:rStyle w:val="Hyperlink"/>
                <w:rFonts w:ascii="Verdana" w:hAnsi="Verdana" w:cs="Times New Roman"/>
                <w:noProof/>
                <w:sz w:val="20"/>
                <w:szCs w:val="20"/>
              </w:rPr>
              <w:t>4.5.1 Methodology of research part 2</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_Toc423597537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34</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38" w:history="1">
            <w:r w:rsidR="006D18E7" w:rsidRPr="006D18E7">
              <w:rPr>
                <w:rStyle w:val="Hyperlink"/>
                <w:rFonts w:ascii="Verdana" w:hAnsi="Verdana" w:cs="Times New Roman"/>
                <w:noProof/>
                <w:sz w:val="20"/>
                <w:szCs w:val="20"/>
              </w:rPr>
              <w:t>4.5.2 Data governance key processes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_Toc423597538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34</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39" w:history="1">
            <w:r w:rsidR="006D18E7" w:rsidRPr="006D18E7">
              <w:rPr>
                <w:rStyle w:val="Hyperlink"/>
                <w:rFonts w:ascii="Verdana" w:hAnsi="Verdana" w:cs="Times New Roman"/>
                <w:noProof/>
                <w:sz w:val="20"/>
                <w:szCs w:val="20"/>
              </w:rPr>
              <w:t>4.5.3 Responsibilities &amp; decision-making rights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_Toc423597539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36</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40" w:history="1">
            <w:r w:rsidR="006D18E7" w:rsidRPr="006D18E7">
              <w:rPr>
                <w:rStyle w:val="Hyperlink"/>
                <w:rFonts w:ascii="Verdana" w:hAnsi="Verdana" w:cs="Times New Roman"/>
                <w:noProof/>
                <w:sz w:val="20"/>
                <w:szCs w:val="20"/>
              </w:rPr>
              <w:t>4.5.4 RACI matrix</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_Toc423597540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37</w:t>
            </w:r>
            <w:r w:rsidR="006D18E7" w:rsidRPr="006D18E7">
              <w:rPr>
                <w:noProof/>
                <w:webHidden/>
                <w:sz w:val="20"/>
                <w:szCs w:val="20"/>
              </w:rPr>
              <w:fldChar w:fldCharType="end"/>
            </w:r>
          </w:hyperlink>
        </w:p>
        <w:p w:rsidR="006D18E7" w:rsidRPr="006D18E7" w:rsidRDefault="00905AC9">
          <w:pPr>
            <w:pStyle w:val="TOC1"/>
            <w:tabs>
              <w:tab w:val="right" w:leader="dot" w:pos="9457"/>
            </w:tabs>
            <w:rPr>
              <w:rFonts w:eastAsiaTheme="minorEastAsia"/>
              <w:noProof/>
              <w:sz w:val="20"/>
              <w:szCs w:val="20"/>
              <w:lang w:val="en-GB" w:eastAsia="en-GB"/>
            </w:rPr>
          </w:pPr>
          <w:hyperlink w:anchor="_Toc423597541" w:history="1">
            <w:r w:rsidR="006D18E7" w:rsidRPr="006D18E7">
              <w:rPr>
                <w:rStyle w:val="Hyperlink"/>
                <w:rFonts w:ascii="Verdana" w:hAnsi="Verdana" w:cs="Times New Roman"/>
                <w:noProof/>
                <w:sz w:val="20"/>
                <w:szCs w:val="20"/>
              </w:rPr>
              <w:t>4.6 Chapter conclusions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_Toc423597541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39</w:t>
            </w:r>
            <w:r w:rsidR="006D18E7" w:rsidRPr="006D18E7">
              <w:rPr>
                <w:noProof/>
                <w:webHidden/>
                <w:sz w:val="20"/>
                <w:szCs w:val="20"/>
              </w:rPr>
              <w:fldChar w:fldCharType="end"/>
            </w:r>
          </w:hyperlink>
        </w:p>
        <w:p w:rsidR="006D18E7" w:rsidRPr="006D18E7" w:rsidRDefault="00905AC9">
          <w:pPr>
            <w:pStyle w:val="TOC1"/>
            <w:tabs>
              <w:tab w:val="right" w:leader="dot" w:pos="9457"/>
            </w:tabs>
            <w:rPr>
              <w:rFonts w:eastAsiaTheme="minorEastAsia"/>
              <w:noProof/>
              <w:sz w:val="20"/>
              <w:szCs w:val="20"/>
              <w:lang w:val="en-GB" w:eastAsia="en-GB"/>
            </w:rPr>
          </w:pPr>
          <w:hyperlink w:anchor="_Toc423597542" w:history="1">
            <w:r w:rsidR="006D18E7" w:rsidRPr="006D18E7">
              <w:rPr>
                <w:rStyle w:val="Hyperlink"/>
                <w:rFonts w:ascii="Verdana" w:hAnsi="Verdana"/>
                <w:noProof/>
                <w:sz w:val="20"/>
                <w:szCs w:val="20"/>
              </w:rPr>
              <w:t>5. INTRODUCTION TO BIG DATA</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_Toc423597542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41</w:t>
            </w:r>
            <w:r w:rsidR="006D18E7" w:rsidRPr="006D18E7">
              <w:rPr>
                <w:noProof/>
                <w:webHidden/>
                <w:sz w:val="20"/>
                <w:szCs w:val="20"/>
              </w:rPr>
              <w:fldChar w:fldCharType="end"/>
            </w:r>
          </w:hyperlink>
        </w:p>
        <w:p w:rsidR="006D18E7" w:rsidRPr="006D18E7" w:rsidRDefault="00905AC9">
          <w:pPr>
            <w:pStyle w:val="TOC1"/>
            <w:tabs>
              <w:tab w:val="right" w:leader="dot" w:pos="9457"/>
            </w:tabs>
            <w:rPr>
              <w:rFonts w:eastAsiaTheme="minorEastAsia"/>
              <w:noProof/>
              <w:sz w:val="20"/>
              <w:szCs w:val="20"/>
              <w:lang w:val="en-GB" w:eastAsia="en-GB"/>
            </w:rPr>
          </w:pPr>
          <w:hyperlink w:anchor="_Toc423597543" w:history="1">
            <w:r w:rsidR="006D18E7" w:rsidRPr="006D18E7">
              <w:rPr>
                <w:rStyle w:val="Hyperlink"/>
                <w:rFonts w:ascii="Verdana" w:hAnsi="Verdana" w:cs="Times New Roman"/>
                <w:noProof/>
                <w:sz w:val="20"/>
                <w:szCs w:val="20"/>
              </w:rPr>
              <w:t>5.1 About this chapter</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_Toc423597543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41</w:t>
            </w:r>
            <w:r w:rsidR="006D18E7" w:rsidRPr="006D18E7">
              <w:rPr>
                <w:noProof/>
                <w:webHidden/>
                <w:sz w:val="20"/>
                <w:szCs w:val="20"/>
              </w:rPr>
              <w:fldChar w:fldCharType="end"/>
            </w:r>
          </w:hyperlink>
        </w:p>
        <w:p w:rsidR="006D18E7" w:rsidRPr="006D18E7" w:rsidRDefault="00905AC9">
          <w:pPr>
            <w:pStyle w:val="TOC1"/>
            <w:tabs>
              <w:tab w:val="right" w:leader="dot" w:pos="9457"/>
            </w:tabs>
            <w:rPr>
              <w:rFonts w:eastAsiaTheme="minorEastAsia"/>
              <w:noProof/>
              <w:sz w:val="20"/>
              <w:szCs w:val="20"/>
              <w:lang w:val="en-GB" w:eastAsia="en-GB"/>
            </w:rPr>
          </w:pPr>
          <w:hyperlink w:anchor="_Toc423597544" w:history="1">
            <w:r w:rsidR="006D18E7" w:rsidRPr="006D18E7">
              <w:rPr>
                <w:rStyle w:val="Hyperlink"/>
                <w:rFonts w:ascii="Verdana" w:hAnsi="Verdana" w:cs="Times New Roman"/>
                <w:noProof/>
                <w:sz w:val="20"/>
                <w:szCs w:val="20"/>
              </w:rPr>
              <w:t>5.2 Big Data : Definition and Dimensions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_Toc423597544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41</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45" w:history="1">
            <w:r w:rsidR="006D18E7" w:rsidRPr="006D18E7">
              <w:rPr>
                <w:rStyle w:val="Hyperlink"/>
                <w:rFonts w:ascii="Verdana" w:hAnsi="Verdana" w:cs="Times New Roman"/>
                <w:noProof/>
                <w:sz w:val="20"/>
                <w:szCs w:val="20"/>
              </w:rPr>
              <w:t>5.2.1 Defining Big Data</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_Toc423597545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41</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46" w:history="1">
            <w:r w:rsidR="006D18E7" w:rsidRPr="006D18E7">
              <w:rPr>
                <w:rStyle w:val="Hyperlink"/>
                <w:rFonts w:ascii="Verdana" w:hAnsi="Verdana" w:cs="Times New Roman"/>
                <w:noProof/>
                <w:sz w:val="20"/>
                <w:szCs w:val="20"/>
              </w:rPr>
              <w:t>5.2.2 Dimensions model in theory</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_Toc423597546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44</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47" w:history="1">
            <w:r w:rsidR="006D18E7" w:rsidRPr="006D18E7">
              <w:rPr>
                <w:rStyle w:val="Hyperlink"/>
                <w:rFonts w:ascii="Verdana" w:hAnsi="Verdana" w:cs="Times New Roman"/>
                <w:noProof/>
                <w:sz w:val="20"/>
                <w:szCs w:val="20"/>
              </w:rPr>
              <w:t>5.2.3 Dimensions model research</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_Toc423597547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45</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48" w:history="1">
            <w:r w:rsidR="006D18E7" w:rsidRPr="006D18E7">
              <w:rPr>
                <w:rStyle w:val="Hyperlink"/>
                <w:rFonts w:ascii="Verdana" w:hAnsi="Verdana" w:cs="Times New Roman"/>
                <w:noProof/>
                <w:sz w:val="20"/>
                <w:szCs w:val="20"/>
              </w:rPr>
              <w:t>5.2.4 Proposed definition and dimensions model</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_Toc423597548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46</w:t>
            </w:r>
            <w:r w:rsidR="006D18E7" w:rsidRPr="006D18E7">
              <w:rPr>
                <w:noProof/>
                <w:webHidden/>
                <w:sz w:val="20"/>
                <w:szCs w:val="20"/>
              </w:rPr>
              <w:fldChar w:fldCharType="end"/>
            </w:r>
          </w:hyperlink>
        </w:p>
        <w:p w:rsidR="006D18E7" w:rsidRPr="006D18E7" w:rsidRDefault="00905AC9">
          <w:pPr>
            <w:pStyle w:val="TOC1"/>
            <w:tabs>
              <w:tab w:val="right" w:leader="dot" w:pos="9457"/>
            </w:tabs>
            <w:rPr>
              <w:rFonts w:eastAsiaTheme="minorEastAsia"/>
              <w:noProof/>
              <w:sz w:val="20"/>
              <w:szCs w:val="20"/>
              <w:lang w:val="en-GB" w:eastAsia="en-GB"/>
            </w:rPr>
          </w:pPr>
          <w:hyperlink w:anchor="_Toc423597549" w:history="1">
            <w:r w:rsidR="006D18E7" w:rsidRPr="006D18E7">
              <w:rPr>
                <w:rStyle w:val="Hyperlink"/>
                <w:rFonts w:ascii="Verdana" w:hAnsi="Verdana" w:cs="Times New Roman"/>
                <w:noProof/>
                <w:sz w:val="20"/>
                <w:szCs w:val="20"/>
              </w:rPr>
              <w:t>5.3 Big data features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_Toc423597549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47</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50" w:history="1">
            <w:r w:rsidR="006D18E7" w:rsidRPr="006D18E7">
              <w:rPr>
                <w:rStyle w:val="Hyperlink"/>
                <w:rFonts w:ascii="Verdana" w:hAnsi="Verdana" w:cs="Times New Roman"/>
                <w:noProof/>
                <w:sz w:val="20"/>
                <w:szCs w:val="20"/>
              </w:rPr>
              <w:t>5.3.1 Origin and size</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_Toc423597550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47</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51" w:history="1">
            <w:r w:rsidR="006D18E7" w:rsidRPr="006D18E7">
              <w:rPr>
                <w:rStyle w:val="Hyperlink"/>
                <w:rFonts w:ascii="Verdana" w:hAnsi="Verdana" w:cs="Times New Roman"/>
                <w:noProof/>
                <w:sz w:val="20"/>
                <w:szCs w:val="20"/>
              </w:rPr>
              <w:t>5.3.2 Early trends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_Toc423597551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47</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52" w:history="1">
            <w:r w:rsidR="006D18E7" w:rsidRPr="006D18E7">
              <w:rPr>
                <w:rStyle w:val="Hyperlink"/>
                <w:rFonts w:ascii="Verdana" w:hAnsi="Verdana" w:cs="Times New Roman"/>
                <w:noProof/>
                <w:sz w:val="20"/>
                <w:szCs w:val="20"/>
              </w:rPr>
              <w:t>5.3.3 Data sources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_Toc423597552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48</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53" w:history="1">
            <w:r w:rsidR="006D18E7" w:rsidRPr="006D18E7">
              <w:rPr>
                <w:rStyle w:val="Hyperlink"/>
                <w:rFonts w:ascii="Verdana" w:hAnsi="Verdana" w:cs="Times New Roman"/>
                <w:noProof/>
                <w:sz w:val="20"/>
                <w:szCs w:val="20"/>
              </w:rPr>
              <w:t>5.3.4 Traditional data and big data</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_Toc423597553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48</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54" w:history="1">
            <w:r w:rsidR="006D18E7" w:rsidRPr="006D18E7">
              <w:rPr>
                <w:rStyle w:val="Hyperlink"/>
                <w:rFonts w:ascii="Verdana" w:hAnsi="Verdana" w:cs="Times New Roman"/>
                <w:noProof/>
                <w:sz w:val="20"/>
                <w:szCs w:val="20"/>
              </w:rPr>
              <w:t>5.3.5 Themes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_Toc423597554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49</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55" w:history="1">
            <w:r w:rsidR="006D18E7" w:rsidRPr="006D18E7">
              <w:rPr>
                <w:rStyle w:val="Hyperlink"/>
                <w:rFonts w:ascii="Verdana" w:hAnsi="Verdana" w:cs="Times New Roman"/>
                <w:noProof/>
                <w:sz w:val="20"/>
                <w:szCs w:val="20"/>
              </w:rPr>
              <w:t>5.3.6 Technologies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_Toc423597555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50</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56" w:history="1">
            <w:r w:rsidR="006D18E7" w:rsidRPr="006D18E7">
              <w:rPr>
                <w:rStyle w:val="Hyperlink"/>
                <w:rFonts w:ascii="Verdana" w:hAnsi="Verdana" w:cs="Times New Roman"/>
                <w:noProof/>
                <w:sz w:val="20"/>
                <w:szCs w:val="20"/>
              </w:rPr>
              <w:t>5.3.7 Architecture framework</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_Toc423597556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51</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57" w:history="1">
            <w:r w:rsidR="006D18E7" w:rsidRPr="006D18E7">
              <w:rPr>
                <w:rStyle w:val="Hyperlink"/>
                <w:rFonts w:ascii="Verdana" w:hAnsi="Verdana" w:cs="Times New Roman"/>
                <w:noProof/>
                <w:sz w:val="20"/>
                <w:szCs w:val="20"/>
                <w:lang w:val="fr-BE"/>
              </w:rPr>
              <w:t>5.3.8 Strategies for implementation</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_Toc423597557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52</w:t>
            </w:r>
            <w:r w:rsidR="006D18E7" w:rsidRPr="006D18E7">
              <w:rPr>
                <w:noProof/>
                <w:webHidden/>
                <w:sz w:val="20"/>
                <w:szCs w:val="20"/>
              </w:rPr>
              <w:fldChar w:fldCharType="end"/>
            </w:r>
          </w:hyperlink>
        </w:p>
        <w:p w:rsidR="006D18E7" w:rsidRPr="006D18E7" w:rsidRDefault="00905AC9">
          <w:pPr>
            <w:pStyle w:val="TOC1"/>
            <w:tabs>
              <w:tab w:val="right" w:leader="dot" w:pos="9457"/>
            </w:tabs>
            <w:rPr>
              <w:rFonts w:eastAsiaTheme="minorEastAsia"/>
              <w:noProof/>
              <w:sz w:val="20"/>
              <w:szCs w:val="20"/>
              <w:lang w:val="en-GB" w:eastAsia="en-GB"/>
            </w:rPr>
          </w:pPr>
          <w:hyperlink w:anchor="_Toc423597558" w:history="1">
            <w:r w:rsidR="006D18E7" w:rsidRPr="006D18E7">
              <w:rPr>
                <w:rStyle w:val="Hyperlink"/>
                <w:rFonts w:ascii="Verdana" w:hAnsi="Verdana" w:cs="Times New Roman"/>
                <w:noProof/>
                <w:sz w:val="20"/>
                <w:szCs w:val="20"/>
              </w:rPr>
              <w:t>5.4 Big Data projects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_Toc423597558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53</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59" w:history="1">
            <w:r w:rsidR="006D18E7" w:rsidRPr="006D18E7">
              <w:rPr>
                <w:rStyle w:val="Hyperlink"/>
                <w:rFonts w:ascii="Verdana" w:hAnsi="Verdana" w:cs="Times New Roman"/>
                <w:noProof/>
                <w:sz w:val="20"/>
                <w:szCs w:val="20"/>
              </w:rPr>
              <w:t>5.4.1 Financial valuation</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_Toc423597559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53</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60" w:history="1">
            <w:r w:rsidR="006D18E7" w:rsidRPr="006D18E7">
              <w:rPr>
                <w:rStyle w:val="Hyperlink"/>
                <w:rFonts w:ascii="Verdana" w:hAnsi="Verdana" w:cs="Times New Roman"/>
                <w:noProof/>
                <w:sz w:val="20"/>
                <w:szCs w:val="20"/>
              </w:rPr>
              <w:t>5.4.2 Cost, privacy and quality</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_Toc423597560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53</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61" w:history="1">
            <w:r w:rsidR="006D18E7" w:rsidRPr="006D18E7">
              <w:rPr>
                <w:rStyle w:val="Hyperlink"/>
                <w:rFonts w:ascii="Verdana" w:hAnsi="Verdana" w:cs="Times New Roman"/>
                <w:noProof/>
                <w:sz w:val="20"/>
                <w:szCs w:val="20"/>
              </w:rPr>
              <w:t>5.4.3 Analytics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_Toc423597561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54</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62" w:history="1">
            <w:r w:rsidR="006D18E7" w:rsidRPr="006D18E7">
              <w:rPr>
                <w:rStyle w:val="Hyperlink"/>
                <w:rFonts w:ascii="Verdana" w:hAnsi="Verdana" w:cs="Times New Roman"/>
                <w:noProof/>
                <w:sz w:val="20"/>
                <w:szCs w:val="20"/>
              </w:rPr>
              <w:t>5.4.4 Access, storage and processing</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_Toc423597562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55</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63" w:history="1">
            <w:r w:rsidR="006D18E7" w:rsidRPr="006D18E7">
              <w:rPr>
                <w:rStyle w:val="Hyperlink"/>
                <w:rFonts w:ascii="Verdana" w:hAnsi="Verdana" w:cs="Times New Roman"/>
                <w:noProof/>
                <w:sz w:val="20"/>
                <w:szCs w:val="20"/>
              </w:rPr>
              <w:t>5.4.5 Resources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_Toc423597563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55</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64" w:history="1">
            <w:r w:rsidR="006D18E7" w:rsidRPr="006D18E7">
              <w:rPr>
                <w:rStyle w:val="Hyperlink"/>
                <w:rFonts w:ascii="Verdana" w:hAnsi="Verdana" w:cs="Times New Roman"/>
                <w:noProof/>
                <w:sz w:val="20"/>
                <w:szCs w:val="20"/>
              </w:rPr>
              <w:t>5.4.6 Use Cases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_Toc423597564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55</w:t>
            </w:r>
            <w:r w:rsidR="006D18E7" w:rsidRPr="006D18E7">
              <w:rPr>
                <w:noProof/>
                <w:webHidden/>
                <w:sz w:val="20"/>
                <w:szCs w:val="20"/>
              </w:rPr>
              <w:fldChar w:fldCharType="end"/>
            </w:r>
          </w:hyperlink>
        </w:p>
        <w:p w:rsidR="006D18E7" w:rsidRPr="006D18E7" w:rsidRDefault="00905AC9">
          <w:pPr>
            <w:pStyle w:val="TOC1"/>
            <w:tabs>
              <w:tab w:val="right" w:leader="dot" w:pos="9457"/>
            </w:tabs>
            <w:rPr>
              <w:rFonts w:eastAsiaTheme="minorEastAsia"/>
              <w:noProof/>
              <w:sz w:val="20"/>
              <w:szCs w:val="20"/>
              <w:lang w:val="en-GB" w:eastAsia="en-GB"/>
            </w:rPr>
          </w:pPr>
          <w:hyperlink w:anchor="_Toc423597565" w:history="1">
            <w:r w:rsidR="006D18E7" w:rsidRPr="006D18E7">
              <w:rPr>
                <w:rStyle w:val="Hyperlink"/>
                <w:rFonts w:ascii="Verdana" w:hAnsi="Verdana" w:cs="Times New Roman"/>
                <w:noProof/>
                <w:sz w:val="20"/>
                <w:szCs w:val="20"/>
              </w:rPr>
              <w:t>5.5 Chapter conclusions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_Toc423597565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56</w:t>
            </w:r>
            <w:r w:rsidR="006D18E7" w:rsidRPr="006D18E7">
              <w:rPr>
                <w:noProof/>
                <w:webHidden/>
                <w:sz w:val="20"/>
                <w:szCs w:val="20"/>
              </w:rPr>
              <w:fldChar w:fldCharType="end"/>
            </w:r>
          </w:hyperlink>
        </w:p>
        <w:p w:rsidR="006D18E7" w:rsidRPr="006D18E7" w:rsidRDefault="00905AC9">
          <w:pPr>
            <w:pStyle w:val="TOC1"/>
            <w:tabs>
              <w:tab w:val="right" w:leader="dot" w:pos="9457"/>
            </w:tabs>
            <w:rPr>
              <w:rFonts w:eastAsiaTheme="minorEastAsia"/>
              <w:noProof/>
              <w:sz w:val="20"/>
              <w:szCs w:val="20"/>
              <w:lang w:val="en-GB" w:eastAsia="en-GB"/>
            </w:rPr>
          </w:pPr>
          <w:hyperlink w:anchor="_Toc423597566" w:history="1">
            <w:r w:rsidR="006D18E7" w:rsidRPr="006D18E7">
              <w:rPr>
                <w:rStyle w:val="Hyperlink"/>
                <w:rFonts w:ascii="Verdana" w:hAnsi="Verdana"/>
                <w:noProof/>
                <w:sz w:val="20"/>
                <w:szCs w:val="20"/>
              </w:rPr>
              <w:t>6. DEVELOPING (BIG) DATA CAPABILITY MATURITY MODEL FOR THE BELGIAN FINANCIAL SECTOR</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_Toc423597566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59</w:t>
            </w:r>
            <w:r w:rsidR="006D18E7" w:rsidRPr="006D18E7">
              <w:rPr>
                <w:noProof/>
                <w:webHidden/>
                <w:sz w:val="20"/>
                <w:szCs w:val="20"/>
              </w:rPr>
              <w:fldChar w:fldCharType="end"/>
            </w:r>
          </w:hyperlink>
        </w:p>
        <w:p w:rsidR="006D18E7" w:rsidRPr="006D18E7" w:rsidRDefault="00905AC9">
          <w:pPr>
            <w:pStyle w:val="TOC1"/>
            <w:tabs>
              <w:tab w:val="right" w:leader="dot" w:pos="9457"/>
            </w:tabs>
            <w:rPr>
              <w:rFonts w:eastAsiaTheme="minorEastAsia"/>
              <w:noProof/>
              <w:sz w:val="20"/>
              <w:szCs w:val="20"/>
              <w:lang w:val="en-GB" w:eastAsia="en-GB"/>
            </w:rPr>
          </w:pPr>
          <w:hyperlink w:anchor="_Toc423597567" w:history="1">
            <w:r w:rsidR="006D18E7" w:rsidRPr="006D18E7">
              <w:rPr>
                <w:rStyle w:val="Hyperlink"/>
                <w:rFonts w:ascii="Verdana" w:hAnsi="Verdana" w:cs="Times New Roman"/>
                <w:noProof/>
                <w:sz w:val="20"/>
                <w:szCs w:val="20"/>
              </w:rPr>
              <w:t>6.1 About this chapter</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_Toc423597567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59</w:t>
            </w:r>
            <w:r w:rsidR="006D18E7" w:rsidRPr="006D18E7">
              <w:rPr>
                <w:noProof/>
                <w:webHidden/>
                <w:sz w:val="20"/>
                <w:szCs w:val="20"/>
              </w:rPr>
              <w:fldChar w:fldCharType="end"/>
            </w:r>
          </w:hyperlink>
        </w:p>
        <w:p w:rsidR="006D18E7" w:rsidRPr="006D18E7" w:rsidRDefault="00905AC9">
          <w:pPr>
            <w:pStyle w:val="TOC1"/>
            <w:tabs>
              <w:tab w:val="right" w:leader="dot" w:pos="9457"/>
            </w:tabs>
            <w:rPr>
              <w:rFonts w:eastAsiaTheme="minorEastAsia"/>
              <w:noProof/>
              <w:sz w:val="20"/>
              <w:szCs w:val="20"/>
              <w:lang w:val="en-GB" w:eastAsia="en-GB"/>
            </w:rPr>
          </w:pPr>
          <w:hyperlink w:anchor="_Toc423597568" w:history="1">
            <w:r w:rsidR="006D18E7" w:rsidRPr="006D18E7">
              <w:rPr>
                <w:rStyle w:val="Hyperlink"/>
                <w:rFonts w:ascii="Verdana" w:hAnsi="Verdana" w:cs="Times New Roman"/>
                <w:noProof/>
                <w:sz w:val="20"/>
                <w:szCs w:val="20"/>
              </w:rPr>
              <w:t>6.2 Big Data Governance</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_Toc423597568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59</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69" w:history="1">
            <w:r w:rsidR="006D18E7" w:rsidRPr="006D18E7">
              <w:rPr>
                <w:rStyle w:val="Hyperlink"/>
                <w:rFonts w:ascii="Verdana" w:hAnsi="Verdana" w:cs="Times New Roman"/>
                <w:noProof/>
                <w:sz w:val="20"/>
                <w:szCs w:val="20"/>
              </w:rPr>
              <w:t>6.2.1 Big data governance models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_Toc423597569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59</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70" w:history="1">
            <w:r w:rsidR="006D18E7" w:rsidRPr="006D18E7">
              <w:rPr>
                <w:rStyle w:val="Hyperlink"/>
                <w:rFonts w:ascii="Verdana" w:hAnsi="Verdana" w:cs="Times New Roman"/>
                <w:noProof/>
                <w:sz w:val="20"/>
                <w:szCs w:val="20"/>
              </w:rPr>
              <w:t>6.2.2 Business and technological capabilities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_Toc423597570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60</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71" w:history="1">
            <w:r w:rsidR="006D18E7" w:rsidRPr="006D18E7">
              <w:rPr>
                <w:rStyle w:val="Hyperlink"/>
                <w:rFonts w:ascii="Verdana" w:hAnsi="Verdana" w:cs="Times New Roman"/>
                <w:noProof/>
                <w:sz w:val="20"/>
                <w:szCs w:val="20"/>
              </w:rPr>
              <w:t>6.2.3 Features of big data governance programs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_Toc423597571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60</w:t>
            </w:r>
            <w:r w:rsidR="006D18E7" w:rsidRPr="006D18E7">
              <w:rPr>
                <w:noProof/>
                <w:webHidden/>
                <w:sz w:val="20"/>
                <w:szCs w:val="20"/>
              </w:rPr>
              <w:fldChar w:fldCharType="end"/>
            </w:r>
          </w:hyperlink>
        </w:p>
        <w:p w:rsidR="006D18E7" w:rsidRPr="006D18E7" w:rsidRDefault="00905AC9">
          <w:pPr>
            <w:pStyle w:val="TOC1"/>
            <w:tabs>
              <w:tab w:val="right" w:leader="dot" w:pos="9457"/>
            </w:tabs>
            <w:rPr>
              <w:rFonts w:eastAsiaTheme="minorEastAsia"/>
              <w:noProof/>
              <w:sz w:val="20"/>
              <w:szCs w:val="20"/>
              <w:lang w:val="en-GB" w:eastAsia="en-GB"/>
            </w:rPr>
          </w:pPr>
          <w:hyperlink w:anchor="_Toc423597572" w:history="1">
            <w:r w:rsidR="006D18E7" w:rsidRPr="006D18E7">
              <w:rPr>
                <w:rStyle w:val="Hyperlink"/>
                <w:rFonts w:ascii="Verdana" w:hAnsi="Verdana" w:cs="Times New Roman"/>
                <w:noProof/>
                <w:sz w:val="20"/>
                <w:szCs w:val="20"/>
              </w:rPr>
              <w:t>6.3 The financial sector</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_Toc423597572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61</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73" w:history="1">
            <w:r w:rsidR="006D18E7" w:rsidRPr="006D18E7">
              <w:rPr>
                <w:rStyle w:val="Hyperlink"/>
                <w:rFonts w:ascii="Verdana" w:hAnsi="Verdana" w:cs="Times New Roman"/>
                <w:noProof/>
                <w:sz w:val="20"/>
                <w:szCs w:val="20"/>
              </w:rPr>
              <w:t>6.3.1 Financial records, information and data management</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_Toc423597573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61</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74" w:history="1">
            <w:r w:rsidR="006D18E7" w:rsidRPr="006D18E7">
              <w:rPr>
                <w:rStyle w:val="Hyperlink"/>
                <w:rFonts w:ascii="Verdana" w:hAnsi="Verdana" w:cs="Times New Roman"/>
                <w:noProof/>
                <w:sz w:val="20"/>
                <w:szCs w:val="20"/>
              </w:rPr>
              <w:t>6.3.2 Operational and market risk</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_Toc423597574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62</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75" w:history="1">
            <w:r w:rsidR="006D18E7" w:rsidRPr="006D18E7">
              <w:rPr>
                <w:rStyle w:val="Hyperlink"/>
                <w:rFonts w:ascii="Verdana" w:hAnsi="Verdana" w:cs="Times New Roman"/>
                <w:noProof/>
                <w:sz w:val="20"/>
                <w:szCs w:val="20"/>
              </w:rPr>
              <w:t>6.3.3 Strategic forces in financial data management</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_Toc423597575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63</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76" w:history="1">
            <w:r w:rsidR="006D18E7" w:rsidRPr="006D18E7">
              <w:rPr>
                <w:rStyle w:val="Hyperlink"/>
                <w:rFonts w:ascii="Verdana" w:hAnsi="Verdana" w:cs="Times New Roman"/>
                <w:noProof/>
                <w:sz w:val="20"/>
                <w:szCs w:val="20"/>
              </w:rPr>
              <w:t>6.3.4 Data management at a micro-prudential scale</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_Toc423597576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64</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77" w:history="1">
            <w:r w:rsidR="006D18E7" w:rsidRPr="006D18E7">
              <w:rPr>
                <w:rStyle w:val="Hyperlink"/>
                <w:rFonts w:ascii="Verdana" w:hAnsi="Verdana" w:cs="Times New Roman"/>
                <w:noProof/>
                <w:sz w:val="20"/>
                <w:szCs w:val="20"/>
              </w:rPr>
              <w:t>6.3.5 Basel III Principles for Effective Risk Data Aggregation and Risk Reporting</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_Toc423597577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65</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78" w:history="1">
            <w:r w:rsidR="006D18E7" w:rsidRPr="006D18E7">
              <w:rPr>
                <w:rStyle w:val="Hyperlink"/>
                <w:rFonts w:ascii="Verdana" w:hAnsi="Verdana" w:cs="Times New Roman"/>
                <w:noProof/>
                <w:sz w:val="20"/>
                <w:szCs w:val="20"/>
              </w:rPr>
              <w:t>6.3.6 Data governance challenges in current landscape</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_Toc423597578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66</w:t>
            </w:r>
            <w:r w:rsidR="006D18E7" w:rsidRPr="006D18E7">
              <w:rPr>
                <w:noProof/>
                <w:webHidden/>
                <w:sz w:val="20"/>
                <w:szCs w:val="20"/>
              </w:rPr>
              <w:fldChar w:fldCharType="end"/>
            </w:r>
          </w:hyperlink>
        </w:p>
        <w:p w:rsidR="006D18E7" w:rsidRPr="006D18E7" w:rsidRDefault="00905AC9">
          <w:pPr>
            <w:pStyle w:val="TOC1"/>
            <w:tabs>
              <w:tab w:val="right" w:leader="dot" w:pos="9457"/>
            </w:tabs>
            <w:rPr>
              <w:rFonts w:eastAsiaTheme="minorEastAsia"/>
              <w:noProof/>
              <w:sz w:val="20"/>
              <w:szCs w:val="20"/>
              <w:lang w:val="en-GB" w:eastAsia="en-GB"/>
            </w:rPr>
          </w:pPr>
          <w:hyperlink w:anchor="_Toc423597579" w:history="1">
            <w:r w:rsidR="006D18E7" w:rsidRPr="006D18E7">
              <w:rPr>
                <w:rStyle w:val="Hyperlink"/>
                <w:rFonts w:ascii="Verdana" w:hAnsi="Verdana" w:cs="Times New Roman"/>
                <w:noProof/>
                <w:sz w:val="20"/>
                <w:szCs w:val="20"/>
              </w:rPr>
              <w:t>6.4 Capability Maturity Model for Big data governance: theoretical model</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_Toc423597579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66</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80" w:history="1">
            <w:r w:rsidR="006D18E7" w:rsidRPr="006D18E7">
              <w:rPr>
                <w:rStyle w:val="Hyperlink"/>
                <w:rFonts w:ascii="Verdana" w:hAnsi="Verdana"/>
                <w:noProof/>
                <w:sz w:val="20"/>
                <w:szCs w:val="20"/>
              </w:rPr>
              <w:t>6.4.1 Overview of the research process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_Toc423597580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66</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81" w:history="1">
            <w:r w:rsidR="006D18E7" w:rsidRPr="006D18E7">
              <w:rPr>
                <w:rStyle w:val="Hyperlink"/>
                <w:rFonts w:ascii="Verdana" w:hAnsi="Verdana" w:cs="Times New Roman"/>
                <w:noProof/>
                <w:sz w:val="20"/>
                <w:szCs w:val="20"/>
              </w:rPr>
              <w:t>6.4.2 Research methodology part 1</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_Toc423597581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67</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82" w:history="1">
            <w:r w:rsidR="006D18E7" w:rsidRPr="006D18E7">
              <w:rPr>
                <w:rStyle w:val="Hyperlink"/>
                <w:rFonts w:ascii="Verdana" w:hAnsi="Verdana" w:cs="Times New Roman"/>
                <w:noProof/>
                <w:sz w:val="20"/>
                <w:szCs w:val="20"/>
              </w:rPr>
              <w:t>6.4.3 Mapping Basel III principles to data governance key process areas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_Toc423597582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68</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83" w:history="1">
            <w:r w:rsidR="006D18E7" w:rsidRPr="006D18E7">
              <w:rPr>
                <w:rStyle w:val="Hyperlink"/>
                <w:rFonts w:ascii="Verdana" w:hAnsi="Verdana" w:cs="Times New Roman"/>
                <w:noProof/>
                <w:sz w:val="20"/>
                <w:szCs w:val="20"/>
              </w:rPr>
              <w:t>6.4.4 Research methodology part 2</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_Toc423597583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71</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84" w:history="1">
            <w:r w:rsidR="006D18E7" w:rsidRPr="006D18E7">
              <w:rPr>
                <w:rStyle w:val="Hyperlink"/>
                <w:rFonts w:ascii="Verdana" w:hAnsi="Verdana" w:cs="Times New Roman"/>
                <w:noProof/>
                <w:sz w:val="20"/>
                <w:szCs w:val="20"/>
              </w:rPr>
              <w:t>6.4.5 Data governance process areas by maturity level</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_Toc423597584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72</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85" w:history="1">
            <w:r w:rsidR="006D18E7" w:rsidRPr="006D18E7">
              <w:rPr>
                <w:rStyle w:val="Hyperlink"/>
                <w:rFonts w:ascii="Verdana" w:hAnsi="Verdana" w:cs="Times New Roman"/>
                <w:noProof/>
                <w:sz w:val="20"/>
                <w:szCs w:val="20"/>
              </w:rPr>
              <w:t>6.4.6 Basel III implementation model by maturity level</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_Toc423597585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73</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86" w:history="1">
            <w:r w:rsidR="006D18E7" w:rsidRPr="006D18E7">
              <w:rPr>
                <w:rStyle w:val="Hyperlink"/>
                <w:rFonts w:ascii="Verdana" w:hAnsi="Verdana" w:cs="Times New Roman"/>
                <w:noProof/>
                <w:sz w:val="20"/>
                <w:szCs w:val="20"/>
              </w:rPr>
              <w:t>6.4.7 Empirical testing</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_Toc423597586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74</w:t>
            </w:r>
            <w:r w:rsidR="006D18E7" w:rsidRPr="006D18E7">
              <w:rPr>
                <w:noProof/>
                <w:webHidden/>
                <w:sz w:val="20"/>
                <w:szCs w:val="20"/>
              </w:rPr>
              <w:fldChar w:fldCharType="end"/>
            </w:r>
          </w:hyperlink>
        </w:p>
        <w:p w:rsidR="006D18E7" w:rsidRPr="006D18E7" w:rsidRDefault="00905AC9">
          <w:pPr>
            <w:pStyle w:val="TOC2"/>
            <w:tabs>
              <w:tab w:val="right" w:leader="dot" w:pos="9457"/>
            </w:tabs>
            <w:rPr>
              <w:rFonts w:eastAsiaTheme="minorEastAsia"/>
              <w:noProof/>
              <w:sz w:val="20"/>
              <w:szCs w:val="20"/>
              <w:lang w:val="en-GB" w:eastAsia="en-GB"/>
            </w:rPr>
          </w:pPr>
          <w:hyperlink w:anchor="_Toc423597587" w:history="1">
            <w:r w:rsidR="006D18E7" w:rsidRPr="006D18E7">
              <w:rPr>
                <w:rStyle w:val="Hyperlink"/>
                <w:rFonts w:ascii="Verdana" w:hAnsi="Verdana" w:cs="Times New Roman"/>
                <w:noProof/>
                <w:sz w:val="20"/>
                <w:szCs w:val="20"/>
              </w:rPr>
              <w:t>6.4.8 Empirical results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_Toc423597587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75</w:t>
            </w:r>
            <w:r w:rsidR="006D18E7" w:rsidRPr="006D18E7">
              <w:rPr>
                <w:noProof/>
                <w:webHidden/>
                <w:sz w:val="20"/>
                <w:szCs w:val="20"/>
              </w:rPr>
              <w:fldChar w:fldCharType="end"/>
            </w:r>
          </w:hyperlink>
        </w:p>
        <w:p w:rsidR="006D18E7" w:rsidRPr="006D18E7" w:rsidRDefault="00905AC9">
          <w:pPr>
            <w:pStyle w:val="TOC1"/>
            <w:tabs>
              <w:tab w:val="right" w:leader="dot" w:pos="9457"/>
            </w:tabs>
            <w:rPr>
              <w:rFonts w:eastAsiaTheme="minorEastAsia"/>
              <w:noProof/>
              <w:sz w:val="20"/>
              <w:szCs w:val="20"/>
              <w:lang w:val="en-GB" w:eastAsia="en-GB"/>
            </w:rPr>
          </w:pPr>
          <w:hyperlink w:anchor="_Toc423597588" w:history="1">
            <w:r w:rsidR="006D18E7" w:rsidRPr="006D18E7">
              <w:rPr>
                <w:rStyle w:val="Hyperlink"/>
                <w:rFonts w:ascii="Verdana" w:hAnsi="Verdana" w:cs="Times New Roman"/>
                <w:noProof/>
                <w:sz w:val="20"/>
                <w:szCs w:val="20"/>
              </w:rPr>
              <w:t>6.5 Chapter conclusions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_Toc423597588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77</w:t>
            </w:r>
            <w:r w:rsidR="006D18E7" w:rsidRPr="006D18E7">
              <w:rPr>
                <w:noProof/>
                <w:webHidden/>
                <w:sz w:val="20"/>
                <w:szCs w:val="20"/>
              </w:rPr>
              <w:fldChar w:fldCharType="end"/>
            </w:r>
          </w:hyperlink>
        </w:p>
        <w:p w:rsidR="006D18E7" w:rsidRPr="006D18E7" w:rsidRDefault="00905AC9">
          <w:pPr>
            <w:pStyle w:val="TOC1"/>
            <w:tabs>
              <w:tab w:val="right" w:leader="dot" w:pos="9457"/>
            </w:tabs>
            <w:rPr>
              <w:rFonts w:eastAsiaTheme="minorEastAsia"/>
              <w:noProof/>
              <w:sz w:val="20"/>
              <w:szCs w:val="20"/>
              <w:lang w:val="en-GB" w:eastAsia="en-GB"/>
            </w:rPr>
          </w:pPr>
          <w:hyperlink w:anchor="_Toc423597589" w:history="1">
            <w:r w:rsidR="006D18E7" w:rsidRPr="006D18E7">
              <w:rPr>
                <w:rStyle w:val="Hyperlink"/>
                <w:rFonts w:ascii="Verdana" w:hAnsi="Verdana"/>
                <w:noProof/>
                <w:sz w:val="20"/>
                <w:szCs w:val="20"/>
              </w:rPr>
              <w:t>7. CONCLUSIONS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_Toc423597589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79</w:t>
            </w:r>
            <w:r w:rsidR="006D18E7" w:rsidRPr="006D18E7">
              <w:rPr>
                <w:noProof/>
                <w:webHidden/>
                <w:sz w:val="20"/>
                <w:szCs w:val="20"/>
              </w:rPr>
              <w:fldChar w:fldCharType="end"/>
            </w:r>
          </w:hyperlink>
        </w:p>
        <w:p w:rsidR="006D18E7" w:rsidRPr="006D18E7" w:rsidRDefault="00905AC9">
          <w:pPr>
            <w:pStyle w:val="TOC1"/>
            <w:tabs>
              <w:tab w:val="right" w:leader="dot" w:pos="9457"/>
            </w:tabs>
            <w:rPr>
              <w:rFonts w:eastAsiaTheme="minorEastAsia"/>
              <w:noProof/>
              <w:sz w:val="20"/>
              <w:szCs w:val="20"/>
              <w:lang w:val="en-GB" w:eastAsia="en-GB"/>
            </w:rPr>
          </w:pPr>
          <w:hyperlink w:anchor="_Toc423597590" w:history="1">
            <w:r w:rsidR="006D18E7" w:rsidRPr="006D18E7">
              <w:rPr>
                <w:rStyle w:val="Hyperlink"/>
                <w:rFonts w:ascii="Verdana" w:hAnsi="Verdana"/>
                <w:noProof/>
                <w:sz w:val="20"/>
                <w:szCs w:val="20"/>
              </w:rPr>
              <w:t>Bibliography</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_Toc423597590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83</w:t>
            </w:r>
            <w:r w:rsidR="006D18E7" w:rsidRPr="006D18E7">
              <w:rPr>
                <w:noProof/>
                <w:webHidden/>
                <w:sz w:val="20"/>
                <w:szCs w:val="20"/>
              </w:rPr>
              <w:fldChar w:fldCharType="end"/>
            </w:r>
          </w:hyperlink>
        </w:p>
        <w:p w:rsidR="006D18E7" w:rsidRPr="006D18E7" w:rsidRDefault="00905AC9">
          <w:pPr>
            <w:pStyle w:val="TOC1"/>
            <w:tabs>
              <w:tab w:val="right" w:leader="dot" w:pos="9457"/>
            </w:tabs>
            <w:rPr>
              <w:rFonts w:eastAsiaTheme="minorEastAsia"/>
              <w:noProof/>
              <w:sz w:val="20"/>
              <w:szCs w:val="20"/>
              <w:lang w:val="en-GB" w:eastAsia="en-GB"/>
            </w:rPr>
          </w:pPr>
          <w:hyperlink w:anchor="_Toc423597591" w:history="1">
            <w:r w:rsidR="006D18E7" w:rsidRPr="006D18E7">
              <w:rPr>
                <w:rStyle w:val="Hyperlink"/>
                <w:rFonts w:ascii="Verdana" w:hAnsi="Verdana"/>
                <w:noProof/>
                <w:sz w:val="20"/>
                <w:szCs w:val="20"/>
              </w:rPr>
              <w:t>Appendices</w:t>
            </w:r>
            <w:r w:rsidR="006D18E7" w:rsidRPr="006D18E7">
              <w:rPr>
                <w:noProof/>
                <w:webHidden/>
                <w:sz w:val="20"/>
                <w:szCs w:val="20"/>
              </w:rPr>
              <w:tab/>
            </w:r>
            <w:r w:rsidR="006D18E7" w:rsidRPr="006D18E7">
              <w:rPr>
                <w:noProof/>
                <w:webHidden/>
                <w:sz w:val="20"/>
                <w:szCs w:val="20"/>
              </w:rPr>
              <w:fldChar w:fldCharType="begin"/>
            </w:r>
            <w:r w:rsidR="006D18E7" w:rsidRPr="006D18E7">
              <w:rPr>
                <w:noProof/>
                <w:webHidden/>
                <w:sz w:val="20"/>
                <w:szCs w:val="20"/>
              </w:rPr>
              <w:instrText xml:space="preserve"> PAGEREF _Toc423597591 \h </w:instrText>
            </w:r>
            <w:r w:rsidR="006D18E7" w:rsidRPr="006D18E7">
              <w:rPr>
                <w:noProof/>
                <w:webHidden/>
                <w:sz w:val="20"/>
                <w:szCs w:val="20"/>
              </w:rPr>
            </w:r>
            <w:r w:rsidR="006D18E7" w:rsidRPr="006D18E7">
              <w:rPr>
                <w:noProof/>
                <w:webHidden/>
                <w:sz w:val="20"/>
                <w:szCs w:val="20"/>
              </w:rPr>
              <w:fldChar w:fldCharType="separate"/>
            </w:r>
            <w:r w:rsidR="00647EEB">
              <w:rPr>
                <w:noProof/>
                <w:webHidden/>
                <w:sz w:val="20"/>
                <w:szCs w:val="20"/>
              </w:rPr>
              <w:t>vii</w:t>
            </w:r>
            <w:r w:rsidR="006D18E7" w:rsidRPr="006D18E7">
              <w:rPr>
                <w:noProof/>
                <w:webHidden/>
                <w:sz w:val="20"/>
                <w:szCs w:val="20"/>
              </w:rPr>
              <w:fldChar w:fldCharType="end"/>
            </w:r>
          </w:hyperlink>
        </w:p>
        <w:p w:rsidR="008B5812" w:rsidRPr="006D18E7" w:rsidRDefault="008B5812" w:rsidP="008B5812">
          <w:pPr>
            <w:spacing w:after="160" w:line="360" w:lineRule="auto"/>
            <w:jc w:val="both"/>
            <w:rPr>
              <w:rFonts w:ascii="Verdana" w:hAnsi="Verdana" w:cs="Times New Roman"/>
              <w:noProof/>
              <w:sz w:val="20"/>
              <w:szCs w:val="20"/>
            </w:rPr>
          </w:pPr>
          <w:r w:rsidRPr="006D18E7">
            <w:rPr>
              <w:rFonts w:ascii="Verdana" w:hAnsi="Verdana" w:cs="Times New Roman"/>
              <w:b/>
              <w:bCs/>
              <w:noProof/>
              <w:sz w:val="20"/>
              <w:szCs w:val="20"/>
            </w:rPr>
            <w:fldChar w:fldCharType="end"/>
          </w:r>
        </w:p>
      </w:sdtContent>
    </w:sdt>
    <w:p w:rsidR="004375EB" w:rsidRPr="000824D2" w:rsidRDefault="004375EB" w:rsidP="000813C7">
      <w:pPr>
        <w:jc w:val="center"/>
        <w:rPr>
          <w:rFonts w:ascii="Verdana" w:hAnsi="Verdana" w:cs="Arial"/>
          <w:b/>
          <w:caps/>
          <w:sz w:val="20"/>
          <w:szCs w:val="20"/>
          <w:lang w:val="en-US"/>
        </w:rPr>
        <w:sectPr w:rsidR="004375EB" w:rsidRPr="000824D2" w:rsidSect="001C4701">
          <w:footerReference w:type="default" r:id="rId15"/>
          <w:pgSz w:w="11906" w:h="16838"/>
          <w:pgMar w:top="1418" w:right="1021" w:bottom="993" w:left="1418" w:header="709" w:footer="709" w:gutter="0"/>
          <w:pgNumType w:fmt="lowerRoman" w:start="1"/>
          <w:cols w:space="708"/>
          <w:docGrid w:linePitch="360"/>
        </w:sectPr>
      </w:pPr>
    </w:p>
    <w:p w:rsidR="008B5812" w:rsidRDefault="008B5812" w:rsidP="000813C7">
      <w:pPr>
        <w:jc w:val="center"/>
        <w:rPr>
          <w:rFonts w:ascii="Arial" w:hAnsi="Arial" w:cs="Arial"/>
          <w:b/>
          <w:caps/>
          <w:sz w:val="14"/>
          <w:szCs w:val="20"/>
          <w:lang w:val="en-US"/>
        </w:rPr>
      </w:pPr>
    </w:p>
    <w:p w:rsidR="008B5812" w:rsidRDefault="008B5812" w:rsidP="000813C7">
      <w:pPr>
        <w:jc w:val="center"/>
        <w:rPr>
          <w:rFonts w:ascii="Arial" w:hAnsi="Arial" w:cs="Arial"/>
          <w:b/>
          <w:caps/>
          <w:sz w:val="14"/>
          <w:szCs w:val="20"/>
          <w:lang w:val="en-US"/>
        </w:rPr>
        <w:sectPr w:rsidR="008B5812" w:rsidSect="004375EB">
          <w:type w:val="continuous"/>
          <w:pgSz w:w="11906" w:h="16838"/>
          <w:pgMar w:top="1418" w:right="1021" w:bottom="993" w:left="1418" w:header="709" w:footer="709" w:gutter="0"/>
          <w:cols w:space="708"/>
          <w:docGrid w:linePitch="360"/>
        </w:sectPr>
      </w:pPr>
    </w:p>
    <w:p w:rsidR="008B5812" w:rsidRPr="000E223B" w:rsidRDefault="008B5812" w:rsidP="001F379A">
      <w:pPr>
        <w:pStyle w:val="Heading1"/>
        <w:rPr>
          <w:rFonts w:ascii="Verdana" w:hAnsi="Verdana"/>
          <w:sz w:val="20"/>
          <w:szCs w:val="20"/>
          <w:lang w:val="en-US"/>
        </w:rPr>
      </w:pPr>
      <w:bookmarkStart w:id="1" w:name="_Toc423597478"/>
      <w:r w:rsidRPr="000E223B">
        <w:rPr>
          <w:rFonts w:ascii="Verdana" w:hAnsi="Verdana"/>
          <w:sz w:val="20"/>
          <w:szCs w:val="20"/>
          <w:lang w:val="en-US"/>
        </w:rPr>
        <w:lastRenderedPageBreak/>
        <w:t>List of figures</w:t>
      </w:r>
      <w:bookmarkEnd w:id="1"/>
    </w:p>
    <w:p w:rsidR="008B5812" w:rsidRPr="00FB5C1D" w:rsidRDefault="008B5812" w:rsidP="008B5812">
      <w:pPr>
        <w:pStyle w:val="NoSpacing"/>
        <w:spacing w:line="360" w:lineRule="auto"/>
        <w:jc w:val="both"/>
        <w:rPr>
          <w:rFonts w:ascii="Verdana" w:hAnsi="Verdana" w:cs="Times New Roman"/>
          <w:sz w:val="20"/>
          <w:szCs w:val="20"/>
        </w:rPr>
      </w:pPr>
      <w:r w:rsidRPr="00FB5C1D">
        <w:rPr>
          <w:rFonts w:ascii="Verdana" w:hAnsi="Verdana" w:cs="Times New Roman"/>
          <w:sz w:val="20"/>
          <w:szCs w:val="20"/>
        </w:rPr>
        <w:t xml:space="preserve">Figure 2.1 Environmental contingencies and effective decision-making </w:t>
      </w:r>
    </w:p>
    <w:p w:rsidR="008B5812" w:rsidRDefault="008B5812" w:rsidP="008B5812">
      <w:pPr>
        <w:pStyle w:val="ListParagraph"/>
        <w:tabs>
          <w:tab w:val="left" w:pos="720"/>
          <w:tab w:val="left" w:pos="1170"/>
        </w:tabs>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Figure 2.2 Determinants of centralized/decentralized IT organization </w:t>
      </w:r>
    </w:p>
    <w:p w:rsidR="008B5812" w:rsidRPr="00A93FE9" w:rsidRDefault="008B5812" w:rsidP="008B5812">
      <w:pPr>
        <w:pStyle w:val="ListParagraph"/>
        <w:tabs>
          <w:tab w:val="left" w:pos="720"/>
          <w:tab w:val="left" w:pos="1170"/>
        </w:tabs>
        <w:spacing w:line="360" w:lineRule="auto"/>
        <w:ind w:left="0"/>
        <w:jc w:val="both"/>
        <w:rPr>
          <w:rFonts w:ascii="Verdana" w:hAnsi="Verdana" w:cs="Times New Roman"/>
          <w:sz w:val="20"/>
          <w:szCs w:val="20"/>
        </w:rPr>
      </w:pPr>
      <w:r w:rsidRPr="00A93FE9">
        <w:rPr>
          <w:rFonts w:ascii="Verdana" w:hAnsi="Verdana" w:cs="Times New Roman"/>
          <w:sz w:val="20"/>
          <w:szCs w:val="20"/>
        </w:rPr>
        <w:t xml:space="preserve">Figure 2.3 Strategic alignment model </w:t>
      </w:r>
    </w:p>
    <w:p w:rsidR="008B5812" w:rsidRDefault="008B5812" w:rsidP="008B5812">
      <w:pPr>
        <w:pStyle w:val="ListParagraph"/>
        <w:tabs>
          <w:tab w:val="left" w:pos="720"/>
          <w:tab w:val="left" w:pos="1170"/>
        </w:tabs>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Figure 2.4 Structures, processes and relational mechanisms for IT governance </w:t>
      </w:r>
    </w:p>
    <w:p w:rsidR="008B5812" w:rsidRDefault="008B5812" w:rsidP="008B5812">
      <w:pPr>
        <w:pStyle w:val="ListParagraph"/>
        <w:tabs>
          <w:tab w:val="left" w:pos="720"/>
          <w:tab w:val="left" w:pos="1170"/>
        </w:tabs>
        <w:spacing w:line="360" w:lineRule="auto"/>
        <w:ind w:left="0"/>
        <w:jc w:val="both"/>
        <w:rPr>
          <w:rFonts w:ascii="Verdana" w:hAnsi="Verdana" w:cs="Times New Roman"/>
          <w:sz w:val="20"/>
          <w:szCs w:val="20"/>
        </w:rPr>
      </w:pPr>
      <w:r w:rsidRPr="000829AF">
        <w:rPr>
          <w:rFonts w:ascii="Verdana" w:hAnsi="Verdana" w:cs="Times New Roman"/>
          <w:sz w:val="20"/>
          <w:szCs w:val="20"/>
        </w:rPr>
        <w:t xml:space="preserve">Figure 3.1 The CMMI staged representation </w:t>
      </w:r>
    </w:p>
    <w:p w:rsidR="008B5812" w:rsidRDefault="008B5812" w:rsidP="008B5812">
      <w:pPr>
        <w:pStyle w:val="ListParagraph"/>
        <w:tabs>
          <w:tab w:val="left" w:pos="720"/>
          <w:tab w:val="left" w:pos="1170"/>
        </w:tabs>
        <w:spacing w:line="360" w:lineRule="auto"/>
        <w:ind w:left="0"/>
        <w:jc w:val="both"/>
        <w:rPr>
          <w:rFonts w:ascii="Verdana" w:hAnsi="Verdana" w:cs="Times New Roman"/>
          <w:sz w:val="20"/>
          <w:szCs w:val="20"/>
        </w:rPr>
      </w:pPr>
      <w:r w:rsidRPr="000829AF">
        <w:rPr>
          <w:rFonts w:ascii="Verdana" w:hAnsi="Verdana" w:cs="Times New Roman"/>
          <w:sz w:val="20"/>
          <w:szCs w:val="20"/>
        </w:rPr>
        <w:t xml:space="preserve">Figure 3.2 The key processes areas by maturity level </w:t>
      </w:r>
    </w:p>
    <w:p w:rsidR="008B5812" w:rsidRDefault="008B5812" w:rsidP="008B5812">
      <w:pPr>
        <w:pStyle w:val="ListParagraph"/>
        <w:tabs>
          <w:tab w:val="left" w:pos="720"/>
          <w:tab w:val="left" w:pos="1170"/>
        </w:tabs>
        <w:spacing w:line="360" w:lineRule="auto"/>
        <w:ind w:left="0"/>
        <w:jc w:val="both"/>
        <w:rPr>
          <w:rFonts w:ascii="Verdana" w:hAnsi="Verdana" w:cs="Times New Roman"/>
          <w:sz w:val="20"/>
          <w:szCs w:val="20"/>
        </w:rPr>
      </w:pPr>
      <w:r w:rsidRPr="000829AF">
        <w:rPr>
          <w:rFonts w:ascii="Verdana" w:hAnsi="Verdana" w:cs="Times New Roman"/>
          <w:sz w:val="20"/>
          <w:szCs w:val="20"/>
        </w:rPr>
        <w:t xml:space="preserve">Figure 4.1 Contingencies in data governance programs </w:t>
      </w:r>
    </w:p>
    <w:p w:rsidR="008B5812" w:rsidRDefault="008B5812" w:rsidP="008B5812">
      <w:pPr>
        <w:pStyle w:val="ListParagraph"/>
        <w:tabs>
          <w:tab w:val="left" w:pos="720"/>
          <w:tab w:val="left" w:pos="1170"/>
        </w:tabs>
        <w:spacing w:line="360" w:lineRule="auto"/>
        <w:ind w:left="0"/>
        <w:jc w:val="both"/>
        <w:rPr>
          <w:rFonts w:ascii="Verdana" w:hAnsi="Verdana" w:cs="Times New Roman"/>
          <w:sz w:val="20"/>
          <w:szCs w:val="20"/>
        </w:rPr>
      </w:pPr>
      <w:r w:rsidRPr="000829AF">
        <w:rPr>
          <w:rFonts w:ascii="Verdana" w:hAnsi="Verdana" w:cs="Times New Roman"/>
          <w:sz w:val="20"/>
          <w:szCs w:val="20"/>
        </w:rPr>
        <w:t xml:space="preserve">Figure 4.2 Differences in data governance and data management </w:t>
      </w:r>
    </w:p>
    <w:p w:rsidR="008B5812" w:rsidRPr="00FB5C1D" w:rsidRDefault="008B5812" w:rsidP="008B5812">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Figure 4.4 Data governance teams </w:t>
      </w:r>
    </w:p>
    <w:p w:rsidR="008B5812" w:rsidRDefault="008B5812" w:rsidP="008B5812">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Figure 4.5 Schematic representation of a data governance mode</w:t>
      </w:r>
      <w:r>
        <w:rPr>
          <w:rFonts w:ascii="Verdana" w:hAnsi="Verdana" w:cs="Times New Roman"/>
          <w:sz w:val="20"/>
          <w:szCs w:val="20"/>
        </w:rPr>
        <w:t xml:space="preserve">l </w:t>
      </w:r>
    </w:p>
    <w:p w:rsidR="008B5812" w:rsidRDefault="008B5812" w:rsidP="008B5812">
      <w:pPr>
        <w:pStyle w:val="ListParagraph"/>
        <w:spacing w:line="360" w:lineRule="auto"/>
        <w:ind w:left="0"/>
        <w:jc w:val="both"/>
        <w:rPr>
          <w:rFonts w:ascii="Verdana" w:hAnsi="Verdana" w:cs="Times New Roman"/>
          <w:sz w:val="20"/>
          <w:szCs w:val="20"/>
        </w:rPr>
      </w:pPr>
      <w:r w:rsidRPr="000829AF">
        <w:rPr>
          <w:rFonts w:ascii="Verdana" w:hAnsi="Verdana" w:cs="Times New Roman"/>
          <w:sz w:val="20"/>
          <w:szCs w:val="20"/>
        </w:rPr>
        <w:t xml:space="preserve">Figure 5.1 Comparative model between traditional data and big data </w:t>
      </w:r>
    </w:p>
    <w:p w:rsidR="008B5812" w:rsidRDefault="008B5812" w:rsidP="008B5812">
      <w:pPr>
        <w:pStyle w:val="ListParagraph"/>
        <w:spacing w:line="360" w:lineRule="auto"/>
        <w:ind w:left="0"/>
        <w:jc w:val="both"/>
        <w:rPr>
          <w:rFonts w:ascii="Verdana" w:hAnsi="Verdana" w:cs="Times New Roman"/>
          <w:sz w:val="20"/>
          <w:szCs w:val="20"/>
        </w:rPr>
      </w:pPr>
      <w:r w:rsidRPr="000829AF">
        <w:rPr>
          <w:rFonts w:ascii="Verdana" w:hAnsi="Verdana" w:cs="Times New Roman"/>
          <w:sz w:val="20"/>
          <w:szCs w:val="20"/>
        </w:rPr>
        <w:t xml:space="preserve">Figure 5.2 Big Data architecture &amp; framework </w:t>
      </w:r>
    </w:p>
    <w:p w:rsidR="008B5812" w:rsidRDefault="008B5812" w:rsidP="008B5812">
      <w:pPr>
        <w:pStyle w:val="ListParagraph"/>
        <w:spacing w:line="360" w:lineRule="auto"/>
        <w:ind w:left="0"/>
        <w:jc w:val="both"/>
        <w:rPr>
          <w:rFonts w:ascii="Verdana" w:hAnsi="Verdana" w:cs="Times New Roman"/>
          <w:sz w:val="20"/>
          <w:szCs w:val="20"/>
        </w:rPr>
      </w:pPr>
      <w:r w:rsidRPr="00945E78">
        <w:rPr>
          <w:rFonts w:ascii="Verdana" w:hAnsi="Verdana" w:cs="Times New Roman"/>
          <w:sz w:val="20"/>
          <w:szCs w:val="20"/>
        </w:rPr>
        <w:t xml:space="preserve">Figure 6.1 Operational and market risk </w:t>
      </w:r>
    </w:p>
    <w:p w:rsidR="000B1D7B" w:rsidRDefault="000B1D7B" w:rsidP="008B5812">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Figure 6.2 </w:t>
      </w:r>
      <w:r>
        <w:rPr>
          <w:rFonts w:ascii="Verdana" w:hAnsi="Verdana" w:cs="Times New Roman"/>
          <w:sz w:val="20"/>
          <w:szCs w:val="20"/>
        </w:rPr>
        <w:t>Overview of the research process</w:t>
      </w:r>
    </w:p>
    <w:p w:rsidR="008B5812" w:rsidRDefault="000B1D7B" w:rsidP="008B5812">
      <w:pPr>
        <w:pStyle w:val="ListParagraph"/>
        <w:spacing w:line="360" w:lineRule="auto"/>
        <w:ind w:left="0"/>
        <w:jc w:val="both"/>
        <w:rPr>
          <w:rFonts w:ascii="Verdana" w:hAnsi="Verdana" w:cs="Times New Roman"/>
          <w:sz w:val="20"/>
          <w:szCs w:val="20"/>
        </w:rPr>
      </w:pPr>
      <w:r>
        <w:rPr>
          <w:rFonts w:ascii="Verdana" w:hAnsi="Verdana" w:cs="Times New Roman"/>
          <w:sz w:val="20"/>
          <w:szCs w:val="20"/>
        </w:rPr>
        <w:t>Figure 6.3</w:t>
      </w:r>
      <w:r w:rsidR="008B5812" w:rsidRPr="00FB5C1D">
        <w:rPr>
          <w:rFonts w:ascii="Verdana" w:hAnsi="Verdana" w:cs="Times New Roman"/>
          <w:sz w:val="20"/>
          <w:szCs w:val="20"/>
        </w:rPr>
        <w:t xml:space="preserve"> The key processes areas of a data governance program by maturity level</w:t>
      </w:r>
    </w:p>
    <w:p w:rsidR="008B5812" w:rsidRPr="00945E78" w:rsidRDefault="000B1D7B" w:rsidP="008B5812">
      <w:pPr>
        <w:pStyle w:val="ListParagraph"/>
        <w:spacing w:line="360" w:lineRule="auto"/>
        <w:ind w:left="0"/>
        <w:jc w:val="both"/>
        <w:rPr>
          <w:rFonts w:ascii="Verdana" w:hAnsi="Verdana" w:cs="Times New Roman"/>
          <w:sz w:val="20"/>
          <w:szCs w:val="20"/>
        </w:rPr>
      </w:pPr>
      <w:r>
        <w:rPr>
          <w:rFonts w:ascii="Verdana" w:hAnsi="Verdana" w:cs="Times New Roman"/>
          <w:sz w:val="20"/>
          <w:szCs w:val="20"/>
        </w:rPr>
        <w:t>Figure 6.4</w:t>
      </w:r>
      <w:r w:rsidR="008B5812" w:rsidRPr="00945E78">
        <w:rPr>
          <w:rFonts w:ascii="Verdana" w:hAnsi="Verdana" w:cs="Times New Roman"/>
          <w:sz w:val="20"/>
          <w:szCs w:val="20"/>
        </w:rPr>
        <w:t xml:space="preserve"> Performance of the Belgian financial sector in data governance practices</w:t>
      </w:r>
    </w:p>
    <w:p w:rsidR="008B5812" w:rsidRPr="00FB5C1D" w:rsidRDefault="008B5812" w:rsidP="008B5812">
      <w:pPr>
        <w:pStyle w:val="NoSpacing"/>
        <w:spacing w:line="360" w:lineRule="auto"/>
        <w:jc w:val="both"/>
        <w:rPr>
          <w:rFonts w:ascii="Verdana" w:hAnsi="Verdana" w:cs="Times New Roman"/>
          <w:sz w:val="20"/>
          <w:szCs w:val="20"/>
        </w:rPr>
      </w:pPr>
    </w:p>
    <w:p w:rsidR="008B5812" w:rsidRPr="00945E78" w:rsidRDefault="008B5812" w:rsidP="008B5812">
      <w:pPr>
        <w:spacing w:line="360" w:lineRule="auto"/>
        <w:jc w:val="both"/>
        <w:rPr>
          <w:rFonts w:ascii="Verdana" w:hAnsi="Verdana" w:cs="Times New Roman"/>
          <w:sz w:val="20"/>
          <w:szCs w:val="20"/>
          <w:lang w:val="en-US"/>
        </w:rPr>
      </w:pPr>
    </w:p>
    <w:p w:rsidR="008B5812" w:rsidRPr="000E223B" w:rsidRDefault="008B5812" w:rsidP="001F379A">
      <w:pPr>
        <w:pStyle w:val="Heading1"/>
        <w:rPr>
          <w:rFonts w:ascii="Verdana" w:hAnsi="Verdana"/>
          <w:sz w:val="20"/>
          <w:szCs w:val="20"/>
          <w:lang w:val="en-US"/>
        </w:rPr>
      </w:pPr>
      <w:bookmarkStart w:id="2" w:name="_Toc423597479"/>
      <w:r w:rsidRPr="000E223B">
        <w:rPr>
          <w:rFonts w:ascii="Verdana" w:hAnsi="Verdana"/>
          <w:sz w:val="20"/>
          <w:szCs w:val="20"/>
          <w:lang w:val="en-US"/>
        </w:rPr>
        <w:t>List of tables</w:t>
      </w:r>
      <w:bookmarkEnd w:id="2"/>
      <w:r w:rsidRPr="000E223B">
        <w:rPr>
          <w:rFonts w:ascii="Verdana" w:hAnsi="Verdana"/>
          <w:sz w:val="20"/>
          <w:szCs w:val="20"/>
          <w:lang w:val="en-US"/>
        </w:rPr>
        <w:t xml:space="preserve"> </w:t>
      </w:r>
    </w:p>
    <w:p w:rsidR="008B5812" w:rsidRDefault="008B5812" w:rsidP="008B5812">
      <w:pPr>
        <w:spacing w:after="160"/>
        <w:jc w:val="both"/>
        <w:rPr>
          <w:rFonts w:ascii="Verdana" w:hAnsi="Verdana" w:cs="Times New Roman"/>
          <w:sz w:val="20"/>
          <w:szCs w:val="20"/>
          <w:lang w:val="en-US"/>
        </w:rPr>
      </w:pPr>
      <w:r w:rsidRPr="000829AF">
        <w:rPr>
          <w:rFonts w:ascii="Verdana" w:hAnsi="Verdana" w:cs="Times New Roman"/>
          <w:sz w:val="20"/>
          <w:szCs w:val="20"/>
          <w:lang w:val="en-US"/>
        </w:rPr>
        <w:t>Table 4.1</w:t>
      </w:r>
      <w:r>
        <w:rPr>
          <w:rFonts w:ascii="Verdana" w:hAnsi="Verdana" w:cs="Times New Roman"/>
          <w:sz w:val="20"/>
          <w:szCs w:val="20"/>
          <w:lang w:val="en-US"/>
        </w:rPr>
        <w:t xml:space="preserve"> Definitions of data governance</w:t>
      </w:r>
    </w:p>
    <w:p w:rsidR="008B5812" w:rsidRDefault="008B5812" w:rsidP="008B5812">
      <w:pPr>
        <w:spacing w:after="160"/>
        <w:jc w:val="both"/>
        <w:rPr>
          <w:rFonts w:ascii="Verdana" w:hAnsi="Verdana" w:cs="Times New Roman"/>
          <w:sz w:val="20"/>
          <w:szCs w:val="20"/>
          <w:lang w:val="en-US"/>
        </w:rPr>
      </w:pPr>
      <w:r w:rsidRPr="00A93FE9">
        <w:rPr>
          <w:rFonts w:ascii="Verdana" w:hAnsi="Verdana" w:cs="Times New Roman"/>
          <w:sz w:val="20"/>
          <w:szCs w:val="20"/>
          <w:lang w:val="en-US"/>
        </w:rPr>
        <w:t xml:space="preserve">Table 4.2 Data governance key process areas </w:t>
      </w:r>
    </w:p>
    <w:p w:rsidR="008B5812" w:rsidRPr="00A93FE9" w:rsidRDefault="008B5812" w:rsidP="008B5812">
      <w:pPr>
        <w:spacing w:after="160"/>
        <w:jc w:val="both"/>
        <w:rPr>
          <w:rFonts w:ascii="Verdana" w:hAnsi="Verdana" w:cs="Times New Roman"/>
          <w:sz w:val="20"/>
          <w:szCs w:val="20"/>
          <w:lang w:val="en-US"/>
        </w:rPr>
      </w:pPr>
      <w:r w:rsidRPr="00A93FE9">
        <w:rPr>
          <w:rFonts w:ascii="Verdana" w:hAnsi="Verdana" w:cs="Times New Roman"/>
          <w:sz w:val="20"/>
          <w:szCs w:val="20"/>
          <w:lang w:val="en-US"/>
        </w:rPr>
        <w:t xml:space="preserve">Table 4.3 Set of data quality roles </w:t>
      </w:r>
    </w:p>
    <w:p w:rsidR="008B5812" w:rsidRPr="00FB5C1D" w:rsidRDefault="008B5812" w:rsidP="008B5812">
      <w:pPr>
        <w:pStyle w:val="ListParagraph"/>
        <w:spacing w:line="276" w:lineRule="auto"/>
        <w:ind w:left="0"/>
        <w:jc w:val="both"/>
        <w:rPr>
          <w:rFonts w:ascii="Verdana" w:hAnsi="Verdana" w:cs="Times New Roman"/>
          <w:sz w:val="20"/>
          <w:szCs w:val="20"/>
        </w:rPr>
      </w:pPr>
      <w:r w:rsidRPr="00FB5C1D">
        <w:rPr>
          <w:rFonts w:ascii="Verdana" w:hAnsi="Verdana" w:cs="Times New Roman"/>
          <w:sz w:val="20"/>
          <w:szCs w:val="20"/>
        </w:rPr>
        <w:t>Table 4.4 RACI matrix for our data governance model</w:t>
      </w:r>
    </w:p>
    <w:p w:rsidR="008B5812" w:rsidRPr="000829AF" w:rsidRDefault="008B5812" w:rsidP="008B5812">
      <w:pPr>
        <w:spacing w:after="160"/>
        <w:jc w:val="both"/>
        <w:rPr>
          <w:rFonts w:ascii="Verdana" w:hAnsi="Verdana" w:cs="Times New Roman"/>
          <w:sz w:val="20"/>
          <w:szCs w:val="20"/>
          <w:lang w:val="en-US"/>
        </w:rPr>
      </w:pPr>
      <w:r w:rsidRPr="000829AF">
        <w:rPr>
          <w:rFonts w:ascii="Verdana" w:hAnsi="Verdana" w:cs="Times New Roman"/>
          <w:sz w:val="20"/>
          <w:szCs w:val="20"/>
          <w:lang w:val="en-US"/>
        </w:rPr>
        <w:t>Table 5.1 Big data definitions in literature</w:t>
      </w:r>
    </w:p>
    <w:p w:rsidR="008B5812" w:rsidRPr="000829AF" w:rsidRDefault="008B5812" w:rsidP="008B5812">
      <w:pPr>
        <w:spacing w:after="160"/>
        <w:jc w:val="both"/>
        <w:rPr>
          <w:rFonts w:ascii="Verdana" w:hAnsi="Verdana" w:cs="Times New Roman"/>
          <w:sz w:val="20"/>
          <w:szCs w:val="20"/>
          <w:lang w:val="en-US"/>
        </w:rPr>
      </w:pPr>
      <w:r w:rsidRPr="000829AF">
        <w:rPr>
          <w:rFonts w:ascii="Verdana" w:hAnsi="Verdana" w:cs="Times New Roman"/>
          <w:sz w:val="20"/>
          <w:szCs w:val="20"/>
          <w:lang w:val="en-US"/>
        </w:rPr>
        <w:t>Table 5.2 The most frequently mentioned dimensions of Big Data</w:t>
      </w:r>
    </w:p>
    <w:p w:rsidR="008B5812" w:rsidRDefault="008B5812" w:rsidP="008B5812">
      <w:pPr>
        <w:spacing w:after="160"/>
        <w:rPr>
          <w:rFonts w:ascii="Verdana" w:hAnsi="Verdana" w:cs="Times New Roman"/>
          <w:sz w:val="20"/>
          <w:szCs w:val="20"/>
          <w:lang w:val="en-US"/>
        </w:rPr>
      </w:pPr>
      <w:r w:rsidRPr="000829AF">
        <w:rPr>
          <w:rFonts w:ascii="Verdana" w:hAnsi="Verdana" w:cs="Times New Roman"/>
          <w:sz w:val="20"/>
          <w:szCs w:val="20"/>
          <w:lang w:val="en-US"/>
        </w:rPr>
        <w:t>Table 5.3 Potential big data use cases</w:t>
      </w:r>
    </w:p>
    <w:p w:rsidR="008B5812" w:rsidRPr="00945E78" w:rsidRDefault="008B5812" w:rsidP="008B5812">
      <w:pPr>
        <w:spacing w:after="160"/>
        <w:jc w:val="both"/>
        <w:rPr>
          <w:rFonts w:ascii="Verdana" w:hAnsi="Verdana" w:cs="Times New Roman"/>
          <w:sz w:val="20"/>
          <w:szCs w:val="20"/>
          <w:lang w:val="en-US"/>
        </w:rPr>
      </w:pPr>
      <w:r w:rsidRPr="00945E78">
        <w:rPr>
          <w:rFonts w:ascii="Verdana" w:hAnsi="Verdana" w:cs="Times New Roman"/>
          <w:sz w:val="20"/>
          <w:szCs w:val="20"/>
          <w:lang w:val="en-US"/>
        </w:rPr>
        <w:t>Table 6.1 Mapping Basel III principles to data governance processes</w:t>
      </w:r>
    </w:p>
    <w:p w:rsidR="008B5812" w:rsidRPr="00945E78" w:rsidRDefault="008B5812" w:rsidP="008B5812">
      <w:pPr>
        <w:spacing w:after="160"/>
        <w:jc w:val="both"/>
        <w:rPr>
          <w:rFonts w:ascii="Verdana" w:hAnsi="Verdana" w:cs="Times New Roman"/>
          <w:sz w:val="20"/>
          <w:szCs w:val="20"/>
          <w:lang w:val="en-US"/>
        </w:rPr>
      </w:pPr>
      <w:r w:rsidRPr="00945E78">
        <w:rPr>
          <w:rFonts w:ascii="Verdana" w:hAnsi="Verdana" w:cs="Times New Roman"/>
          <w:sz w:val="20"/>
          <w:szCs w:val="20"/>
          <w:lang w:val="en-US"/>
        </w:rPr>
        <w:t>Table 6.2 Data and big data governance capability maturity model (under the Basel III implementation)</w:t>
      </w:r>
    </w:p>
    <w:p w:rsidR="008B5812" w:rsidRPr="000829AF" w:rsidRDefault="008B5812" w:rsidP="008B5812">
      <w:pPr>
        <w:rPr>
          <w:lang w:val="en-US"/>
        </w:rPr>
      </w:pPr>
    </w:p>
    <w:p w:rsidR="004375EB" w:rsidRDefault="004375EB" w:rsidP="000813C7">
      <w:pPr>
        <w:jc w:val="center"/>
        <w:rPr>
          <w:rFonts w:ascii="Arial" w:hAnsi="Arial" w:cs="Arial"/>
          <w:b/>
          <w:caps/>
          <w:sz w:val="14"/>
          <w:szCs w:val="20"/>
          <w:lang w:val="en-US"/>
        </w:rPr>
        <w:sectPr w:rsidR="004375EB" w:rsidSect="00A361FC">
          <w:pgSz w:w="11906" w:h="16838"/>
          <w:pgMar w:top="1440" w:right="1440" w:bottom="1440" w:left="1440" w:header="708" w:footer="708" w:gutter="0"/>
          <w:pgNumType w:fmt="lowerRoman"/>
          <w:cols w:space="708"/>
          <w:docGrid w:linePitch="360"/>
        </w:sectPr>
      </w:pPr>
    </w:p>
    <w:p w:rsidR="008B5812" w:rsidRDefault="008B5812" w:rsidP="000813C7">
      <w:pPr>
        <w:jc w:val="center"/>
        <w:rPr>
          <w:rFonts w:ascii="Arial" w:hAnsi="Arial" w:cs="Arial"/>
          <w:b/>
          <w:caps/>
          <w:sz w:val="14"/>
          <w:szCs w:val="20"/>
          <w:lang w:val="en-US"/>
        </w:rPr>
        <w:sectPr w:rsidR="008B5812" w:rsidSect="004375EB">
          <w:type w:val="continuous"/>
          <w:pgSz w:w="11906" w:h="16838"/>
          <w:pgMar w:top="1440" w:right="1440" w:bottom="1440" w:left="1440" w:header="708" w:footer="708" w:gutter="0"/>
          <w:cols w:space="708"/>
          <w:docGrid w:linePitch="360"/>
        </w:sectPr>
      </w:pPr>
    </w:p>
    <w:p w:rsidR="001F379A" w:rsidRDefault="001F379A" w:rsidP="001F379A">
      <w:pPr>
        <w:pStyle w:val="Heading1"/>
        <w:spacing w:line="360" w:lineRule="auto"/>
        <w:rPr>
          <w:rFonts w:ascii="Verdana" w:hAnsi="Verdana"/>
          <w:sz w:val="20"/>
          <w:szCs w:val="20"/>
          <w:lang w:val="en-US"/>
        </w:rPr>
      </w:pPr>
      <w:bookmarkStart w:id="3" w:name="_Toc423597480"/>
      <w:r w:rsidRPr="001F379A">
        <w:rPr>
          <w:rFonts w:ascii="Verdana" w:hAnsi="Verdana"/>
          <w:sz w:val="20"/>
          <w:szCs w:val="20"/>
          <w:lang w:val="en-US"/>
        </w:rPr>
        <w:lastRenderedPageBreak/>
        <w:t>List of appendices</w:t>
      </w:r>
      <w:bookmarkEnd w:id="3"/>
      <w:r w:rsidRPr="001F379A">
        <w:rPr>
          <w:rFonts w:ascii="Verdana" w:hAnsi="Verdana"/>
          <w:sz w:val="20"/>
          <w:szCs w:val="20"/>
          <w:lang w:val="en-US"/>
        </w:rPr>
        <w:t xml:space="preserve"> </w:t>
      </w:r>
    </w:p>
    <w:p w:rsidR="001F379A" w:rsidRPr="001F379A" w:rsidRDefault="001F379A" w:rsidP="001F379A">
      <w:pPr>
        <w:spacing w:line="360" w:lineRule="auto"/>
        <w:rPr>
          <w:rFonts w:ascii="Verdana" w:hAnsi="Verdana"/>
          <w:sz w:val="20"/>
          <w:szCs w:val="20"/>
          <w:lang w:val="en-US"/>
        </w:rPr>
      </w:pPr>
    </w:p>
    <w:p w:rsidR="001F379A" w:rsidRPr="001F379A" w:rsidRDefault="001F379A" w:rsidP="001F379A">
      <w:pPr>
        <w:spacing w:line="360" w:lineRule="auto"/>
        <w:rPr>
          <w:rFonts w:ascii="Verdana" w:hAnsi="Verdana"/>
          <w:b/>
          <w:sz w:val="20"/>
          <w:szCs w:val="20"/>
          <w:lang w:val="en-US"/>
        </w:rPr>
      </w:pPr>
      <w:r w:rsidRPr="001F379A">
        <w:rPr>
          <w:rFonts w:ascii="Verdana" w:hAnsi="Verdana" w:cs="Times New Roman"/>
          <w:sz w:val="20"/>
          <w:szCs w:val="20"/>
          <w:lang w:val="en-US"/>
        </w:rPr>
        <w:t xml:space="preserve">Appendix A : </w:t>
      </w:r>
      <w:r w:rsidRPr="001F379A">
        <w:rPr>
          <w:rFonts w:ascii="Verdana" w:hAnsi="Verdana"/>
          <w:sz w:val="20"/>
          <w:szCs w:val="20"/>
          <w:lang w:val="en-US"/>
        </w:rPr>
        <w:t>Brief description of the different key process areas per level</w:t>
      </w:r>
    </w:p>
    <w:p w:rsidR="001F379A" w:rsidRPr="001F379A" w:rsidRDefault="001F379A" w:rsidP="001F379A">
      <w:pPr>
        <w:spacing w:line="360" w:lineRule="auto"/>
        <w:rPr>
          <w:rFonts w:ascii="Verdana" w:hAnsi="Verdana" w:cstheme="majorBidi"/>
          <w:sz w:val="20"/>
          <w:szCs w:val="20"/>
          <w:lang w:val="en-US"/>
        </w:rPr>
      </w:pPr>
      <w:r w:rsidRPr="001F379A">
        <w:rPr>
          <w:rFonts w:ascii="Verdana" w:hAnsi="Verdana"/>
          <w:sz w:val="20"/>
          <w:szCs w:val="20"/>
          <w:lang w:val="en-US"/>
        </w:rPr>
        <w:t xml:space="preserve">Appendix B: </w:t>
      </w:r>
      <w:r w:rsidRPr="001F379A">
        <w:rPr>
          <w:rFonts w:ascii="Verdana" w:hAnsi="Verdana" w:cs="Times New Roman"/>
          <w:sz w:val="20"/>
          <w:szCs w:val="20"/>
          <w:lang w:val="en-US"/>
        </w:rPr>
        <w:t xml:space="preserve">Mapping of key process areas to sources </w:t>
      </w:r>
    </w:p>
    <w:p w:rsidR="001F379A" w:rsidRPr="001F379A" w:rsidRDefault="001F379A" w:rsidP="001F379A">
      <w:pPr>
        <w:spacing w:line="360" w:lineRule="auto"/>
        <w:rPr>
          <w:rFonts w:ascii="Verdana" w:hAnsi="Verdana"/>
          <w:sz w:val="20"/>
          <w:szCs w:val="20"/>
          <w:lang w:val="en-US"/>
        </w:rPr>
      </w:pPr>
      <w:r w:rsidRPr="001F379A">
        <w:rPr>
          <w:rFonts w:ascii="Verdana" w:hAnsi="Verdana"/>
          <w:sz w:val="20"/>
          <w:szCs w:val="20"/>
          <w:lang w:val="en-US"/>
        </w:rPr>
        <w:t xml:space="preserve">Appendix C : </w:t>
      </w:r>
      <w:r w:rsidRPr="000E223B">
        <w:rPr>
          <w:rFonts w:ascii="Verdana" w:hAnsi="Verdana" w:cs="Arial"/>
          <w:sz w:val="20"/>
          <w:szCs w:val="20"/>
          <w:lang w:val="en-US"/>
        </w:rPr>
        <w:t>Mapping of key process areas to sources : frequency</w:t>
      </w:r>
    </w:p>
    <w:p w:rsidR="001F379A" w:rsidRPr="001F379A" w:rsidRDefault="001F379A" w:rsidP="001F379A">
      <w:pPr>
        <w:spacing w:line="360" w:lineRule="auto"/>
        <w:rPr>
          <w:rFonts w:ascii="Verdana" w:hAnsi="Verdana"/>
          <w:sz w:val="20"/>
          <w:szCs w:val="20"/>
          <w:lang w:val="en-US"/>
        </w:rPr>
      </w:pPr>
      <w:r w:rsidRPr="001F379A">
        <w:rPr>
          <w:rFonts w:ascii="Verdana" w:hAnsi="Verdana"/>
          <w:sz w:val="20"/>
          <w:szCs w:val="20"/>
          <w:lang w:val="en-US"/>
        </w:rPr>
        <w:t>Appendix D: Teradata New Regulations Outlined in “Principles for Effective Risk Data Aggregation and Risk Reporting” and Derived Platform Requirements</w:t>
      </w:r>
    </w:p>
    <w:p w:rsidR="001F379A" w:rsidRPr="001F379A" w:rsidRDefault="001F379A" w:rsidP="001F379A">
      <w:pPr>
        <w:spacing w:line="360" w:lineRule="auto"/>
        <w:rPr>
          <w:rFonts w:ascii="Verdana" w:hAnsi="Verdana"/>
          <w:sz w:val="20"/>
          <w:szCs w:val="20"/>
          <w:lang w:val="en-US"/>
        </w:rPr>
      </w:pPr>
      <w:r w:rsidRPr="001F379A">
        <w:rPr>
          <w:rFonts w:ascii="Verdana" w:hAnsi="Verdana"/>
          <w:sz w:val="20"/>
          <w:szCs w:val="20"/>
          <w:lang w:val="en-US"/>
        </w:rPr>
        <w:t>Appendix E : Ranking of data governance elements based on the Basel III framework</w:t>
      </w:r>
    </w:p>
    <w:p w:rsidR="000E223B" w:rsidRDefault="000E223B" w:rsidP="001F379A">
      <w:pPr>
        <w:rPr>
          <w:lang w:val="en-US"/>
        </w:rPr>
      </w:pPr>
    </w:p>
    <w:p w:rsidR="000E223B" w:rsidRDefault="000E223B" w:rsidP="001F379A">
      <w:pPr>
        <w:rPr>
          <w:lang w:val="en-US"/>
        </w:rPr>
      </w:pPr>
    </w:p>
    <w:p w:rsidR="004375EB" w:rsidRDefault="004375EB" w:rsidP="001F379A">
      <w:pPr>
        <w:rPr>
          <w:lang w:val="en-US"/>
        </w:rPr>
        <w:sectPr w:rsidR="004375EB" w:rsidSect="00A361FC">
          <w:footerReference w:type="default" r:id="rId16"/>
          <w:pgSz w:w="11906" w:h="16838"/>
          <w:pgMar w:top="1440" w:right="1440" w:bottom="1440" w:left="1440" w:header="708" w:footer="708" w:gutter="0"/>
          <w:pgNumType w:fmt="lowerRoman"/>
          <w:cols w:space="708"/>
          <w:docGrid w:linePitch="360"/>
        </w:sectPr>
      </w:pPr>
    </w:p>
    <w:p w:rsidR="000E223B" w:rsidRPr="004375EB" w:rsidRDefault="004375EB" w:rsidP="004375EB">
      <w:pPr>
        <w:pStyle w:val="Heading1"/>
        <w:rPr>
          <w:rFonts w:ascii="Verdana" w:hAnsi="Verdana"/>
          <w:sz w:val="20"/>
          <w:szCs w:val="20"/>
          <w:lang w:val="en-US"/>
        </w:rPr>
      </w:pPr>
      <w:bookmarkStart w:id="4" w:name="_Toc423597481"/>
      <w:r w:rsidRPr="004375EB">
        <w:rPr>
          <w:rFonts w:ascii="Verdana" w:hAnsi="Verdana"/>
          <w:sz w:val="20"/>
          <w:szCs w:val="20"/>
          <w:lang w:val="en-US"/>
        </w:rPr>
        <w:lastRenderedPageBreak/>
        <w:t>List of abbreviations used</w:t>
      </w:r>
      <w:bookmarkEnd w:id="4"/>
    </w:p>
    <w:p w:rsidR="004375EB" w:rsidRDefault="004375EB" w:rsidP="001F379A">
      <w:pPr>
        <w:rPr>
          <w:lang w:val="en-US"/>
        </w:rPr>
      </w:pPr>
    </w:p>
    <w:p w:rsidR="004375EB" w:rsidRPr="004375EB" w:rsidRDefault="004375EB" w:rsidP="004375EB">
      <w:pPr>
        <w:rPr>
          <w:rFonts w:ascii="Verdana" w:hAnsi="Verdana" w:cs="Times New Roman"/>
          <w:sz w:val="20"/>
          <w:szCs w:val="20"/>
          <w:lang w:val="en-US"/>
        </w:rPr>
      </w:pPr>
      <w:r w:rsidRPr="004375EB">
        <w:rPr>
          <w:rFonts w:ascii="Verdana" w:hAnsi="Verdana" w:cs="Times New Roman"/>
          <w:b/>
          <w:sz w:val="20"/>
          <w:szCs w:val="20"/>
          <w:lang w:val="en-US"/>
        </w:rPr>
        <w:t>ITGI</w:t>
      </w:r>
      <w:r>
        <w:rPr>
          <w:rFonts w:ascii="Verdana" w:hAnsi="Verdana" w:cs="Times New Roman"/>
          <w:sz w:val="20"/>
          <w:szCs w:val="20"/>
          <w:lang w:val="en-US"/>
        </w:rPr>
        <w:t xml:space="preserve"> </w:t>
      </w:r>
      <w:r>
        <w:rPr>
          <w:rFonts w:ascii="Verdana" w:hAnsi="Verdana" w:cs="Times New Roman"/>
          <w:sz w:val="20"/>
          <w:szCs w:val="20"/>
          <w:lang w:val="en-US"/>
        </w:rPr>
        <w:tab/>
      </w:r>
      <w:r>
        <w:rPr>
          <w:rFonts w:ascii="Verdana" w:hAnsi="Verdana" w:cs="Times New Roman"/>
          <w:sz w:val="20"/>
          <w:szCs w:val="20"/>
          <w:lang w:val="en-US"/>
        </w:rPr>
        <w:tab/>
      </w:r>
      <w:r>
        <w:rPr>
          <w:rFonts w:ascii="Verdana" w:hAnsi="Verdana" w:cs="Times New Roman"/>
          <w:sz w:val="20"/>
          <w:szCs w:val="20"/>
          <w:lang w:val="en-US"/>
        </w:rPr>
        <w:tab/>
      </w:r>
      <w:r>
        <w:rPr>
          <w:rFonts w:ascii="Verdana" w:hAnsi="Verdana" w:cs="Times New Roman"/>
          <w:sz w:val="20"/>
          <w:szCs w:val="20"/>
          <w:lang w:val="en-US"/>
        </w:rPr>
        <w:tab/>
      </w:r>
      <w:r>
        <w:rPr>
          <w:rFonts w:ascii="Verdana" w:hAnsi="Verdana" w:cs="Times New Roman"/>
          <w:sz w:val="20"/>
          <w:szCs w:val="20"/>
          <w:lang w:val="en-US"/>
        </w:rPr>
        <w:tab/>
      </w:r>
      <w:r>
        <w:rPr>
          <w:rFonts w:ascii="Verdana" w:hAnsi="Verdana" w:cs="Times New Roman"/>
          <w:sz w:val="20"/>
          <w:szCs w:val="20"/>
          <w:lang w:val="en-US"/>
        </w:rPr>
        <w:tab/>
      </w:r>
      <w:r w:rsidRPr="004375EB">
        <w:rPr>
          <w:rFonts w:ascii="Verdana" w:hAnsi="Verdana" w:cs="Times New Roman"/>
          <w:sz w:val="20"/>
          <w:szCs w:val="20"/>
          <w:lang w:val="en-US"/>
        </w:rPr>
        <w:t xml:space="preserve">Information Technology Governance Institute </w:t>
      </w:r>
    </w:p>
    <w:p w:rsidR="004375EB" w:rsidRPr="004375EB" w:rsidRDefault="004375EB" w:rsidP="004375EB">
      <w:pPr>
        <w:rPr>
          <w:rFonts w:ascii="Verdana" w:hAnsi="Verdana" w:cs="Times New Roman"/>
          <w:sz w:val="20"/>
          <w:szCs w:val="20"/>
          <w:lang w:val="en-US"/>
        </w:rPr>
      </w:pPr>
      <w:r w:rsidRPr="004375EB">
        <w:rPr>
          <w:rFonts w:ascii="Verdana" w:hAnsi="Verdana" w:cs="Times New Roman"/>
          <w:b/>
          <w:sz w:val="20"/>
          <w:szCs w:val="20"/>
          <w:lang w:val="en-US"/>
        </w:rPr>
        <w:t>CMM</w:t>
      </w:r>
      <w:r w:rsidRPr="004375EB">
        <w:rPr>
          <w:rFonts w:ascii="Verdana" w:hAnsi="Verdana" w:cs="Times New Roman"/>
          <w:sz w:val="20"/>
          <w:szCs w:val="20"/>
          <w:lang w:val="en-US"/>
        </w:rPr>
        <w:t xml:space="preserve"> </w:t>
      </w:r>
      <w:r w:rsidRPr="004375EB">
        <w:rPr>
          <w:rFonts w:ascii="Verdana" w:hAnsi="Verdana" w:cs="Times New Roman"/>
          <w:sz w:val="20"/>
          <w:szCs w:val="20"/>
          <w:lang w:val="en-US"/>
        </w:rPr>
        <w:tab/>
      </w:r>
      <w:r w:rsidRPr="004375EB">
        <w:rPr>
          <w:rFonts w:ascii="Verdana" w:hAnsi="Verdana" w:cs="Times New Roman"/>
          <w:sz w:val="20"/>
          <w:szCs w:val="20"/>
          <w:lang w:val="en-US"/>
        </w:rPr>
        <w:tab/>
      </w:r>
      <w:r w:rsidRPr="004375EB">
        <w:rPr>
          <w:rFonts w:ascii="Verdana" w:hAnsi="Verdana" w:cs="Times New Roman"/>
          <w:sz w:val="20"/>
          <w:szCs w:val="20"/>
          <w:lang w:val="en-US"/>
        </w:rPr>
        <w:tab/>
      </w:r>
      <w:r w:rsidRPr="004375EB">
        <w:rPr>
          <w:rFonts w:ascii="Verdana" w:hAnsi="Verdana" w:cs="Times New Roman"/>
          <w:sz w:val="20"/>
          <w:szCs w:val="20"/>
          <w:lang w:val="en-US"/>
        </w:rPr>
        <w:tab/>
      </w:r>
      <w:r w:rsidRPr="004375EB">
        <w:rPr>
          <w:rFonts w:ascii="Verdana" w:hAnsi="Verdana" w:cs="Times New Roman"/>
          <w:sz w:val="20"/>
          <w:szCs w:val="20"/>
          <w:lang w:val="en-US"/>
        </w:rPr>
        <w:tab/>
      </w:r>
      <w:r w:rsidRPr="004375EB">
        <w:rPr>
          <w:rFonts w:ascii="Verdana" w:hAnsi="Verdana" w:cs="Times New Roman"/>
          <w:sz w:val="20"/>
          <w:szCs w:val="20"/>
          <w:lang w:val="en-US"/>
        </w:rPr>
        <w:tab/>
        <w:t xml:space="preserve">Capability maturity models </w:t>
      </w:r>
    </w:p>
    <w:p w:rsidR="004375EB" w:rsidRPr="004375EB" w:rsidRDefault="004375EB" w:rsidP="004375EB">
      <w:pPr>
        <w:rPr>
          <w:rFonts w:ascii="Verdana" w:hAnsi="Verdana" w:cs="Times New Roman"/>
          <w:sz w:val="20"/>
          <w:szCs w:val="20"/>
          <w:lang w:val="en-US"/>
        </w:rPr>
      </w:pPr>
      <w:r w:rsidRPr="004375EB">
        <w:rPr>
          <w:rFonts w:ascii="Verdana" w:hAnsi="Verdana" w:cs="Times New Roman"/>
          <w:b/>
          <w:sz w:val="20"/>
          <w:szCs w:val="20"/>
          <w:lang w:val="en-US"/>
        </w:rPr>
        <w:t>CMMI</w:t>
      </w:r>
      <w:r>
        <w:rPr>
          <w:rFonts w:ascii="Verdana" w:hAnsi="Verdana" w:cs="Times New Roman"/>
          <w:sz w:val="20"/>
          <w:szCs w:val="20"/>
          <w:lang w:val="en-US"/>
        </w:rPr>
        <w:t xml:space="preserve"> </w:t>
      </w:r>
      <w:r>
        <w:rPr>
          <w:rFonts w:ascii="Verdana" w:hAnsi="Verdana" w:cs="Times New Roman"/>
          <w:sz w:val="20"/>
          <w:szCs w:val="20"/>
          <w:lang w:val="en-US"/>
        </w:rPr>
        <w:tab/>
      </w:r>
      <w:r>
        <w:rPr>
          <w:rFonts w:ascii="Verdana" w:hAnsi="Verdana" w:cs="Times New Roman"/>
          <w:sz w:val="20"/>
          <w:szCs w:val="20"/>
          <w:lang w:val="en-US"/>
        </w:rPr>
        <w:tab/>
      </w:r>
      <w:r>
        <w:rPr>
          <w:rFonts w:ascii="Verdana" w:hAnsi="Verdana" w:cs="Times New Roman"/>
          <w:sz w:val="20"/>
          <w:szCs w:val="20"/>
          <w:lang w:val="en-US"/>
        </w:rPr>
        <w:tab/>
      </w:r>
      <w:r>
        <w:rPr>
          <w:rFonts w:ascii="Verdana" w:hAnsi="Verdana" w:cs="Times New Roman"/>
          <w:sz w:val="20"/>
          <w:szCs w:val="20"/>
          <w:lang w:val="en-US"/>
        </w:rPr>
        <w:tab/>
      </w:r>
      <w:r>
        <w:rPr>
          <w:rFonts w:ascii="Verdana" w:hAnsi="Verdana" w:cs="Times New Roman"/>
          <w:sz w:val="20"/>
          <w:szCs w:val="20"/>
          <w:lang w:val="en-US"/>
        </w:rPr>
        <w:tab/>
      </w:r>
      <w:r>
        <w:rPr>
          <w:rFonts w:ascii="Verdana" w:hAnsi="Verdana" w:cs="Times New Roman"/>
          <w:sz w:val="20"/>
          <w:szCs w:val="20"/>
          <w:lang w:val="en-US"/>
        </w:rPr>
        <w:tab/>
        <w:t>Capability maturity model integration</w:t>
      </w:r>
    </w:p>
    <w:p w:rsidR="004375EB" w:rsidRPr="004375EB" w:rsidRDefault="004375EB" w:rsidP="004375EB">
      <w:pPr>
        <w:rPr>
          <w:lang w:val="en-US"/>
        </w:rPr>
      </w:pPr>
      <w:r w:rsidRPr="004375EB">
        <w:rPr>
          <w:rFonts w:ascii="Verdana" w:hAnsi="Verdana" w:cs="Times New Roman"/>
          <w:b/>
          <w:sz w:val="20"/>
          <w:szCs w:val="20"/>
          <w:lang w:val="en-US"/>
        </w:rPr>
        <w:t>DFA</w:t>
      </w:r>
      <w:r>
        <w:rPr>
          <w:rFonts w:ascii="Verdana" w:hAnsi="Verdana" w:cs="Times New Roman"/>
          <w:sz w:val="20"/>
          <w:szCs w:val="20"/>
          <w:lang w:val="en-US"/>
        </w:rPr>
        <w:t xml:space="preserve"> </w:t>
      </w:r>
      <w:r>
        <w:rPr>
          <w:rFonts w:ascii="Verdana" w:hAnsi="Verdana" w:cs="Times New Roman"/>
          <w:sz w:val="20"/>
          <w:szCs w:val="20"/>
          <w:lang w:val="en-US"/>
        </w:rPr>
        <w:tab/>
      </w:r>
      <w:r>
        <w:rPr>
          <w:rFonts w:ascii="Verdana" w:hAnsi="Verdana" w:cs="Times New Roman"/>
          <w:sz w:val="20"/>
          <w:szCs w:val="20"/>
          <w:lang w:val="en-US"/>
        </w:rPr>
        <w:tab/>
      </w:r>
      <w:r>
        <w:rPr>
          <w:rFonts w:ascii="Verdana" w:hAnsi="Verdana" w:cs="Times New Roman"/>
          <w:sz w:val="20"/>
          <w:szCs w:val="20"/>
          <w:lang w:val="en-US"/>
        </w:rPr>
        <w:tab/>
      </w:r>
      <w:r>
        <w:rPr>
          <w:rFonts w:ascii="Verdana" w:hAnsi="Verdana" w:cs="Times New Roman"/>
          <w:sz w:val="20"/>
          <w:szCs w:val="20"/>
          <w:lang w:val="en-US"/>
        </w:rPr>
        <w:tab/>
      </w:r>
      <w:r>
        <w:rPr>
          <w:rFonts w:ascii="Verdana" w:hAnsi="Verdana" w:cs="Times New Roman"/>
          <w:sz w:val="20"/>
          <w:szCs w:val="20"/>
          <w:lang w:val="en-US"/>
        </w:rPr>
        <w:tab/>
      </w:r>
      <w:r>
        <w:rPr>
          <w:rFonts w:ascii="Verdana" w:hAnsi="Verdana" w:cs="Times New Roman"/>
          <w:sz w:val="20"/>
          <w:szCs w:val="20"/>
          <w:lang w:val="en-US"/>
        </w:rPr>
        <w:tab/>
      </w:r>
      <w:r w:rsidRPr="004375EB">
        <w:rPr>
          <w:rFonts w:ascii="Verdana" w:hAnsi="Verdana" w:cs="Times New Roman"/>
          <w:sz w:val="20"/>
          <w:szCs w:val="20"/>
          <w:lang w:val="en-US"/>
        </w:rPr>
        <w:t xml:space="preserve">Dodd-Frank Act </w:t>
      </w:r>
    </w:p>
    <w:p w:rsidR="004375EB" w:rsidRPr="000824D2" w:rsidRDefault="00864228" w:rsidP="001F379A">
      <w:pPr>
        <w:rPr>
          <w:rFonts w:ascii="Verdana" w:hAnsi="Verdana"/>
          <w:sz w:val="20"/>
          <w:szCs w:val="20"/>
          <w:lang w:val="en-US"/>
        </w:rPr>
      </w:pPr>
      <w:r w:rsidRPr="000824D2">
        <w:rPr>
          <w:rFonts w:ascii="Verdana" w:hAnsi="Verdana"/>
          <w:b/>
          <w:sz w:val="20"/>
          <w:szCs w:val="20"/>
          <w:lang w:val="en-US"/>
        </w:rPr>
        <w:t>TQM</w:t>
      </w:r>
      <w:r w:rsidRPr="000824D2">
        <w:rPr>
          <w:rFonts w:ascii="Verdana" w:hAnsi="Verdana"/>
          <w:sz w:val="20"/>
          <w:szCs w:val="20"/>
          <w:lang w:val="en-US"/>
        </w:rPr>
        <w:tab/>
      </w:r>
      <w:r w:rsidRPr="000824D2">
        <w:rPr>
          <w:rFonts w:ascii="Verdana" w:hAnsi="Verdana"/>
          <w:sz w:val="20"/>
          <w:szCs w:val="20"/>
          <w:lang w:val="en-US"/>
        </w:rPr>
        <w:tab/>
      </w:r>
      <w:r w:rsidRPr="000824D2">
        <w:rPr>
          <w:rFonts w:ascii="Verdana" w:hAnsi="Verdana"/>
          <w:sz w:val="20"/>
          <w:szCs w:val="20"/>
          <w:lang w:val="en-US"/>
        </w:rPr>
        <w:tab/>
      </w:r>
      <w:r w:rsidRPr="000824D2">
        <w:rPr>
          <w:rFonts w:ascii="Verdana" w:hAnsi="Verdana"/>
          <w:sz w:val="20"/>
          <w:szCs w:val="20"/>
          <w:lang w:val="en-US"/>
        </w:rPr>
        <w:tab/>
      </w:r>
      <w:r w:rsidRPr="000824D2">
        <w:rPr>
          <w:rFonts w:ascii="Verdana" w:hAnsi="Verdana"/>
          <w:sz w:val="20"/>
          <w:szCs w:val="20"/>
          <w:lang w:val="en-US"/>
        </w:rPr>
        <w:tab/>
      </w:r>
      <w:r w:rsidRPr="000824D2">
        <w:rPr>
          <w:rFonts w:ascii="Verdana" w:hAnsi="Verdana"/>
          <w:sz w:val="20"/>
          <w:szCs w:val="20"/>
          <w:lang w:val="en-US"/>
        </w:rPr>
        <w:tab/>
        <w:t>Total Quality Management</w:t>
      </w:r>
    </w:p>
    <w:p w:rsidR="00864228" w:rsidRDefault="00864228" w:rsidP="001F379A">
      <w:pPr>
        <w:rPr>
          <w:lang w:val="en-US"/>
        </w:rPr>
        <w:sectPr w:rsidR="00864228" w:rsidSect="00820B38">
          <w:pgSz w:w="11906" w:h="16838"/>
          <w:pgMar w:top="1440" w:right="1440" w:bottom="1440" w:left="1440" w:header="708" w:footer="708" w:gutter="0"/>
          <w:pgNumType w:fmt="lowerRoman"/>
          <w:cols w:space="708"/>
          <w:docGrid w:linePitch="360"/>
        </w:sectPr>
      </w:pPr>
    </w:p>
    <w:p w:rsidR="000E223B" w:rsidRPr="000E223B" w:rsidRDefault="000E223B" w:rsidP="000E223B">
      <w:pPr>
        <w:spacing w:line="360" w:lineRule="auto"/>
        <w:jc w:val="both"/>
        <w:rPr>
          <w:rFonts w:ascii="Verdana" w:hAnsi="Verdana" w:cs="Times New Roman"/>
          <w:sz w:val="20"/>
          <w:szCs w:val="20"/>
          <w:lang w:val="en-US"/>
        </w:rPr>
      </w:pPr>
    </w:p>
    <w:p w:rsidR="000E223B" w:rsidRDefault="000E223B" w:rsidP="000E223B">
      <w:pPr>
        <w:pStyle w:val="Heading1"/>
        <w:numPr>
          <w:ilvl w:val="0"/>
          <w:numId w:val="54"/>
        </w:numPr>
        <w:spacing w:line="360" w:lineRule="auto"/>
        <w:ind w:left="0" w:firstLine="0"/>
        <w:jc w:val="both"/>
        <w:rPr>
          <w:rFonts w:ascii="Verdana" w:hAnsi="Verdana" w:cs="Times New Roman"/>
          <w:sz w:val="20"/>
          <w:szCs w:val="20"/>
          <w:lang w:val="en-US"/>
        </w:rPr>
      </w:pPr>
      <w:r w:rsidRPr="000E223B">
        <w:rPr>
          <w:rFonts w:ascii="Verdana" w:hAnsi="Verdana" w:cs="Times New Roman"/>
          <w:sz w:val="20"/>
          <w:szCs w:val="20"/>
          <w:lang w:val="en-US"/>
        </w:rPr>
        <w:t xml:space="preserve"> </w:t>
      </w:r>
      <w:bookmarkStart w:id="5" w:name="_Toc423597482"/>
      <w:r w:rsidRPr="004375EB">
        <w:rPr>
          <w:rFonts w:ascii="Verdana" w:hAnsi="Verdana" w:cs="Times New Roman"/>
          <w:sz w:val="20"/>
          <w:szCs w:val="20"/>
          <w:lang w:val="en-US"/>
        </w:rPr>
        <w:t>I</w:t>
      </w:r>
      <w:r w:rsidR="009976B7">
        <w:rPr>
          <w:rFonts w:ascii="Verdana" w:hAnsi="Verdana" w:cs="Times New Roman"/>
          <w:sz w:val="20"/>
          <w:szCs w:val="20"/>
          <w:lang w:val="en-US"/>
        </w:rPr>
        <w:t>NTRODUCTION</w:t>
      </w:r>
      <w:bookmarkEnd w:id="5"/>
    </w:p>
    <w:p w:rsidR="00EC3951" w:rsidRDefault="00EC3951" w:rsidP="000E223B">
      <w:pPr>
        <w:pStyle w:val="ListParagraph"/>
        <w:spacing w:line="360" w:lineRule="auto"/>
        <w:ind w:left="0"/>
        <w:jc w:val="both"/>
        <w:rPr>
          <w:rFonts w:ascii="Verdana" w:hAnsi="Verdana" w:cs="Times New Roman"/>
          <w:sz w:val="20"/>
          <w:szCs w:val="20"/>
        </w:rPr>
      </w:pPr>
      <w:r>
        <w:rPr>
          <w:rFonts w:ascii="Verdana" w:hAnsi="Verdana" w:cs="Times New Roman"/>
          <w:sz w:val="20"/>
          <w:szCs w:val="20"/>
        </w:rPr>
        <w:t>A “</w:t>
      </w:r>
      <w:r w:rsidRPr="00AD0EC7">
        <w:rPr>
          <w:rFonts w:ascii="Verdana" w:hAnsi="Verdana" w:cs="Times New Roman"/>
          <w:i/>
          <w:sz w:val="20"/>
          <w:szCs w:val="20"/>
        </w:rPr>
        <w:t>normal</w:t>
      </w:r>
      <w:r>
        <w:rPr>
          <w:rFonts w:ascii="Verdana" w:hAnsi="Verdana" w:cs="Times New Roman"/>
          <w:sz w:val="20"/>
          <w:szCs w:val="20"/>
        </w:rPr>
        <w:t>” conversation between the front and back-office of any organization is a juggling of “</w:t>
      </w:r>
      <w:r w:rsidRPr="00AD0EC7">
        <w:rPr>
          <w:rFonts w:ascii="Verdana" w:hAnsi="Verdana" w:cs="Times New Roman"/>
          <w:i/>
          <w:sz w:val="20"/>
          <w:szCs w:val="20"/>
        </w:rPr>
        <w:t>blames</w:t>
      </w:r>
      <w:r>
        <w:rPr>
          <w:rFonts w:ascii="Verdana" w:hAnsi="Verdana" w:cs="Times New Roman"/>
          <w:sz w:val="20"/>
          <w:szCs w:val="20"/>
        </w:rPr>
        <w:t xml:space="preserve">” for what seems to </w:t>
      </w:r>
      <w:r w:rsidR="00A966D7">
        <w:rPr>
          <w:rFonts w:ascii="Verdana" w:hAnsi="Verdana" w:cs="Times New Roman"/>
          <w:sz w:val="20"/>
          <w:szCs w:val="20"/>
        </w:rPr>
        <w:t>work inefficiently. T</w:t>
      </w:r>
      <w:r w:rsidR="00AD0EC7">
        <w:rPr>
          <w:rFonts w:ascii="Verdana" w:hAnsi="Verdana" w:cs="Times New Roman"/>
          <w:sz w:val="20"/>
          <w:szCs w:val="20"/>
        </w:rPr>
        <w:t xml:space="preserve">he back-office complains that the </w:t>
      </w:r>
      <w:r w:rsidR="00A966D7">
        <w:rPr>
          <w:rFonts w:ascii="Verdana" w:hAnsi="Verdana" w:cs="Times New Roman"/>
          <w:sz w:val="20"/>
          <w:szCs w:val="20"/>
        </w:rPr>
        <w:t>processes followed by</w:t>
      </w:r>
      <w:r w:rsidR="00AD0EC7">
        <w:rPr>
          <w:rFonts w:ascii="Verdana" w:hAnsi="Verdana" w:cs="Times New Roman"/>
          <w:sz w:val="20"/>
          <w:szCs w:val="20"/>
        </w:rPr>
        <w:t xml:space="preserve"> the front office generate bottlenecks by failing to reflect how the business actually operates</w:t>
      </w:r>
      <w:r w:rsidR="00A966D7">
        <w:rPr>
          <w:rFonts w:ascii="Verdana" w:hAnsi="Verdana" w:cs="Times New Roman"/>
          <w:sz w:val="20"/>
          <w:szCs w:val="20"/>
        </w:rPr>
        <w:t xml:space="preserve">. On the other hand, </w:t>
      </w:r>
      <w:r w:rsidR="00AD0EC7">
        <w:rPr>
          <w:rFonts w:ascii="Verdana" w:hAnsi="Verdana" w:cs="Times New Roman"/>
          <w:sz w:val="20"/>
          <w:szCs w:val="20"/>
        </w:rPr>
        <w:t xml:space="preserve">the front office </w:t>
      </w:r>
      <w:r w:rsidR="00AE3E10">
        <w:rPr>
          <w:rFonts w:ascii="Verdana" w:hAnsi="Verdana" w:cs="Times New Roman"/>
          <w:sz w:val="20"/>
          <w:szCs w:val="20"/>
        </w:rPr>
        <w:t xml:space="preserve">argues that the </w:t>
      </w:r>
      <w:r w:rsidR="00C54C94">
        <w:rPr>
          <w:rFonts w:ascii="Verdana" w:hAnsi="Verdana" w:cs="Times New Roman"/>
          <w:sz w:val="20"/>
          <w:szCs w:val="20"/>
        </w:rPr>
        <w:t xml:space="preserve">existing </w:t>
      </w:r>
      <w:r w:rsidR="00A966D7">
        <w:rPr>
          <w:rFonts w:ascii="Verdana" w:hAnsi="Verdana" w:cs="Times New Roman"/>
          <w:sz w:val="20"/>
          <w:szCs w:val="20"/>
        </w:rPr>
        <w:t>processes</w:t>
      </w:r>
      <w:r w:rsidR="00C54C94">
        <w:rPr>
          <w:rFonts w:ascii="Verdana" w:hAnsi="Verdana" w:cs="Times New Roman"/>
          <w:sz w:val="20"/>
          <w:szCs w:val="20"/>
        </w:rPr>
        <w:t xml:space="preserve"> </w:t>
      </w:r>
      <w:r w:rsidR="00AE3E10">
        <w:rPr>
          <w:rFonts w:ascii="Verdana" w:hAnsi="Verdana" w:cs="Times New Roman"/>
          <w:sz w:val="20"/>
          <w:szCs w:val="20"/>
        </w:rPr>
        <w:t xml:space="preserve">are </w:t>
      </w:r>
      <w:r w:rsidR="00C54C94">
        <w:rPr>
          <w:rFonts w:ascii="Verdana" w:hAnsi="Verdana" w:cs="Times New Roman"/>
          <w:sz w:val="20"/>
          <w:szCs w:val="20"/>
        </w:rPr>
        <w:t>designed to</w:t>
      </w:r>
      <w:r w:rsidR="00AD0EC7">
        <w:rPr>
          <w:rFonts w:ascii="Verdana" w:hAnsi="Verdana" w:cs="Times New Roman"/>
          <w:sz w:val="20"/>
          <w:szCs w:val="20"/>
        </w:rPr>
        <w:t xml:space="preserve"> resolve potential shortfalls in business operations</w:t>
      </w:r>
      <w:r w:rsidR="00AE3E10">
        <w:rPr>
          <w:rFonts w:ascii="Verdana" w:hAnsi="Verdana" w:cs="Times New Roman"/>
          <w:sz w:val="20"/>
          <w:szCs w:val="20"/>
        </w:rPr>
        <w:t xml:space="preserve"> but that the back-office fails to comply with them</w:t>
      </w:r>
      <w:r w:rsidR="00AD0EC7">
        <w:rPr>
          <w:rFonts w:ascii="Verdana" w:hAnsi="Verdana" w:cs="Times New Roman"/>
          <w:sz w:val="20"/>
          <w:szCs w:val="20"/>
        </w:rPr>
        <w:t xml:space="preserve">. The same back-and-forth holds for data governance programs as well. </w:t>
      </w:r>
    </w:p>
    <w:p w:rsidR="000E223B" w:rsidRPr="00FB5C1D" w:rsidRDefault="00AD0EC7" w:rsidP="000E223B">
      <w:pPr>
        <w:pStyle w:val="ListParagraph"/>
        <w:spacing w:line="360" w:lineRule="auto"/>
        <w:ind w:left="0"/>
        <w:jc w:val="both"/>
        <w:rPr>
          <w:rFonts w:ascii="Verdana" w:hAnsi="Verdana" w:cs="Times New Roman"/>
          <w:sz w:val="20"/>
          <w:szCs w:val="20"/>
        </w:rPr>
      </w:pPr>
      <w:r>
        <w:rPr>
          <w:rFonts w:ascii="Verdana" w:hAnsi="Verdana" w:cs="Times New Roman"/>
          <w:sz w:val="20"/>
          <w:szCs w:val="20"/>
        </w:rPr>
        <w:t xml:space="preserve">Data has become </w:t>
      </w:r>
      <w:r w:rsidR="005F2DE8">
        <w:rPr>
          <w:rFonts w:ascii="Verdana" w:hAnsi="Verdana" w:cs="Times New Roman"/>
          <w:sz w:val="20"/>
          <w:szCs w:val="20"/>
        </w:rPr>
        <w:t>a</w:t>
      </w:r>
      <w:r>
        <w:rPr>
          <w:rFonts w:ascii="Verdana" w:hAnsi="Verdana" w:cs="Times New Roman"/>
          <w:sz w:val="20"/>
          <w:szCs w:val="20"/>
        </w:rPr>
        <w:t xml:space="preserve"> major asset </w:t>
      </w:r>
      <w:r w:rsidR="005F2DE8">
        <w:rPr>
          <w:rFonts w:ascii="Verdana" w:hAnsi="Verdana" w:cs="Times New Roman"/>
          <w:sz w:val="20"/>
          <w:szCs w:val="20"/>
        </w:rPr>
        <w:t>in today’s business landscape</w:t>
      </w:r>
      <w:r>
        <w:rPr>
          <w:rFonts w:ascii="Verdana" w:hAnsi="Verdana" w:cs="Times New Roman"/>
          <w:sz w:val="20"/>
          <w:szCs w:val="20"/>
        </w:rPr>
        <w:t>: data about customers,</w:t>
      </w:r>
      <w:r w:rsidR="00B120CE">
        <w:rPr>
          <w:rFonts w:ascii="Verdana" w:hAnsi="Verdana" w:cs="Times New Roman"/>
          <w:sz w:val="20"/>
          <w:szCs w:val="20"/>
        </w:rPr>
        <w:t xml:space="preserve"> operations, clients, suppliers or</w:t>
      </w:r>
      <w:r>
        <w:rPr>
          <w:rFonts w:ascii="Verdana" w:hAnsi="Verdana" w:cs="Times New Roman"/>
          <w:sz w:val="20"/>
          <w:szCs w:val="20"/>
        </w:rPr>
        <w:t xml:space="preserve"> creditors </w:t>
      </w:r>
      <w:r w:rsidR="00DE154C">
        <w:rPr>
          <w:rFonts w:ascii="Verdana" w:hAnsi="Verdana" w:cs="Times New Roman"/>
          <w:sz w:val="20"/>
          <w:szCs w:val="20"/>
        </w:rPr>
        <w:t>occupies</w:t>
      </w:r>
      <w:r>
        <w:rPr>
          <w:rFonts w:ascii="Verdana" w:hAnsi="Verdana" w:cs="Times New Roman"/>
          <w:sz w:val="20"/>
          <w:szCs w:val="20"/>
        </w:rPr>
        <w:t xml:space="preserve"> decision-makers</w:t>
      </w:r>
      <w:r w:rsidR="00DE154C">
        <w:rPr>
          <w:rFonts w:ascii="Verdana" w:hAnsi="Verdana" w:cs="Times New Roman"/>
          <w:sz w:val="20"/>
          <w:szCs w:val="20"/>
        </w:rPr>
        <w:t xml:space="preserve"> agendas</w:t>
      </w:r>
      <w:r>
        <w:rPr>
          <w:rFonts w:ascii="Verdana" w:hAnsi="Verdana" w:cs="Times New Roman"/>
          <w:sz w:val="20"/>
          <w:szCs w:val="20"/>
        </w:rPr>
        <w:t xml:space="preserve"> on a daily basis </w:t>
      </w:r>
      <w:r w:rsidR="00DE154C">
        <w:rPr>
          <w:rFonts w:ascii="Verdana" w:hAnsi="Verdana" w:cs="Times New Roman"/>
          <w:sz w:val="20"/>
          <w:szCs w:val="20"/>
        </w:rPr>
        <w:t>by driving</w:t>
      </w:r>
      <w:r>
        <w:rPr>
          <w:rFonts w:ascii="Verdana" w:hAnsi="Verdana" w:cs="Times New Roman"/>
          <w:sz w:val="20"/>
          <w:szCs w:val="20"/>
        </w:rPr>
        <w:t xml:space="preserve"> evaluations and resolutions with the potential to impact a company at every level. This data being valid and accurate is then of central significance in determining the weight of </w:t>
      </w:r>
      <w:r w:rsidR="00DE154C">
        <w:rPr>
          <w:rFonts w:ascii="Verdana" w:hAnsi="Verdana" w:cs="Times New Roman"/>
          <w:sz w:val="20"/>
          <w:szCs w:val="20"/>
        </w:rPr>
        <w:t xml:space="preserve">outcomes and </w:t>
      </w:r>
      <w:r w:rsidR="005F2DE8">
        <w:rPr>
          <w:rFonts w:ascii="Verdana" w:hAnsi="Verdana" w:cs="Times New Roman"/>
          <w:sz w:val="20"/>
          <w:szCs w:val="20"/>
        </w:rPr>
        <w:t xml:space="preserve">the influence they generate. </w:t>
      </w:r>
      <w:r w:rsidR="00DE154C">
        <w:rPr>
          <w:rFonts w:ascii="Verdana" w:hAnsi="Verdana" w:cs="Times New Roman"/>
          <w:sz w:val="20"/>
          <w:szCs w:val="20"/>
        </w:rPr>
        <w:t xml:space="preserve"> </w:t>
      </w:r>
      <w:r w:rsidR="005F2DE8">
        <w:rPr>
          <w:rFonts w:ascii="Verdana" w:hAnsi="Verdana" w:cs="Times New Roman"/>
          <w:sz w:val="20"/>
          <w:szCs w:val="20"/>
        </w:rPr>
        <w:t>Nowadays this becomes ever</w:t>
      </w:r>
      <w:r w:rsidR="000E223B" w:rsidRPr="00FB5C1D">
        <w:rPr>
          <w:rFonts w:ascii="Verdana" w:hAnsi="Verdana" w:cs="Times New Roman"/>
          <w:sz w:val="20"/>
          <w:szCs w:val="20"/>
        </w:rPr>
        <w:t xml:space="preserve"> more complex</w:t>
      </w:r>
      <w:r w:rsidR="005F2DE8">
        <w:rPr>
          <w:rFonts w:ascii="Verdana" w:hAnsi="Verdana" w:cs="Times New Roman"/>
          <w:sz w:val="20"/>
          <w:szCs w:val="20"/>
        </w:rPr>
        <w:t xml:space="preserve"> as new</w:t>
      </w:r>
      <w:r w:rsidR="000E223B" w:rsidRPr="00FB5C1D">
        <w:rPr>
          <w:rFonts w:ascii="Verdana" w:hAnsi="Verdana" w:cs="Times New Roman"/>
          <w:sz w:val="20"/>
          <w:szCs w:val="20"/>
        </w:rPr>
        <w:t xml:space="preserve"> data sources bring about challenges in terms of volume, variety or plurality, just to name a few. The “</w:t>
      </w:r>
      <w:r w:rsidR="000E223B" w:rsidRPr="00FB5C1D">
        <w:rPr>
          <w:rFonts w:ascii="Verdana" w:hAnsi="Verdana" w:cs="Times New Roman"/>
          <w:i/>
          <w:sz w:val="20"/>
          <w:szCs w:val="20"/>
        </w:rPr>
        <w:t>Big data phenomenon</w:t>
      </w:r>
      <w:r w:rsidR="00864228" w:rsidRPr="00FB5C1D">
        <w:rPr>
          <w:rFonts w:ascii="Verdana" w:hAnsi="Verdana" w:cs="Times New Roman"/>
          <w:sz w:val="20"/>
          <w:szCs w:val="20"/>
        </w:rPr>
        <w:t>” has</w:t>
      </w:r>
      <w:r w:rsidR="000E223B" w:rsidRPr="00FB5C1D">
        <w:rPr>
          <w:rFonts w:ascii="Verdana" w:hAnsi="Verdana" w:cs="Times New Roman"/>
          <w:sz w:val="20"/>
          <w:szCs w:val="20"/>
        </w:rPr>
        <w:t xml:space="preserve"> been characterized as one of the most discussed topics in research and practice with more than 70% of all ranked papers on this subject having been published only in the last two years (Buhl, </w:t>
      </w:r>
      <w:r w:rsidR="000E223B" w:rsidRPr="00FB5C1D">
        <w:rPr>
          <w:rFonts w:ascii="Verdana" w:hAnsi="Verdana" w:cs="Times New Roman"/>
          <w:bCs/>
          <w:iCs/>
          <w:sz w:val="20"/>
          <w:szCs w:val="20"/>
        </w:rPr>
        <w:t>Röglinger, Moser, Heidemann,</w:t>
      </w:r>
      <w:r w:rsidR="000E223B" w:rsidRPr="00FB5C1D">
        <w:rPr>
          <w:rFonts w:ascii="Verdana" w:hAnsi="Verdana" w:cs="Times New Roman"/>
          <w:sz w:val="20"/>
          <w:szCs w:val="20"/>
        </w:rPr>
        <w:t xml:space="preserve"> 2013). </w:t>
      </w:r>
    </w:p>
    <w:p w:rsidR="005F2DE8" w:rsidRPr="00FB5C1D" w:rsidRDefault="00BC1F27" w:rsidP="000E223B">
      <w:pPr>
        <w:pStyle w:val="ListParagraph"/>
        <w:spacing w:line="360" w:lineRule="auto"/>
        <w:ind w:left="0"/>
        <w:jc w:val="both"/>
        <w:rPr>
          <w:rFonts w:ascii="Verdana" w:hAnsi="Verdana" w:cs="Times New Roman"/>
          <w:sz w:val="20"/>
          <w:szCs w:val="20"/>
        </w:rPr>
      </w:pPr>
      <w:r>
        <w:rPr>
          <w:rFonts w:ascii="Verdana" w:hAnsi="Verdana" w:cs="Times New Roman"/>
          <w:sz w:val="20"/>
          <w:szCs w:val="20"/>
        </w:rPr>
        <w:t xml:space="preserve">Bahjat </w:t>
      </w:r>
      <w:r w:rsidR="000E223B" w:rsidRPr="00FB5C1D">
        <w:rPr>
          <w:rFonts w:ascii="Verdana" w:hAnsi="Verdana" w:cs="Times New Roman"/>
          <w:sz w:val="20"/>
          <w:szCs w:val="20"/>
        </w:rPr>
        <w:t>El-Darwiche, Koch, Tohme, Shehadi and Meer (2014) point out that a common misconception when discus</w:t>
      </w:r>
      <w:r w:rsidR="005F2DE8">
        <w:rPr>
          <w:rFonts w:ascii="Verdana" w:hAnsi="Verdana" w:cs="Times New Roman"/>
          <w:sz w:val="20"/>
          <w:szCs w:val="20"/>
        </w:rPr>
        <w:t>sing about Big Data is that it revolves around complicated technologies which discourage companies from embarking on such initiatives.</w:t>
      </w:r>
      <w:r w:rsidR="000E223B" w:rsidRPr="00FB5C1D">
        <w:rPr>
          <w:rFonts w:ascii="Verdana" w:hAnsi="Verdana" w:cs="Times New Roman"/>
          <w:sz w:val="20"/>
          <w:szCs w:val="20"/>
        </w:rPr>
        <w:t xml:space="preserve"> </w:t>
      </w:r>
      <w:r w:rsidR="005F2DE8">
        <w:rPr>
          <w:rFonts w:ascii="Verdana" w:hAnsi="Verdana" w:cs="Times New Roman"/>
          <w:sz w:val="20"/>
          <w:szCs w:val="20"/>
        </w:rPr>
        <w:t>While we acknowledge that</w:t>
      </w:r>
      <w:r w:rsidR="000E223B" w:rsidRPr="00FB5C1D">
        <w:rPr>
          <w:rFonts w:ascii="Verdana" w:hAnsi="Verdana" w:cs="Times New Roman"/>
          <w:sz w:val="20"/>
          <w:szCs w:val="20"/>
        </w:rPr>
        <w:t xml:space="preserve"> this has mostly been the case, the main driving force of success </w:t>
      </w:r>
      <w:r w:rsidR="00C54C94">
        <w:rPr>
          <w:rFonts w:ascii="Verdana" w:hAnsi="Verdana" w:cs="Times New Roman"/>
          <w:sz w:val="20"/>
          <w:szCs w:val="20"/>
        </w:rPr>
        <w:t>of</w:t>
      </w:r>
      <w:r w:rsidR="005F2DE8">
        <w:rPr>
          <w:rFonts w:ascii="Verdana" w:hAnsi="Verdana" w:cs="Times New Roman"/>
          <w:sz w:val="20"/>
          <w:szCs w:val="20"/>
        </w:rPr>
        <w:t xml:space="preserve"> any big data project </w:t>
      </w:r>
      <w:r w:rsidR="000E223B" w:rsidRPr="00FB5C1D">
        <w:rPr>
          <w:rFonts w:ascii="Verdana" w:hAnsi="Verdana" w:cs="Times New Roman"/>
          <w:sz w:val="20"/>
          <w:szCs w:val="20"/>
        </w:rPr>
        <w:t xml:space="preserve">is that organizations need to reshape the way decision-making is enforced, basing it more on clear data insights rather than just pure intuition. </w:t>
      </w:r>
      <w:r w:rsidR="005F2DE8">
        <w:rPr>
          <w:rFonts w:ascii="Verdana" w:hAnsi="Verdana" w:cs="Times New Roman"/>
          <w:sz w:val="20"/>
          <w:szCs w:val="20"/>
        </w:rPr>
        <w:t xml:space="preserve">Big data projects will provide the promised results if they are </w:t>
      </w:r>
      <w:r w:rsidR="00C54C94">
        <w:rPr>
          <w:rFonts w:ascii="Verdana" w:hAnsi="Verdana" w:cs="Times New Roman"/>
          <w:sz w:val="20"/>
          <w:szCs w:val="20"/>
        </w:rPr>
        <w:t>built</w:t>
      </w:r>
      <w:r w:rsidR="005F2DE8">
        <w:rPr>
          <w:rFonts w:ascii="Verdana" w:hAnsi="Verdana" w:cs="Times New Roman"/>
          <w:sz w:val="20"/>
          <w:szCs w:val="20"/>
        </w:rPr>
        <w:t xml:space="preserve"> on the foundations of an environment which already fosters a data-driven culture and </w:t>
      </w:r>
      <w:r w:rsidR="00A966D7">
        <w:rPr>
          <w:rFonts w:ascii="Verdana" w:hAnsi="Verdana" w:cs="Times New Roman"/>
          <w:sz w:val="20"/>
          <w:szCs w:val="20"/>
        </w:rPr>
        <w:t>mindset. B</w:t>
      </w:r>
      <w:r w:rsidR="005F2DE8">
        <w:rPr>
          <w:rFonts w:ascii="Verdana" w:hAnsi="Verdana" w:cs="Times New Roman"/>
          <w:sz w:val="20"/>
          <w:szCs w:val="20"/>
        </w:rPr>
        <w:t xml:space="preserve">ig data </w:t>
      </w:r>
      <w:r w:rsidR="00A966D7">
        <w:rPr>
          <w:rFonts w:ascii="Verdana" w:hAnsi="Verdana" w:cs="Times New Roman"/>
          <w:sz w:val="20"/>
          <w:szCs w:val="20"/>
        </w:rPr>
        <w:t xml:space="preserve">is indeed </w:t>
      </w:r>
      <w:r w:rsidR="005F2DE8">
        <w:rPr>
          <w:rFonts w:ascii="Verdana" w:hAnsi="Verdana" w:cs="Times New Roman"/>
          <w:sz w:val="20"/>
          <w:szCs w:val="20"/>
        </w:rPr>
        <w:t xml:space="preserve">not </w:t>
      </w:r>
      <w:r w:rsidR="00C54C94">
        <w:rPr>
          <w:rFonts w:ascii="Verdana" w:hAnsi="Verdana" w:cs="Times New Roman"/>
          <w:sz w:val="20"/>
          <w:szCs w:val="20"/>
        </w:rPr>
        <w:t>a magical fix for any data problems an organization might have. What it offers is the possibility to expand the decision-making scope by recognizing the multitude of angles of approach when addressing a business task. This ensures that both internal and external policymakers have all the information at hand to “</w:t>
      </w:r>
      <w:r w:rsidR="00C54C94" w:rsidRPr="00C54C94">
        <w:rPr>
          <w:rFonts w:ascii="Verdana" w:hAnsi="Verdana" w:cs="Times New Roman"/>
          <w:i/>
          <w:sz w:val="20"/>
          <w:szCs w:val="20"/>
        </w:rPr>
        <w:t>craft</w:t>
      </w:r>
      <w:r w:rsidR="00C54C94">
        <w:rPr>
          <w:rFonts w:ascii="Verdana" w:hAnsi="Verdana" w:cs="Times New Roman"/>
          <w:sz w:val="20"/>
          <w:szCs w:val="20"/>
        </w:rPr>
        <w:t>” valid decisions</w:t>
      </w:r>
      <w:r w:rsidR="00A966D7">
        <w:rPr>
          <w:rFonts w:ascii="Verdana" w:hAnsi="Verdana" w:cs="Times New Roman"/>
          <w:sz w:val="20"/>
          <w:szCs w:val="20"/>
        </w:rPr>
        <w:t>. O</w:t>
      </w:r>
      <w:r w:rsidR="00AE3E10">
        <w:rPr>
          <w:rFonts w:ascii="Verdana" w:hAnsi="Verdana" w:cs="Times New Roman"/>
          <w:sz w:val="20"/>
          <w:szCs w:val="20"/>
        </w:rPr>
        <w:t xml:space="preserve">therwise put, that there exists a data governance framework in place to build upon. </w:t>
      </w:r>
    </w:p>
    <w:p w:rsidR="000E223B" w:rsidRPr="00FB5C1D" w:rsidRDefault="000E223B" w:rsidP="000E223B">
      <w:pPr>
        <w:pStyle w:val="ListParagraph"/>
        <w:spacing w:line="360" w:lineRule="auto"/>
        <w:ind w:left="0"/>
        <w:jc w:val="both"/>
        <w:rPr>
          <w:rFonts w:ascii="Verdana" w:hAnsi="Verdana" w:cs="Times New Roman"/>
          <w:sz w:val="20"/>
          <w:szCs w:val="20"/>
        </w:rPr>
      </w:pPr>
    </w:p>
    <w:p w:rsidR="000E223B" w:rsidRPr="00FB5C1D" w:rsidRDefault="000E223B" w:rsidP="000E223B">
      <w:pPr>
        <w:pStyle w:val="ListParagraph"/>
        <w:spacing w:line="360" w:lineRule="auto"/>
        <w:ind w:left="0"/>
        <w:jc w:val="both"/>
        <w:rPr>
          <w:rFonts w:ascii="Verdana" w:hAnsi="Verdana" w:cs="Times New Roman"/>
          <w:sz w:val="20"/>
          <w:szCs w:val="20"/>
        </w:rPr>
      </w:pPr>
    </w:p>
    <w:p w:rsidR="000E223B" w:rsidRPr="000E223B" w:rsidRDefault="000E223B" w:rsidP="000E223B">
      <w:pPr>
        <w:pStyle w:val="Heading1"/>
        <w:spacing w:line="360" w:lineRule="auto"/>
        <w:jc w:val="both"/>
        <w:rPr>
          <w:rFonts w:ascii="Verdana" w:hAnsi="Verdana" w:cs="Times New Roman"/>
          <w:sz w:val="20"/>
          <w:szCs w:val="20"/>
          <w:lang w:val="en-US"/>
        </w:rPr>
      </w:pPr>
      <w:bookmarkStart w:id="6" w:name="_Toc423597483"/>
      <w:r w:rsidRPr="000E223B">
        <w:rPr>
          <w:rFonts w:ascii="Verdana" w:hAnsi="Verdana" w:cs="Times New Roman"/>
          <w:sz w:val="20"/>
          <w:szCs w:val="20"/>
          <w:lang w:val="en-US"/>
        </w:rPr>
        <w:lastRenderedPageBreak/>
        <w:t>1.2 Research context</w:t>
      </w:r>
      <w:bookmarkEnd w:id="6"/>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Tamasauska, Liutvinavicius, Sakalauskas and Kriksciuniene (2013) characterize the data currently being used by the financial institutions as meeting all the requirements for big data (pp.36): “</w:t>
      </w:r>
      <w:r w:rsidRPr="00FB5C1D">
        <w:rPr>
          <w:rFonts w:ascii="Verdana" w:hAnsi="Verdana" w:cs="Times New Roman"/>
          <w:i/>
          <w:sz w:val="20"/>
          <w:szCs w:val="20"/>
        </w:rPr>
        <w:t>massive, temporarily ordered, fast changing, potentially infinite</w:t>
      </w:r>
      <w:r w:rsidRPr="00FB5C1D">
        <w:rPr>
          <w:rFonts w:ascii="Verdana" w:hAnsi="Verdana" w:cs="Times New Roman"/>
          <w:sz w:val="20"/>
          <w:szCs w:val="20"/>
        </w:rPr>
        <w:t>”. According to them, successfully utilizing big data has the potential to bring about the necessary transformations in the banking sector (pp.36): “</w:t>
      </w:r>
      <w:r w:rsidRPr="00FB5C1D">
        <w:rPr>
          <w:rFonts w:ascii="Verdana" w:hAnsi="Verdana" w:cs="Times New Roman"/>
          <w:i/>
          <w:sz w:val="20"/>
          <w:szCs w:val="20"/>
        </w:rPr>
        <w:t>create a customer-focused enterprise</w:t>
      </w:r>
      <w:r w:rsidRPr="00FB5C1D">
        <w:rPr>
          <w:rFonts w:ascii="Verdana" w:hAnsi="Verdana" w:cs="Times New Roman"/>
          <w:sz w:val="20"/>
          <w:szCs w:val="20"/>
        </w:rPr>
        <w:t>”, “</w:t>
      </w:r>
      <w:r w:rsidRPr="00FB5C1D">
        <w:rPr>
          <w:rFonts w:ascii="Verdana" w:hAnsi="Verdana" w:cs="Times New Roman"/>
          <w:i/>
          <w:sz w:val="20"/>
          <w:szCs w:val="20"/>
        </w:rPr>
        <w:t>optimize enterprise risk management</w:t>
      </w:r>
      <w:r w:rsidRPr="00FB5C1D">
        <w:rPr>
          <w:rFonts w:ascii="Verdana" w:hAnsi="Verdana" w:cs="Times New Roman"/>
          <w:sz w:val="20"/>
          <w:szCs w:val="20"/>
        </w:rPr>
        <w:t>”, “</w:t>
      </w:r>
      <w:r w:rsidRPr="00FB5C1D">
        <w:rPr>
          <w:rFonts w:ascii="Verdana" w:hAnsi="Verdana" w:cs="Times New Roman"/>
          <w:i/>
          <w:sz w:val="20"/>
          <w:szCs w:val="20"/>
        </w:rPr>
        <w:t>increase flexibility and streamline operations</w:t>
      </w:r>
      <w:r w:rsidRPr="00FB5C1D">
        <w:rPr>
          <w:rFonts w:ascii="Verdana" w:hAnsi="Verdana" w:cs="Times New Roman"/>
          <w:sz w:val="20"/>
          <w:szCs w:val="20"/>
        </w:rPr>
        <w:t xml:space="preserve">”. A few banks in the Benelux area are just embarking on big data initiatives such as the ING Group (Finance Lab, 2014) and KBC Belgium (Van Leemputten, 2014) and this novelty makes it difficult to build a big data governance program to suit current project needs as these needs in themselves are not yet properly documented or understood. Using the approach of De Haes &amp; Van Grembergen (2005), what is needed in such cases is to draw on existing data governance structures and design a </w:t>
      </w:r>
      <w:r w:rsidRPr="00FB5C1D">
        <w:rPr>
          <w:rFonts w:ascii="Verdana" w:hAnsi="Verdana" w:cs="Times New Roman"/>
          <w:i/>
          <w:sz w:val="20"/>
          <w:szCs w:val="20"/>
        </w:rPr>
        <w:t>capability maturity model</w:t>
      </w:r>
      <w:r w:rsidRPr="00FB5C1D">
        <w:rPr>
          <w:rFonts w:ascii="Verdana" w:hAnsi="Verdana" w:cs="Times New Roman"/>
          <w:sz w:val="20"/>
          <w:szCs w:val="20"/>
        </w:rPr>
        <w:t xml:space="preserve"> (CMM) which can steer projects in the right direction based on their own capabilities and needs. The levels of maturity for big data governance need to be synchronized with the needs of the organization</w:t>
      </w:r>
      <w:r w:rsidR="00A966D7">
        <w:rPr>
          <w:rFonts w:ascii="Verdana" w:hAnsi="Verdana" w:cs="Times New Roman"/>
          <w:sz w:val="20"/>
          <w:szCs w:val="20"/>
        </w:rPr>
        <w:t>. This can done</w:t>
      </w:r>
      <w:r w:rsidRPr="00FB5C1D">
        <w:rPr>
          <w:rFonts w:ascii="Verdana" w:hAnsi="Verdana" w:cs="Times New Roman"/>
          <w:sz w:val="20"/>
          <w:szCs w:val="20"/>
        </w:rPr>
        <w:t xml:space="preserve"> by following a staged approach</w:t>
      </w:r>
      <w:r w:rsidR="00AE3E10">
        <w:rPr>
          <w:rFonts w:ascii="Verdana" w:hAnsi="Verdana" w:cs="Times New Roman"/>
          <w:sz w:val="20"/>
          <w:szCs w:val="20"/>
        </w:rPr>
        <w:t xml:space="preserve"> otherwise </w:t>
      </w:r>
      <w:r w:rsidR="00A966D7">
        <w:rPr>
          <w:rFonts w:ascii="Verdana" w:hAnsi="Verdana" w:cs="Times New Roman"/>
          <w:sz w:val="20"/>
          <w:szCs w:val="20"/>
        </w:rPr>
        <w:t>investing in</w:t>
      </w:r>
      <w:r w:rsidR="00AE3E10">
        <w:rPr>
          <w:rFonts w:ascii="Verdana" w:hAnsi="Verdana" w:cs="Times New Roman"/>
          <w:sz w:val="20"/>
          <w:szCs w:val="20"/>
        </w:rPr>
        <w:t xml:space="preserve"> complex Hadoop cluster</w:t>
      </w:r>
      <w:r w:rsidR="00A966D7">
        <w:rPr>
          <w:rFonts w:ascii="Verdana" w:hAnsi="Verdana" w:cs="Times New Roman"/>
          <w:sz w:val="20"/>
          <w:szCs w:val="20"/>
        </w:rPr>
        <w:t>s</w:t>
      </w:r>
      <w:r w:rsidR="00AE3E10">
        <w:rPr>
          <w:rFonts w:ascii="Verdana" w:hAnsi="Verdana" w:cs="Times New Roman"/>
          <w:sz w:val="20"/>
          <w:szCs w:val="20"/>
        </w:rPr>
        <w:t xml:space="preserve"> will prove useless </w:t>
      </w:r>
      <w:r w:rsidR="00A966D7">
        <w:rPr>
          <w:rFonts w:ascii="Verdana" w:hAnsi="Verdana" w:cs="Times New Roman"/>
          <w:sz w:val="20"/>
          <w:szCs w:val="20"/>
        </w:rPr>
        <w:t xml:space="preserve">if we have no understanding of </w:t>
      </w:r>
      <w:r w:rsidR="00AE3E10">
        <w:rPr>
          <w:rFonts w:ascii="Verdana" w:hAnsi="Verdana" w:cs="Times New Roman"/>
          <w:sz w:val="20"/>
          <w:szCs w:val="20"/>
        </w:rPr>
        <w:t>the</w:t>
      </w:r>
      <w:r w:rsidR="00A966D7">
        <w:rPr>
          <w:rFonts w:ascii="Verdana" w:hAnsi="Verdana" w:cs="Times New Roman"/>
          <w:sz w:val="20"/>
          <w:szCs w:val="20"/>
        </w:rPr>
        <w:t>ir</w:t>
      </w:r>
      <w:r w:rsidR="00AE3E10">
        <w:rPr>
          <w:rFonts w:ascii="Verdana" w:hAnsi="Verdana" w:cs="Times New Roman"/>
          <w:sz w:val="20"/>
          <w:szCs w:val="20"/>
        </w:rPr>
        <w:t xml:space="preserve"> purpose</w:t>
      </w:r>
      <w:r w:rsidRPr="00FB5C1D">
        <w:rPr>
          <w:rFonts w:ascii="Verdana" w:hAnsi="Verdana" w:cs="Times New Roman"/>
          <w:sz w:val="20"/>
          <w:szCs w:val="20"/>
        </w:rPr>
        <w:t xml:space="preserve">. The motivation for choosing a CMM to assess big data approaches can best be summarized by a quote of </w:t>
      </w:r>
      <w:r w:rsidR="00D00FE6">
        <w:rPr>
          <w:rFonts w:ascii="Verdana" w:hAnsi="Verdana" w:cs="Times New Roman"/>
          <w:sz w:val="20"/>
          <w:szCs w:val="20"/>
        </w:rPr>
        <w:t>O’Regan</w:t>
      </w:r>
      <w:r w:rsidRPr="00FB5C1D">
        <w:rPr>
          <w:rFonts w:ascii="Verdana" w:hAnsi="Verdana" w:cs="Times New Roman"/>
          <w:sz w:val="20"/>
          <w:szCs w:val="20"/>
        </w:rPr>
        <w:t xml:space="preserve"> (2011, pp.45): “</w:t>
      </w:r>
      <w:r w:rsidRPr="00FB5C1D">
        <w:rPr>
          <w:rFonts w:ascii="Verdana" w:hAnsi="Verdana" w:cs="Times New Roman"/>
          <w:i/>
          <w:sz w:val="20"/>
          <w:szCs w:val="20"/>
        </w:rPr>
        <w:t>It (…) provides a roadmap for an organization to get from where it is today to a higher level of maturity</w:t>
      </w:r>
      <w:r w:rsidRPr="00FB5C1D">
        <w:rPr>
          <w:rFonts w:ascii="Verdana" w:hAnsi="Verdana" w:cs="Times New Roman"/>
          <w:sz w:val="20"/>
          <w:szCs w:val="20"/>
        </w:rPr>
        <w:t>”</w:t>
      </w: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In the light of these insights, we have built our research around the following central research question:</w:t>
      </w:r>
    </w:p>
    <w:p w:rsidR="000E223B" w:rsidRPr="00FB5C1D" w:rsidRDefault="000E223B" w:rsidP="000E223B">
      <w:pPr>
        <w:pStyle w:val="ListParagraph"/>
        <w:spacing w:line="360" w:lineRule="auto"/>
        <w:ind w:left="0"/>
        <w:jc w:val="both"/>
        <w:rPr>
          <w:rFonts w:ascii="Verdana" w:hAnsi="Verdana" w:cs="Times New Roman"/>
          <w:i/>
          <w:sz w:val="20"/>
          <w:szCs w:val="20"/>
        </w:rPr>
      </w:pPr>
      <w:r w:rsidRPr="00FB5C1D">
        <w:rPr>
          <w:rFonts w:ascii="Verdana" w:hAnsi="Verdana" w:cs="Times New Roman"/>
          <w:i/>
          <w:sz w:val="20"/>
          <w:szCs w:val="20"/>
        </w:rPr>
        <w:t xml:space="preserve">What are the key process areas, common features, key practices and goals for each of the 5 levels of a capability maturity model regarding Big Data Governance practices in the Belgian Financial Sector?  </w:t>
      </w:r>
    </w:p>
    <w:p w:rsidR="000E223B" w:rsidRPr="000E223B" w:rsidRDefault="000E223B" w:rsidP="000E223B">
      <w:pPr>
        <w:pStyle w:val="Heading1"/>
        <w:spacing w:line="360" w:lineRule="auto"/>
        <w:jc w:val="both"/>
        <w:rPr>
          <w:rFonts w:ascii="Verdana" w:hAnsi="Verdana" w:cs="Times New Roman"/>
          <w:sz w:val="20"/>
          <w:szCs w:val="20"/>
          <w:lang w:val="en-US"/>
        </w:rPr>
      </w:pPr>
      <w:bookmarkStart w:id="7" w:name="_Toc423597484"/>
      <w:r w:rsidRPr="000E223B">
        <w:rPr>
          <w:rFonts w:ascii="Verdana" w:hAnsi="Verdana" w:cs="Times New Roman"/>
          <w:sz w:val="20"/>
          <w:szCs w:val="20"/>
          <w:lang w:val="en-US"/>
        </w:rPr>
        <w:t>1.3 Research process</w:t>
      </w:r>
      <w:bookmarkEnd w:id="7"/>
    </w:p>
    <w:p w:rsidR="000E223B" w:rsidRPr="00FB5C1D" w:rsidRDefault="000E223B" w:rsidP="000E223B">
      <w:pPr>
        <w:pStyle w:val="ListParagraph"/>
        <w:spacing w:line="360" w:lineRule="auto"/>
        <w:ind w:left="0"/>
        <w:jc w:val="both"/>
        <w:rPr>
          <w:rFonts w:ascii="Verdana" w:hAnsi="Verdana" w:cs="Times New Roman"/>
          <w:sz w:val="20"/>
          <w:szCs w:val="20"/>
          <w:lang w:val="en-GB"/>
        </w:rPr>
      </w:pPr>
      <w:r w:rsidRPr="00FB5C1D">
        <w:rPr>
          <w:rFonts w:ascii="Verdana" w:hAnsi="Verdana" w:cs="Times New Roman"/>
          <w:sz w:val="20"/>
          <w:szCs w:val="20"/>
          <w:lang w:val="en-GB"/>
        </w:rPr>
        <w:t>In order to successfully answer this question, the central research question has been devised in the following research objectives:</w:t>
      </w:r>
    </w:p>
    <w:p w:rsidR="000E223B" w:rsidRPr="00FB5C1D" w:rsidRDefault="000E223B" w:rsidP="000E223B">
      <w:pPr>
        <w:pStyle w:val="ListParagraph"/>
        <w:numPr>
          <w:ilvl w:val="0"/>
          <w:numId w:val="4"/>
        </w:numPr>
        <w:spacing w:line="360" w:lineRule="auto"/>
        <w:ind w:left="0" w:firstLine="567"/>
        <w:jc w:val="both"/>
        <w:rPr>
          <w:rFonts w:ascii="Verdana" w:hAnsi="Verdana" w:cs="Times New Roman"/>
          <w:sz w:val="20"/>
          <w:szCs w:val="20"/>
          <w:lang w:val="en-GB"/>
        </w:rPr>
      </w:pPr>
      <w:r w:rsidRPr="00FB5C1D">
        <w:rPr>
          <w:rFonts w:ascii="Verdana" w:hAnsi="Verdana" w:cs="Times New Roman"/>
          <w:sz w:val="20"/>
          <w:szCs w:val="20"/>
          <w:lang w:val="en-GB"/>
        </w:rPr>
        <w:t>Conduct a literature review to clarify the definitions and theories behind the following concepts :</w:t>
      </w:r>
    </w:p>
    <w:p w:rsidR="000E223B" w:rsidRPr="00FB5C1D" w:rsidRDefault="000E223B" w:rsidP="000E223B">
      <w:pPr>
        <w:pStyle w:val="ListParagraph"/>
        <w:numPr>
          <w:ilvl w:val="0"/>
          <w:numId w:val="4"/>
        </w:numPr>
        <w:spacing w:line="360" w:lineRule="auto"/>
        <w:ind w:left="0" w:firstLine="567"/>
        <w:jc w:val="both"/>
        <w:rPr>
          <w:rFonts w:ascii="Verdana" w:hAnsi="Verdana" w:cs="Times New Roman"/>
          <w:sz w:val="20"/>
          <w:szCs w:val="20"/>
          <w:lang w:val="en-GB"/>
        </w:rPr>
      </w:pPr>
      <w:r w:rsidRPr="00FB5C1D">
        <w:rPr>
          <w:rFonts w:ascii="Verdana" w:hAnsi="Verdana" w:cs="Times New Roman"/>
          <w:sz w:val="20"/>
          <w:szCs w:val="20"/>
          <w:lang w:val="en-GB"/>
        </w:rPr>
        <w:t xml:space="preserve">Identify main elements of a capability maturity model and explain their structure: </w:t>
      </w:r>
    </w:p>
    <w:p w:rsidR="000E223B" w:rsidRPr="00FB5C1D" w:rsidRDefault="000E223B" w:rsidP="000E223B">
      <w:pPr>
        <w:pStyle w:val="ListParagraph"/>
        <w:numPr>
          <w:ilvl w:val="0"/>
          <w:numId w:val="4"/>
        </w:numPr>
        <w:spacing w:line="360" w:lineRule="auto"/>
        <w:ind w:left="0" w:firstLine="567"/>
        <w:jc w:val="both"/>
        <w:rPr>
          <w:rFonts w:ascii="Verdana" w:hAnsi="Verdana" w:cs="Times New Roman"/>
          <w:sz w:val="20"/>
          <w:szCs w:val="20"/>
          <w:lang w:val="en-GB"/>
        </w:rPr>
      </w:pPr>
      <w:r w:rsidRPr="00FB5C1D">
        <w:rPr>
          <w:rFonts w:ascii="Verdana" w:hAnsi="Verdana" w:cs="Times New Roman"/>
          <w:sz w:val="20"/>
          <w:szCs w:val="20"/>
          <w:lang w:val="en-GB"/>
        </w:rPr>
        <w:t>Identify the process areas of existing data governance models by conducting a literature review of existing big data and data governance models.</w:t>
      </w:r>
    </w:p>
    <w:p w:rsidR="000E223B" w:rsidRDefault="000E223B" w:rsidP="000E223B">
      <w:pPr>
        <w:pStyle w:val="ListParagraph"/>
        <w:numPr>
          <w:ilvl w:val="0"/>
          <w:numId w:val="4"/>
        </w:numPr>
        <w:spacing w:line="360" w:lineRule="auto"/>
        <w:ind w:left="0" w:firstLine="567"/>
        <w:jc w:val="both"/>
        <w:rPr>
          <w:rFonts w:ascii="Verdana" w:hAnsi="Verdana" w:cs="Times New Roman"/>
          <w:sz w:val="20"/>
          <w:szCs w:val="20"/>
          <w:lang w:val="en-GB"/>
        </w:rPr>
      </w:pPr>
      <w:r w:rsidRPr="00FB5C1D">
        <w:rPr>
          <w:rFonts w:ascii="Verdana" w:hAnsi="Verdana" w:cs="Times New Roman"/>
          <w:sz w:val="20"/>
          <w:szCs w:val="20"/>
          <w:lang w:val="en-GB"/>
        </w:rPr>
        <w:t>Identify the most common big data dimensions.</w:t>
      </w:r>
    </w:p>
    <w:p w:rsidR="000E223B" w:rsidRPr="00FB5C1D" w:rsidRDefault="000E223B" w:rsidP="000E223B">
      <w:pPr>
        <w:pStyle w:val="ListParagraph"/>
        <w:numPr>
          <w:ilvl w:val="0"/>
          <w:numId w:val="4"/>
        </w:numPr>
        <w:spacing w:line="360" w:lineRule="auto"/>
        <w:ind w:left="0" w:firstLine="567"/>
        <w:jc w:val="both"/>
        <w:rPr>
          <w:rFonts w:ascii="Verdana" w:hAnsi="Verdana" w:cs="Times New Roman"/>
          <w:sz w:val="20"/>
          <w:szCs w:val="20"/>
          <w:lang w:val="en-GB"/>
        </w:rPr>
      </w:pPr>
      <w:r>
        <w:rPr>
          <w:rFonts w:ascii="Verdana" w:hAnsi="Verdana" w:cs="Times New Roman"/>
          <w:sz w:val="20"/>
          <w:szCs w:val="20"/>
          <w:lang w:val="en-GB"/>
        </w:rPr>
        <w:lastRenderedPageBreak/>
        <w:t xml:space="preserve">Describe and characterize the specific characteristic of the financial sector in terms of financial data records and data collection practices. </w:t>
      </w:r>
    </w:p>
    <w:p w:rsidR="000E223B" w:rsidRDefault="000E223B" w:rsidP="000E223B">
      <w:pPr>
        <w:pStyle w:val="ListParagraph"/>
        <w:numPr>
          <w:ilvl w:val="0"/>
          <w:numId w:val="4"/>
        </w:numPr>
        <w:spacing w:line="360" w:lineRule="auto"/>
        <w:ind w:left="0" w:firstLine="567"/>
        <w:jc w:val="both"/>
        <w:rPr>
          <w:rFonts w:ascii="Verdana" w:hAnsi="Verdana" w:cs="Times New Roman"/>
          <w:sz w:val="20"/>
          <w:szCs w:val="20"/>
          <w:lang w:val="en-GB"/>
        </w:rPr>
      </w:pPr>
      <w:r>
        <w:rPr>
          <w:rFonts w:ascii="Verdana" w:hAnsi="Verdana" w:cs="Times New Roman"/>
          <w:sz w:val="20"/>
          <w:szCs w:val="20"/>
          <w:lang w:val="en-GB"/>
        </w:rPr>
        <w:t>Analyse and identify the most important data governance process areas as mentioned in the Basel III framework for risk reporting</w:t>
      </w:r>
      <w:r w:rsidRPr="00FB5C1D">
        <w:rPr>
          <w:rFonts w:ascii="Verdana" w:hAnsi="Verdana" w:cs="Times New Roman"/>
          <w:sz w:val="20"/>
          <w:szCs w:val="20"/>
          <w:lang w:val="en-GB"/>
        </w:rPr>
        <w:t>.</w:t>
      </w:r>
    </w:p>
    <w:p w:rsidR="000E223B" w:rsidRPr="00FB5C1D" w:rsidRDefault="000E223B" w:rsidP="000E223B">
      <w:pPr>
        <w:pStyle w:val="ListParagraph"/>
        <w:numPr>
          <w:ilvl w:val="0"/>
          <w:numId w:val="4"/>
        </w:numPr>
        <w:spacing w:line="360" w:lineRule="auto"/>
        <w:ind w:left="0" w:firstLine="567"/>
        <w:jc w:val="both"/>
        <w:rPr>
          <w:rFonts w:ascii="Verdana" w:hAnsi="Verdana" w:cs="Times New Roman"/>
          <w:sz w:val="20"/>
          <w:szCs w:val="20"/>
          <w:lang w:val="en-GB"/>
        </w:rPr>
      </w:pPr>
      <w:r>
        <w:rPr>
          <w:rFonts w:ascii="Verdana" w:hAnsi="Verdana" w:cs="Times New Roman"/>
          <w:sz w:val="20"/>
          <w:szCs w:val="20"/>
          <w:lang w:val="en-GB"/>
        </w:rPr>
        <w:t>Map the model identified at point 3 with the model identified at point 5 and evaluate their fit.</w:t>
      </w:r>
    </w:p>
    <w:p w:rsidR="000E223B" w:rsidRPr="00FB5C1D" w:rsidRDefault="000E223B" w:rsidP="000E223B">
      <w:pPr>
        <w:pStyle w:val="ListParagraph"/>
        <w:numPr>
          <w:ilvl w:val="0"/>
          <w:numId w:val="4"/>
        </w:numPr>
        <w:spacing w:line="360" w:lineRule="auto"/>
        <w:ind w:left="0" w:firstLine="567"/>
        <w:jc w:val="both"/>
        <w:rPr>
          <w:rFonts w:ascii="Verdana" w:hAnsi="Verdana" w:cs="Times New Roman"/>
          <w:sz w:val="20"/>
          <w:szCs w:val="20"/>
          <w:lang w:val="en-GB"/>
        </w:rPr>
      </w:pPr>
      <w:r>
        <w:rPr>
          <w:rFonts w:ascii="Verdana" w:hAnsi="Verdana" w:cs="Times New Roman"/>
          <w:sz w:val="20"/>
          <w:szCs w:val="20"/>
          <w:lang w:val="en-GB"/>
        </w:rPr>
        <w:t xml:space="preserve">Test the model at point 7 </w:t>
      </w:r>
      <w:r w:rsidRPr="00FB5C1D">
        <w:rPr>
          <w:rFonts w:ascii="Verdana" w:hAnsi="Verdana" w:cs="Times New Roman"/>
          <w:sz w:val="20"/>
          <w:szCs w:val="20"/>
          <w:lang w:val="en-GB"/>
        </w:rPr>
        <w:t>by evaluating it in the banking sector via qualitative interviews with subject matter experts and</w:t>
      </w:r>
      <w:r>
        <w:rPr>
          <w:rFonts w:ascii="Verdana" w:hAnsi="Verdana" w:cs="Times New Roman"/>
          <w:sz w:val="20"/>
          <w:szCs w:val="20"/>
          <w:lang w:val="en-GB"/>
        </w:rPr>
        <w:t>/or</w:t>
      </w:r>
      <w:r w:rsidRPr="00FB5C1D">
        <w:rPr>
          <w:rFonts w:ascii="Verdana" w:hAnsi="Verdana" w:cs="Times New Roman"/>
          <w:sz w:val="20"/>
          <w:szCs w:val="20"/>
          <w:lang w:val="en-GB"/>
        </w:rPr>
        <w:t xml:space="preserve"> key banking representatives.</w:t>
      </w:r>
    </w:p>
    <w:p w:rsidR="000E223B" w:rsidRPr="00FB5C1D" w:rsidRDefault="000E223B" w:rsidP="000E223B">
      <w:pPr>
        <w:pStyle w:val="ListParagraph"/>
        <w:numPr>
          <w:ilvl w:val="0"/>
          <w:numId w:val="4"/>
        </w:numPr>
        <w:spacing w:line="360" w:lineRule="auto"/>
        <w:ind w:left="0" w:firstLine="567"/>
        <w:jc w:val="both"/>
        <w:rPr>
          <w:rFonts w:ascii="Verdana" w:hAnsi="Verdana" w:cs="Times New Roman"/>
          <w:sz w:val="20"/>
          <w:szCs w:val="20"/>
          <w:lang w:val="en-GB"/>
        </w:rPr>
      </w:pPr>
      <w:r w:rsidRPr="00FB5C1D">
        <w:rPr>
          <w:rFonts w:ascii="Verdana" w:hAnsi="Verdana" w:cs="Times New Roman"/>
          <w:sz w:val="20"/>
          <w:szCs w:val="20"/>
          <w:lang w:val="en-GB"/>
        </w:rPr>
        <w:t xml:space="preserve">Draw final conclusion and recommendations. </w:t>
      </w:r>
    </w:p>
    <w:p w:rsidR="000E223B" w:rsidRPr="00FB5C1D" w:rsidRDefault="000E223B" w:rsidP="000E223B">
      <w:pPr>
        <w:spacing w:line="360" w:lineRule="auto"/>
        <w:jc w:val="both"/>
        <w:rPr>
          <w:rFonts w:ascii="Verdana" w:hAnsi="Verdana" w:cs="Times New Roman"/>
          <w:sz w:val="20"/>
          <w:szCs w:val="20"/>
          <w:lang w:val="en-GB"/>
        </w:rPr>
      </w:pPr>
      <w:r w:rsidRPr="00FB5C1D">
        <w:rPr>
          <w:rFonts w:ascii="Verdana" w:hAnsi="Verdana" w:cs="Times New Roman"/>
          <w:sz w:val="20"/>
          <w:szCs w:val="20"/>
          <w:lang w:val="en-GB"/>
        </w:rPr>
        <w:t>Chapter 2 introduces the reader to the definition of governance and IT governance as we conduct a literature review to identify the components and mechanisms of what constitutes an IT governance framework by looking at how omnipresent IT has become in an enterprise, what role environmental contingencies play in shaping decision-making structures and fields as well as the scope and functions of these elements. Further, we present a commonly used IT governance framework by outlining its structures, processes and relational mechanisms.</w:t>
      </w:r>
    </w:p>
    <w:p w:rsidR="000E223B" w:rsidRPr="00FB5C1D" w:rsidRDefault="000E223B" w:rsidP="000E223B">
      <w:pPr>
        <w:spacing w:line="360" w:lineRule="auto"/>
        <w:jc w:val="both"/>
        <w:rPr>
          <w:rFonts w:ascii="Verdana" w:hAnsi="Verdana" w:cs="Times New Roman"/>
          <w:sz w:val="20"/>
          <w:szCs w:val="20"/>
          <w:lang w:val="en-GB"/>
        </w:rPr>
      </w:pPr>
      <w:r w:rsidRPr="00FB5C1D">
        <w:rPr>
          <w:rFonts w:ascii="Verdana" w:hAnsi="Verdana" w:cs="Times New Roman"/>
          <w:sz w:val="20"/>
          <w:szCs w:val="20"/>
          <w:lang w:val="en-GB"/>
        </w:rPr>
        <w:t>Chapter 3 presents the concept of capability maturity models</w:t>
      </w:r>
      <w:r w:rsidR="00AE3E10">
        <w:rPr>
          <w:rFonts w:ascii="Verdana" w:hAnsi="Verdana" w:cs="Times New Roman"/>
          <w:sz w:val="20"/>
          <w:szCs w:val="20"/>
          <w:lang w:val="en-GB"/>
        </w:rPr>
        <w:t xml:space="preserve"> (CMM’s)</w:t>
      </w:r>
      <w:r w:rsidRPr="00FB5C1D">
        <w:rPr>
          <w:rFonts w:ascii="Verdana" w:hAnsi="Verdana" w:cs="Times New Roman"/>
          <w:sz w:val="20"/>
          <w:szCs w:val="20"/>
          <w:lang w:val="en-GB"/>
        </w:rPr>
        <w:t xml:space="preserve"> by analysing maturity, performance and capability as well as the origins of the first </w:t>
      </w:r>
      <w:r w:rsidR="00AE3E10">
        <w:rPr>
          <w:rFonts w:ascii="Verdana" w:hAnsi="Verdana" w:cs="Times New Roman"/>
          <w:sz w:val="20"/>
          <w:szCs w:val="20"/>
          <w:lang w:val="en-GB"/>
        </w:rPr>
        <w:t>CMM’s</w:t>
      </w:r>
      <w:r w:rsidRPr="00FB5C1D">
        <w:rPr>
          <w:rFonts w:ascii="Verdana" w:hAnsi="Verdana" w:cs="Times New Roman"/>
          <w:sz w:val="20"/>
          <w:szCs w:val="20"/>
          <w:lang w:val="en-GB"/>
        </w:rPr>
        <w:t>. We will look at how capability maturity models are structured and what are the different key process areas, levels of maturity, common goals and key practices defining their use.</w:t>
      </w:r>
    </w:p>
    <w:p w:rsidR="000E223B" w:rsidRPr="00FB5C1D" w:rsidRDefault="000E223B" w:rsidP="000E223B">
      <w:pPr>
        <w:spacing w:line="360" w:lineRule="auto"/>
        <w:jc w:val="both"/>
        <w:rPr>
          <w:rFonts w:ascii="Verdana" w:hAnsi="Verdana" w:cs="Times New Roman"/>
          <w:sz w:val="20"/>
          <w:szCs w:val="20"/>
          <w:lang w:val="en-GB"/>
        </w:rPr>
      </w:pPr>
      <w:r w:rsidRPr="00FB5C1D">
        <w:rPr>
          <w:rFonts w:ascii="Verdana" w:hAnsi="Verdana" w:cs="Times New Roman"/>
          <w:sz w:val="20"/>
          <w:szCs w:val="20"/>
          <w:lang w:val="en-GB"/>
        </w:rPr>
        <w:t>Chapter 4 advances the concepts and theories behind data governance by explaining the differences between data and information as well as between governance and management. Borrowed concepts from IT governance such as the contingency theory and classifications on structures, operations and relations will help in explaining the processes, responsibilities and decision-making rights which will constitute the building blocks of our data governance model.</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Chapter 5 defines and explains big data concepts and features by proposing a dimensions model, explaining the difference between traditional and big data as well as dealing with the plurality of data sources, technologies and architectures. It then looks at how big data projects are financially valuated, what are the sensible aspects associated  to it and the potential use cases which can be derived from using big data. </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Chapter 6 presents a view on the financial sector by focusing on practices related to data collection, aggregation and governance of financial records. During this chapter we are also acquainted with the specificities of big data governance programs. Further on, it brings together previous chapters by integrating and linking concepts and principles, </w:t>
      </w:r>
      <w:r w:rsidRPr="000E223B">
        <w:rPr>
          <w:rFonts w:ascii="Verdana" w:hAnsi="Verdana" w:cs="Times New Roman"/>
          <w:sz w:val="20"/>
          <w:szCs w:val="20"/>
          <w:lang w:val="en-US"/>
        </w:rPr>
        <w:lastRenderedPageBreak/>
        <w:t xml:space="preserve">data and big data governance together in one capability maturity model fit to map against the current Basel III framework for risk data reporting. The section will also present the initial results of our short empirical tests.  </w:t>
      </w:r>
    </w:p>
    <w:p w:rsidR="00820B38" w:rsidRDefault="000E223B" w:rsidP="000E223B">
      <w:pPr>
        <w:spacing w:line="360" w:lineRule="auto"/>
        <w:jc w:val="both"/>
        <w:rPr>
          <w:rFonts w:ascii="Verdana" w:hAnsi="Verdana" w:cs="Times New Roman"/>
          <w:sz w:val="20"/>
          <w:szCs w:val="20"/>
          <w:lang w:val="en-US"/>
        </w:rPr>
        <w:sectPr w:rsidR="00820B38" w:rsidSect="00820B38">
          <w:footerReference w:type="default" r:id="rId17"/>
          <w:pgSz w:w="11906" w:h="16838"/>
          <w:pgMar w:top="1440" w:right="1440" w:bottom="1440" w:left="1440" w:header="708" w:footer="708" w:gutter="0"/>
          <w:pgNumType w:start="1"/>
          <w:cols w:space="708"/>
          <w:docGrid w:linePitch="360"/>
        </w:sectPr>
      </w:pPr>
      <w:r w:rsidRPr="000E223B">
        <w:rPr>
          <w:rFonts w:ascii="Verdana" w:hAnsi="Verdana" w:cs="Times New Roman"/>
          <w:sz w:val="20"/>
          <w:szCs w:val="20"/>
          <w:lang w:val="en-US"/>
        </w:rPr>
        <w:t xml:space="preserve">The final chapter will present our </w:t>
      </w:r>
      <w:r w:rsidR="00820B38">
        <w:rPr>
          <w:rFonts w:ascii="Verdana" w:hAnsi="Verdana" w:cs="Times New Roman"/>
          <w:sz w:val="20"/>
          <w:szCs w:val="20"/>
          <w:lang w:val="en-US"/>
        </w:rPr>
        <w:t>conclusions and recommendations</w:t>
      </w:r>
      <w:r w:rsidR="001A0FAF">
        <w:rPr>
          <w:rFonts w:ascii="Verdana" w:hAnsi="Verdana" w:cs="Times New Roman"/>
          <w:sz w:val="20"/>
          <w:szCs w:val="20"/>
          <w:lang w:val="en-US"/>
        </w:rPr>
        <w:t>.</w:t>
      </w:r>
    </w:p>
    <w:p w:rsidR="000E223B" w:rsidRPr="00FB5C1D" w:rsidRDefault="000E223B" w:rsidP="000E223B">
      <w:pPr>
        <w:spacing w:line="360" w:lineRule="auto"/>
        <w:jc w:val="both"/>
        <w:rPr>
          <w:rFonts w:ascii="Verdana" w:hAnsi="Verdana" w:cs="Times New Roman"/>
          <w:sz w:val="20"/>
          <w:szCs w:val="20"/>
          <w:lang w:val="en-GB"/>
        </w:rPr>
      </w:pPr>
    </w:p>
    <w:p w:rsidR="000E223B" w:rsidRPr="000E223B" w:rsidRDefault="000E223B" w:rsidP="000E223B">
      <w:pPr>
        <w:pStyle w:val="Heading1"/>
        <w:rPr>
          <w:rStyle w:val="Strong"/>
          <w:rFonts w:ascii="Verdana" w:hAnsi="Verdana" w:cs="Times New Roman"/>
          <w:b/>
          <w:sz w:val="20"/>
          <w:szCs w:val="20"/>
          <w:lang w:val="en-US"/>
        </w:rPr>
      </w:pPr>
      <w:bookmarkStart w:id="8" w:name="_Toc423597485"/>
      <w:r w:rsidRPr="000E223B">
        <w:rPr>
          <w:rStyle w:val="Strong"/>
          <w:rFonts w:ascii="Verdana" w:hAnsi="Verdana" w:cs="Times New Roman"/>
          <w:b/>
          <w:sz w:val="20"/>
          <w:szCs w:val="20"/>
          <w:lang w:val="en-US"/>
        </w:rPr>
        <w:t>2. IT GOVERNANCE</w:t>
      </w:r>
      <w:bookmarkEnd w:id="8"/>
    </w:p>
    <w:p w:rsidR="000E223B" w:rsidRPr="000E223B" w:rsidRDefault="000E223B" w:rsidP="000E223B">
      <w:pPr>
        <w:pStyle w:val="Heading1"/>
        <w:spacing w:line="360" w:lineRule="auto"/>
        <w:jc w:val="both"/>
        <w:rPr>
          <w:rStyle w:val="Strong"/>
          <w:rFonts w:ascii="Verdana" w:hAnsi="Verdana" w:cs="Times New Roman"/>
          <w:b/>
          <w:bCs/>
          <w:sz w:val="20"/>
          <w:szCs w:val="20"/>
          <w:lang w:val="en-US"/>
        </w:rPr>
      </w:pPr>
      <w:bookmarkStart w:id="9" w:name="_Toc410216286"/>
      <w:bookmarkStart w:id="10" w:name="_Toc423597486"/>
      <w:r w:rsidRPr="000E223B">
        <w:rPr>
          <w:rStyle w:val="Strong"/>
          <w:rFonts w:ascii="Verdana" w:hAnsi="Verdana" w:cs="Times New Roman"/>
          <w:b/>
          <w:bCs/>
          <w:sz w:val="20"/>
          <w:szCs w:val="20"/>
          <w:lang w:val="en-US"/>
        </w:rPr>
        <w:t>2.1 About this chapter</w:t>
      </w:r>
      <w:bookmarkEnd w:id="9"/>
      <w:bookmarkEnd w:id="10"/>
    </w:p>
    <w:p w:rsidR="000E223B" w:rsidRPr="000E223B" w:rsidRDefault="000E223B" w:rsidP="000E223B">
      <w:pPr>
        <w:spacing w:line="360" w:lineRule="auto"/>
        <w:jc w:val="both"/>
        <w:rPr>
          <w:rFonts w:ascii="Verdana" w:hAnsi="Verdana" w:cs="Times New Roman"/>
          <w:i/>
          <w:sz w:val="20"/>
          <w:szCs w:val="20"/>
          <w:lang w:val="en-US"/>
        </w:rPr>
      </w:pPr>
      <w:r w:rsidRPr="000E223B">
        <w:rPr>
          <w:rFonts w:ascii="Verdana" w:hAnsi="Verdana" w:cs="Times New Roman"/>
          <w:i/>
          <w:sz w:val="20"/>
          <w:szCs w:val="20"/>
          <w:lang w:val="en-US"/>
        </w:rPr>
        <w:t xml:space="preserve">As corporate governance begins to rely more and more on IT capabilities and resources to ensure business continuity, the necessity to understand how governance related concepts apply to IT domains in terms of policies, principles, strategies and guideline has risen. The subject of IT governance has been extensively researched in scientific literature with structures, processes and relational mechanisms identified, documented and categorized however without a homogeneous definition yet to encompass the major concepts behind such a framework. Reaching a common definition, along with the identified structures and topologies will help pinpoint the concepts and structures which help in describing, characterizing, designing and building an IT governance framework capable of ensuring a fusion between business and IT. Such a model should remain firmly grounded in a broader corporate governance context and build upon developing its elements with respect to the common objectives and goals as defined at organization-level. The following chapter will focus on defining and positioning IT in the enterprise as well as identifying and describing its specificities and characteristics, as a governance component and as a function. The last part will present the elements of the most common IT governance framework identified in our literature studies and explain its components and elements. </w:t>
      </w:r>
    </w:p>
    <w:p w:rsidR="000E223B" w:rsidRPr="000E223B" w:rsidRDefault="000E223B" w:rsidP="000E223B">
      <w:pPr>
        <w:pStyle w:val="Heading1"/>
        <w:spacing w:line="360" w:lineRule="auto"/>
        <w:jc w:val="both"/>
        <w:rPr>
          <w:rFonts w:ascii="Verdana" w:hAnsi="Verdana" w:cs="Times New Roman"/>
          <w:sz w:val="20"/>
          <w:szCs w:val="20"/>
          <w:lang w:val="en-US"/>
        </w:rPr>
      </w:pPr>
      <w:bookmarkStart w:id="11" w:name="_Toc410216287"/>
      <w:bookmarkStart w:id="12" w:name="_Toc423597487"/>
      <w:r w:rsidRPr="000E223B">
        <w:rPr>
          <w:rFonts w:ascii="Verdana" w:hAnsi="Verdana" w:cs="Times New Roman"/>
          <w:sz w:val="20"/>
          <w:szCs w:val="20"/>
          <w:lang w:val="en-US"/>
        </w:rPr>
        <w:t>2.2 Governance and IT governance</w:t>
      </w:r>
      <w:bookmarkEnd w:id="11"/>
      <w:bookmarkEnd w:id="12"/>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This section defines the concepts of governance and IT governance. </w:t>
      </w:r>
    </w:p>
    <w:p w:rsidR="000E223B" w:rsidRPr="00FB5C1D" w:rsidRDefault="000E223B" w:rsidP="000E223B">
      <w:pPr>
        <w:pStyle w:val="Heading2"/>
        <w:spacing w:line="360" w:lineRule="auto"/>
        <w:jc w:val="both"/>
        <w:rPr>
          <w:rFonts w:ascii="Verdana" w:hAnsi="Verdana" w:cs="Times New Roman"/>
          <w:sz w:val="20"/>
          <w:szCs w:val="20"/>
        </w:rPr>
      </w:pPr>
      <w:bookmarkStart w:id="13" w:name="_Toc410216288"/>
      <w:bookmarkStart w:id="14" w:name="_Toc423597488"/>
      <w:r w:rsidRPr="00FB5C1D">
        <w:rPr>
          <w:rFonts w:ascii="Verdana" w:hAnsi="Verdana" w:cs="Times New Roman"/>
          <w:sz w:val="20"/>
          <w:szCs w:val="20"/>
        </w:rPr>
        <w:t>2.2.1 Governance definition</w:t>
      </w:r>
      <w:bookmarkEnd w:id="13"/>
      <w:bookmarkEnd w:id="14"/>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Governance as a concept is conceptualized by using the agency theory (De Abreu Faria, Macada &amp; Kumar, 2013) which is widely used in organizational studies to explain the relationship between a principal and an agent with regards to matters of control, risk, monitoring, rules, alignment and structure. Weber, Otto and Osterle (2009) </w:t>
      </w:r>
      <w:r w:rsidRPr="00FB5C1D">
        <w:rPr>
          <w:rFonts w:ascii="Verdana" w:hAnsi="Verdana" w:cs="Times New Roman"/>
          <w:sz w:val="20"/>
          <w:szCs w:val="20"/>
          <w:u w:val="single"/>
        </w:rPr>
        <w:t>define governance</w:t>
      </w:r>
      <w:r w:rsidRPr="00FB5C1D">
        <w:rPr>
          <w:rFonts w:ascii="Verdana" w:hAnsi="Verdana" w:cs="Times New Roman"/>
          <w:sz w:val="20"/>
          <w:szCs w:val="20"/>
        </w:rPr>
        <w:t xml:space="preserve"> as (pp. 4:3) “</w:t>
      </w:r>
      <w:r w:rsidRPr="00FB5C1D">
        <w:rPr>
          <w:rFonts w:ascii="Verdana" w:hAnsi="Verdana" w:cs="Times New Roman"/>
          <w:i/>
          <w:sz w:val="20"/>
          <w:szCs w:val="20"/>
        </w:rPr>
        <w:t>the way the organization goes about ensuring that strategies are set, monitored and achieved</w:t>
      </w:r>
      <w:r w:rsidRPr="00FB5C1D">
        <w:rPr>
          <w:rFonts w:ascii="Verdana" w:hAnsi="Verdana" w:cs="Times New Roman"/>
          <w:sz w:val="20"/>
          <w:szCs w:val="20"/>
        </w:rPr>
        <w:t>”. Datskovsky (2010, pp.158) defines governance as  “</w:t>
      </w:r>
      <w:r w:rsidRPr="00FB5C1D">
        <w:rPr>
          <w:rFonts w:ascii="Verdana" w:hAnsi="Verdana" w:cs="Times New Roman"/>
          <w:i/>
          <w:sz w:val="20"/>
          <w:szCs w:val="20"/>
        </w:rPr>
        <w:t>the set of processes, customs, policies, controls, regulations, and institutions that affect the way a corporation is directed, administered, or controlled”</w:t>
      </w:r>
      <w:r w:rsidRPr="00FB5C1D">
        <w:rPr>
          <w:rFonts w:ascii="Verdana" w:hAnsi="Verdana" w:cs="Times New Roman"/>
          <w:sz w:val="20"/>
          <w:szCs w:val="20"/>
        </w:rPr>
        <w:t xml:space="preserve">. He emphasizes that, in an enterprise, different sources offer recommendations for policies and principles corresponding to different departments and parts of the organization: the company has </w:t>
      </w:r>
      <w:r w:rsidRPr="00FB5C1D">
        <w:rPr>
          <w:rFonts w:ascii="Verdana" w:hAnsi="Verdana" w:cs="Times New Roman"/>
          <w:sz w:val="20"/>
          <w:szCs w:val="20"/>
        </w:rPr>
        <w:lastRenderedPageBreak/>
        <w:t>to translate these  into an overall strategy and concrete guidelines for each organizational domain.</w:t>
      </w:r>
    </w:p>
    <w:p w:rsidR="000E223B" w:rsidRPr="00FB5C1D" w:rsidRDefault="000E223B" w:rsidP="000E223B">
      <w:pPr>
        <w:pStyle w:val="ListParagraph"/>
        <w:spacing w:line="360" w:lineRule="auto"/>
        <w:ind w:left="0"/>
        <w:jc w:val="both"/>
        <w:rPr>
          <w:rFonts w:ascii="Verdana" w:hAnsi="Verdana" w:cs="Times New Roman"/>
          <w:sz w:val="20"/>
          <w:szCs w:val="20"/>
        </w:rPr>
      </w:pPr>
    </w:p>
    <w:p w:rsidR="000E223B" w:rsidRPr="00FB5C1D" w:rsidRDefault="000E223B" w:rsidP="000E223B">
      <w:pPr>
        <w:pStyle w:val="Heading2"/>
        <w:spacing w:line="360" w:lineRule="auto"/>
        <w:jc w:val="both"/>
        <w:rPr>
          <w:rFonts w:ascii="Verdana" w:hAnsi="Verdana" w:cs="Times New Roman"/>
          <w:sz w:val="20"/>
          <w:szCs w:val="20"/>
        </w:rPr>
      </w:pPr>
      <w:bookmarkStart w:id="15" w:name="_Toc410216289"/>
      <w:bookmarkStart w:id="16" w:name="_Toc423597489"/>
      <w:r w:rsidRPr="00FB5C1D">
        <w:rPr>
          <w:rFonts w:ascii="Verdana" w:hAnsi="Verdana" w:cs="Times New Roman"/>
          <w:sz w:val="20"/>
          <w:szCs w:val="20"/>
        </w:rPr>
        <w:t>2.2.2 IT governance definition</w:t>
      </w:r>
      <w:bookmarkEnd w:id="15"/>
      <w:bookmarkEnd w:id="16"/>
      <w:r w:rsidRPr="00FB5C1D">
        <w:rPr>
          <w:rFonts w:ascii="Verdana" w:hAnsi="Verdana" w:cs="Times New Roman"/>
          <w:sz w:val="20"/>
          <w:szCs w:val="20"/>
        </w:rPr>
        <w:t xml:space="preserve"> </w:t>
      </w: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According to Ploder and Fink (2008), issues of corporate governance have become more and more aligned to the IT needs and this has given rise to a new research field, namely </w:t>
      </w:r>
      <w:r w:rsidRPr="00FB5C1D">
        <w:rPr>
          <w:rFonts w:ascii="Verdana" w:hAnsi="Verdana" w:cs="Times New Roman"/>
          <w:i/>
          <w:sz w:val="20"/>
          <w:szCs w:val="20"/>
        </w:rPr>
        <w:t>IT governance</w:t>
      </w:r>
      <w:r w:rsidRPr="00FB5C1D">
        <w:rPr>
          <w:rFonts w:ascii="Verdana" w:hAnsi="Verdana" w:cs="Times New Roman"/>
          <w:sz w:val="20"/>
          <w:szCs w:val="20"/>
        </w:rPr>
        <w:t>. A lot of authors have focused on trying to provide a common definiti</w:t>
      </w:r>
      <w:r>
        <w:rPr>
          <w:rFonts w:ascii="Verdana" w:hAnsi="Verdana" w:cs="Times New Roman"/>
          <w:sz w:val="20"/>
          <w:szCs w:val="20"/>
        </w:rPr>
        <w:t xml:space="preserve">on for IT governance          </w:t>
      </w:r>
      <w:r w:rsidRPr="00FB5C1D">
        <w:rPr>
          <w:rFonts w:ascii="Verdana" w:hAnsi="Verdana" w:cs="Times New Roman"/>
          <w:sz w:val="20"/>
          <w:szCs w:val="20"/>
        </w:rPr>
        <w:t xml:space="preserve">(Lewis &amp; Millar, 2009; Simonsson &amp; Ekstedt, 2006; Webb, Pollard &amp; Ridley, 2006) and while no homogenous definition exists, most research has been targeted to analyzing and compiling existing definitions in literature and deriving potential components of an IT governance framework. </w:t>
      </w: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Peterson is mentioned by Lewis and Millar (2009) as </w:t>
      </w:r>
      <w:r w:rsidRPr="00FB5C1D">
        <w:rPr>
          <w:rFonts w:ascii="Verdana" w:hAnsi="Verdana" w:cs="Times New Roman"/>
          <w:sz w:val="20"/>
          <w:szCs w:val="20"/>
          <w:u w:val="single"/>
        </w:rPr>
        <w:t>defining IT governance</w:t>
      </w:r>
      <w:r w:rsidRPr="00FB5C1D">
        <w:rPr>
          <w:rFonts w:ascii="Verdana" w:hAnsi="Verdana" w:cs="Times New Roman"/>
          <w:sz w:val="20"/>
          <w:szCs w:val="20"/>
        </w:rPr>
        <w:t xml:space="preserve"> in terms of decision rights and accountabilities regarding the desirable behavior in the use of IT. Another common definition mentioned in literature is the one mentioned by the Information Technology Governance Institute (ITGI)(Lewis &amp; Millar, 2009, pp.2; </w:t>
      </w:r>
      <w:r w:rsidR="003D5F4B" w:rsidRPr="003D5F4B">
        <w:rPr>
          <w:rFonts w:ascii="Verdana" w:hAnsi="Verdana" w:cs="Times New Roman"/>
          <w:sz w:val="20"/>
          <w:szCs w:val="20"/>
        </w:rPr>
        <w:t>Nassiri, Ghayekhloo &amp; Shabgahi</w:t>
      </w:r>
      <w:r w:rsidRPr="00FB5C1D">
        <w:rPr>
          <w:rFonts w:ascii="Verdana" w:hAnsi="Verdana" w:cs="Times New Roman"/>
          <w:sz w:val="20"/>
          <w:szCs w:val="20"/>
        </w:rPr>
        <w:t>, 2009; Ploder, 2008): “</w:t>
      </w:r>
      <w:r w:rsidRPr="00FB5C1D">
        <w:rPr>
          <w:rFonts w:ascii="Verdana" w:hAnsi="Verdana" w:cs="Times New Roman"/>
          <w:i/>
          <w:sz w:val="20"/>
          <w:szCs w:val="20"/>
        </w:rPr>
        <w:t>a structure of relationships and processes to direct and control the enterprise in order to achieve the enterprise’s goals by adding value while balancing risk versus return over IT and it’s processes</w:t>
      </w:r>
      <w:r w:rsidRPr="00FB5C1D">
        <w:rPr>
          <w:rFonts w:ascii="Verdana" w:hAnsi="Verdana" w:cs="Times New Roman"/>
          <w:sz w:val="20"/>
          <w:szCs w:val="20"/>
        </w:rPr>
        <w:t xml:space="preserve">”. </w:t>
      </w: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Simonsson and Ekstedt (2006, pp.20) propose a definition based on a compilation of approximately 60 scientific articles about IT governance, i.e.: “</w:t>
      </w:r>
      <w:r w:rsidRPr="00FB5C1D">
        <w:rPr>
          <w:rFonts w:ascii="Verdana" w:hAnsi="Verdana" w:cs="Times New Roman"/>
          <w:i/>
          <w:sz w:val="20"/>
          <w:szCs w:val="20"/>
        </w:rPr>
        <w:t>decision-making upon certain assets, i.e. the hardware and software used, the processes employed, the personnel, and the strategic IT goals of the enterprise</w:t>
      </w:r>
      <w:r w:rsidRPr="00FB5C1D">
        <w:rPr>
          <w:rFonts w:ascii="Verdana" w:hAnsi="Verdana" w:cs="Times New Roman"/>
          <w:sz w:val="20"/>
          <w:szCs w:val="20"/>
        </w:rPr>
        <w:t xml:space="preserve">”. Webb et al. (2006) apply a content analysis approach to 12 common definitions (aggregated via a literature review) based on the number of occurrences of a number of elements identified as defining IT governance. The proposed definition is (pp.6): “[…] </w:t>
      </w:r>
      <w:r w:rsidRPr="00FB5C1D">
        <w:rPr>
          <w:rFonts w:ascii="Verdana" w:hAnsi="Verdana" w:cs="Times New Roman"/>
          <w:i/>
          <w:sz w:val="20"/>
          <w:szCs w:val="20"/>
        </w:rPr>
        <w:t>the strategic alignment of IT with the business such that maximum business value is achieved through the development and maintenance of effective IT control and accountability, performance management and risk management</w:t>
      </w:r>
      <w:r w:rsidRPr="00FB5C1D">
        <w:rPr>
          <w:rFonts w:ascii="Verdana" w:hAnsi="Verdana" w:cs="Times New Roman"/>
          <w:sz w:val="20"/>
          <w:szCs w:val="20"/>
        </w:rPr>
        <w:t xml:space="preserve">”. Another common definition is </w:t>
      </w:r>
      <w:r w:rsidR="00415B66">
        <w:rPr>
          <w:rFonts w:ascii="Verdana" w:hAnsi="Verdana" w:cs="Times New Roman"/>
          <w:sz w:val="20"/>
          <w:szCs w:val="20"/>
        </w:rPr>
        <w:t xml:space="preserve">the one given by Van Grembergen, De Haes and Guldentops </w:t>
      </w:r>
      <w:r w:rsidRPr="00FB5C1D">
        <w:rPr>
          <w:rFonts w:ascii="Verdana" w:hAnsi="Verdana" w:cs="Times New Roman"/>
          <w:sz w:val="20"/>
          <w:szCs w:val="20"/>
        </w:rPr>
        <w:t>(2004) as IT governance being the “</w:t>
      </w:r>
      <w:r w:rsidRPr="00FB5C1D">
        <w:rPr>
          <w:rFonts w:ascii="Verdana" w:hAnsi="Verdana" w:cs="Times New Roman"/>
          <w:i/>
          <w:sz w:val="20"/>
          <w:szCs w:val="20"/>
        </w:rPr>
        <w:t>organizational capacity exercised by the Board, executive management and IT management to control the formulation and implementation of IT strategy and in this way, ensure the fusion of business and IT</w:t>
      </w:r>
      <w:r w:rsidRPr="00FB5C1D">
        <w:rPr>
          <w:rFonts w:ascii="Verdana" w:hAnsi="Verdana" w:cs="Times New Roman"/>
          <w:sz w:val="20"/>
          <w:szCs w:val="20"/>
        </w:rPr>
        <w:t xml:space="preserve">”. </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As most definitions mention control structures, decision-making and strategic alignment of IT with the corporate objectives in contexts such as performance and risk management, it is important to further investigate how these constructs interact and shape up to building IT governance domains. </w:t>
      </w:r>
    </w:p>
    <w:p w:rsidR="000E223B" w:rsidRPr="000E223B" w:rsidRDefault="000E223B" w:rsidP="000E223B">
      <w:pPr>
        <w:pStyle w:val="Heading1"/>
        <w:spacing w:line="360" w:lineRule="auto"/>
        <w:jc w:val="both"/>
        <w:rPr>
          <w:rFonts w:ascii="Verdana" w:hAnsi="Verdana" w:cs="Times New Roman"/>
          <w:sz w:val="20"/>
          <w:szCs w:val="20"/>
          <w:lang w:val="en-US"/>
        </w:rPr>
      </w:pPr>
      <w:bookmarkStart w:id="17" w:name="_Toc410216290"/>
      <w:bookmarkStart w:id="18" w:name="_Toc423597490"/>
      <w:r w:rsidRPr="000E223B">
        <w:rPr>
          <w:rFonts w:ascii="Verdana" w:hAnsi="Verdana" w:cs="Times New Roman"/>
          <w:sz w:val="20"/>
          <w:szCs w:val="20"/>
          <w:lang w:val="en-US"/>
        </w:rPr>
        <w:lastRenderedPageBreak/>
        <w:t>2.3 Components and mechanisms</w:t>
      </w:r>
      <w:bookmarkEnd w:id="17"/>
      <w:bookmarkEnd w:id="18"/>
      <w:r w:rsidRPr="000E223B">
        <w:rPr>
          <w:rFonts w:ascii="Verdana" w:hAnsi="Verdana" w:cs="Times New Roman"/>
          <w:sz w:val="20"/>
          <w:szCs w:val="20"/>
          <w:lang w:val="en-US"/>
        </w:rPr>
        <w:t xml:space="preserve"> </w:t>
      </w: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This section describes how IT is positioned in an enterprise by analyzing its environmental contingencies as well as the scope and functions of decision-making structures and fields governing IT.</w:t>
      </w:r>
    </w:p>
    <w:p w:rsidR="000E223B" w:rsidRPr="00FB5C1D" w:rsidRDefault="000E223B" w:rsidP="000E223B">
      <w:pPr>
        <w:pStyle w:val="Heading2"/>
        <w:spacing w:line="360" w:lineRule="auto"/>
        <w:jc w:val="both"/>
        <w:rPr>
          <w:rFonts w:ascii="Verdana" w:hAnsi="Verdana" w:cs="Times New Roman"/>
          <w:sz w:val="20"/>
          <w:szCs w:val="20"/>
        </w:rPr>
      </w:pPr>
      <w:bookmarkStart w:id="19" w:name="_Toc410216291"/>
      <w:bookmarkStart w:id="20" w:name="_Toc423597491"/>
      <w:r w:rsidRPr="00FB5C1D">
        <w:rPr>
          <w:rFonts w:ascii="Verdana" w:hAnsi="Verdana" w:cs="Times New Roman"/>
          <w:sz w:val="20"/>
          <w:szCs w:val="20"/>
        </w:rPr>
        <w:t>2.3.1 IT omnipresence in the enterprise</w:t>
      </w:r>
      <w:bookmarkEnd w:id="19"/>
      <w:bookmarkEnd w:id="20"/>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According to Ploder (2008), IT has moved from a support role to generating a competitive advantage and  creating a sustainable value for the organization. Peterson (2003) mentions the “</w:t>
      </w:r>
      <w:r w:rsidRPr="00FB5C1D">
        <w:rPr>
          <w:rFonts w:ascii="Verdana" w:hAnsi="Verdana" w:cs="Times New Roman"/>
          <w:i/>
          <w:sz w:val="20"/>
          <w:szCs w:val="20"/>
        </w:rPr>
        <w:t>pervasiveness</w:t>
      </w:r>
      <w:r w:rsidRPr="00FB5C1D">
        <w:rPr>
          <w:rFonts w:ascii="Verdana" w:hAnsi="Verdana" w:cs="Times New Roman"/>
          <w:sz w:val="20"/>
          <w:szCs w:val="20"/>
        </w:rPr>
        <w:t>” of IT nowadays: decisions regarding IT can no longer be delegated or avoided by business managers like they were in the past. Heier, Borgman and Mileos (2009) also mention increasing IT omnipresence as one of the factors responsible for the augmented importance of IT in the strategy’s success at corporate level along with compliance to regulations which request more transparency in business operations. They continue by presenting what they call the “</w:t>
      </w:r>
      <w:r w:rsidRPr="00FB5C1D">
        <w:rPr>
          <w:rFonts w:ascii="Verdana" w:hAnsi="Verdana" w:cs="Times New Roman"/>
          <w:i/>
          <w:sz w:val="20"/>
          <w:szCs w:val="20"/>
        </w:rPr>
        <w:t>productivity paradox</w:t>
      </w:r>
      <w:r w:rsidRPr="00FB5C1D">
        <w:rPr>
          <w:rFonts w:ascii="Verdana" w:hAnsi="Verdana" w:cs="Times New Roman"/>
          <w:sz w:val="20"/>
          <w:szCs w:val="20"/>
        </w:rPr>
        <w:t>” for investments made in IT: measuring IT budges does not provide measurable business value. Traditionally looking at IT investment budgets does not account for the increased complexity of offshoring and outsourcing IT preparations as well as for the surge in human and financial implications of IT investments. Such business value is derived from the proper implementation of governance applications and this implementation involves the undertaking of both quantitative and qualitative indicators for IT governance applica</w:t>
      </w:r>
      <w:r w:rsidR="00415B66">
        <w:rPr>
          <w:rFonts w:ascii="Verdana" w:hAnsi="Verdana" w:cs="Times New Roman"/>
          <w:sz w:val="20"/>
          <w:szCs w:val="20"/>
        </w:rPr>
        <w:t xml:space="preserve">tions’ success. Van Grembergen et al. </w:t>
      </w:r>
      <w:r w:rsidRPr="00FB5C1D">
        <w:rPr>
          <w:rFonts w:ascii="Verdana" w:hAnsi="Verdana" w:cs="Times New Roman"/>
          <w:sz w:val="20"/>
          <w:szCs w:val="20"/>
        </w:rPr>
        <w:t>(2004) position IT as a competitive advantage and stress its movement across the ladder from service provider to strategic partner.</w:t>
      </w: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 </w:t>
      </w:r>
    </w:p>
    <w:p w:rsidR="000E223B" w:rsidRPr="00FB5C1D" w:rsidRDefault="000E223B" w:rsidP="000E223B">
      <w:pPr>
        <w:pStyle w:val="Heading2"/>
        <w:spacing w:line="360" w:lineRule="auto"/>
        <w:jc w:val="both"/>
        <w:rPr>
          <w:rFonts w:ascii="Verdana" w:hAnsi="Verdana" w:cs="Times New Roman"/>
          <w:sz w:val="20"/>
          <w:szCs w:val="20"/>
        </w:rPr>
      </w:pPr>
      <w:bookmarkStart w:id="21" w:name="_Toc410216292"/>
      <w:bookmarkStart w:id="22" w:name="_Toc423597492"/>
      <w:r w:rsidRPr="00FB5C1D">
        <w:rPr>
          <w:rFonts w:ascii="Verdana" w:hAnsi="Verdana" w:cs="Times New Roman"/>
          <w:sz w:val="20"/>
          <w:szCs w:val="20"/>
        </w:rPr>
        <w:t>2.3.2 Environmental contingencies</w:t>
      </w:r>
      <w:bookmarkEnd w:id="21"/>
      <w:bookmarkEnd w:id="22"/>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Lewis and Millar (2009) pointed out that the IT governance subject has, among others, also been influenced by such schools of thought as </w:t>
      </w:r>
      <w:r w:rsidRPr="000E223B">
        <w:rPr>
          <w:rFonts w:ascii="Verdana" w:hAnsi="Verdana" w:cs="Times New Roman"/>
          <w:i/>
          <w:sz w:val="20"/>
          <w:szCs w:val="20"/>
          <w:lang w:val="en-US"/>
        </w:rPr>
        <w:t>methodological comprehensiveness</w:t>
      </w:r>
      <w:r w:rsidRPr="000E223B">
        <w:rPr>
          <w:rFonts w:ascii="Verdana" w:hAnsi="Verdana" w:cs="Times New Roman"/>
          <w:sz w:val="20"/>
          <w:szCs w:val="20"/>
          <w:lang w:val="en-US"/>
        </w:rPr>
        <w:t xml:space="preserve"> and </w:t>
      </w:r>
      <w:r w:rsidRPr="000E223B">
        <w:rPr>
          <w:rFonts w:ascii="Verdana" w:hAnsi="Verdana" w:cs="Times New Roman"/>
          <w:i/>
          <w:sz w:val="20"/>
          <w:szCs w:val="20"/>
          <w:lang w:val="en-US"/>
        </w:rPr>
        <w:t>social interventions</w:t>
      </w:r>
      <w:r w:rsidR="00C147E1">
        <w:rPr>
          <w:rFonts w:ascii="Verdana" w:hAnsi="Verdana" w:cs="Times New Roman"/>
          <w:sz w:val="20"/>
          <w:szCs w:val="20"/>
          <w:lang w:val="en-US"/>
        </w:rPr>
        <w:t xml:space="preserve">. </w:t>
      </w:r>
      <w:r w:rsidR="00C147E1" w:rsidRPr="00C147E1">
        <w:rPr>
          <w:rFonts w:ascii="Verdana" w:hAnsi="Verdana" w:cs="Times New Roman"/>
          <w:sz w:val="20"/>
          <w:szCs w:val="20"/>
          <w:lang w:val="en-US"/>
        </w:rPr>
        <w:t>Ribbers, Peterson &amp; Parker</w:t>
      </w:r>
      <w:r w:rsidRPr="000E223B">
        <w:rPr>
          <w:rFonts w:ascii="Verdana" w:hAnsi="Verdana" w:cs="Times New Roman"/>
          <w:sz w:val="20"/>
          <w:szCs w:val="20"/>
          <w:lang w:val="en-US"/>
        </w:rPr>
        <w:t xml:space="preserve"> (2002) use </w:t>
      </w:r>
      <w:r w:rsidRPr="000E223B">
        <w:rPr>
          <w:rFonts w:ascii="Verdana" w:hAnsi="Verdana" w:cs="Times New Roman"/>
          <w:i/>
          <w:sz w:val="20"/>
          <w:szCs w:val="20"/>
          <w:lang w:val="en-US"/>
        </w:rPr>
        <w:t xml:space="preserve">environmental contingencies </w:t>
      </w:r>
      <w:r w:rsidRPr="000E223B">
        <w:rPr>
          <w:rFonts w:ascii="Verdana" w:hAnsi="Verdana" w:cs="Times New Roman"/>
          <w:sz w:val="20"/>
          <w:szCs w:val="20"/>
          <w:lang w:val="en-US"/>
        </w:rPr>
        <w:t xml:space="preserve">in their research to explain the relationship between IT governance and its outcome in the light of the schools of thought mentioned by Lewis and Millar (2009). </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Figure 2.1 summarizes the relationship matrix between the environmental contingencies identified by Ribbers et al.(2002). </w:t>
      </w:r>
    </w:p>
    <w:p w:rsidR="000E223B" w:rsidRPr="000E223B" w:rsidRDefault="000E223B" w:rsidP="000E223B">
      <w:pPr>
        <w:spacing w:line="360" w:lineRule="auto"/>
        <w:jc w:val="both"/>
        <w:rPr>
          <w:rFonts w:ascii="Verdana" w:hAnsi="Verdana" w:cs="Times New Roman"/>
          <w:sz w:val="20"/>
          <w:szCs w:val="20"/>
          <w:lang w:val="en-US"/>
        </w:rPr>
      </w:pPr>
      <w:r w:rsidRPr="00FB5C1D">
        <w:rPr>
          <w:rFonts w:ascii="Verdana" w:hAnsi="Verdana" w:cs="Times New Roman"/>
          <w:noProof/>
          <w:sz w:val="20"/>
          <w:szCs w:val="20"/>
          <w:lang w:val="en-GB" w:eastAsia="en-GB"/>
        </w:rPr>
        <w:drawing>
          <wp:anchor distT="0" distB="0" distL="114300" distR="114300" simplePos="0" relativeHeight="251624960" behindDoc="0" locked="0" layoutInCell="1" allowOverlap="1" wp14:anchorId="3EAD31FC" wp14:editId="156356D5">
            <wp:simplePos x="0" y="0"/>
            <wp:positionH relativeFrom="margin">
              <wp:posOffset>1285875</wp:posOffset>
            </wp:positionH>
            <wp:positionV relativeFrom="paragraph">
              <wp:posOffset>45720</wp:posOffset>
            </wp:positionV>
            <wp:extent cx="3228975" cy="1133475"/>
            <wp:effectExtent l="19050" t="19050" r="28575" b="28575"/>
            <wp:wrapThrough wrapText="bothSides">
              <wp:wrapPolygon edited="0">
                <wp:start x="-127" y="-363"/>
                <wp:lineTo x="-127" y="21782"/>
                <wp:lineTo x="21664" y="21782"/>
                <wp:lineTo x="21664" y="-363"/>
                <wp:lineTo x="-127" y="-363"/>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r="587" b="19048"/>
                    <a:stretch/>
                  </pic:blipFill>
                  <pic:spPr bwMode="auto">
                    <a:xfrm>
                      <a:off x="0" y="0"/>
                      <a:ext cx="3228975" cy="1133475"/>
                    </a:xfrm>
                    <a:prstGeom prst="rect">
                      <a:avLst/>
                    </a:prstGeom>
                    <a:ln>
                      <a:solidFill>
                        <a:schemeClr val="tx1">
                          <a:lumMod val="95000"/>
                          <a:lumOff val="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223B" w:rsidRPr="000E223B" w:rsidRDefault="000E223B" w:rsidP="000E223B">
      <w:pPr>
        <w:spacing w:line="360" w:lineRule="auto"/>
        <w:jc w:val="both"/>
        <w:rPr>
          <w:rFonts w:ascii="Verdana" w:hAnsi="Verdana" w:cs="Times New Roman"/>
          <w:sz w:val="20"/>
          <w:szCs w:val="20"/>
          <w:lang w:val="en-US"/>
        </w:rPr>
      </w:pPr>
    </w:p>
    <w:p w:rsidR="000E223B" w:rsidRPr="000E223B" w:rsidRDefault="000E223B" w:rsidP="000E223B">
      <w:pPr>
        <w:spacing w:line="360" w:lineRule="auto"/>
        <w:jc w:val="both"/>
        <w:rPr>
          <w:rFonts w:ascii="Verdana" w:hAnsi="Verdana" w:cs="Times New Roman"/>
          <w:sz w:val="20"/>
          <w:szCs w:val="20"/>
          <w:lang w:val="en-US"/>
        </w:rPr>
      </w:pPr>
    </w:p>
    <w:p w:rsidR="000E223B" w:rsidRPr="000E223B" w:rsidRDefault="000E223B" w:rsidP="000E223B">
      <w:pPr>
        <w:spacing w:line="360" w:lineRule="auto"/>
        <w:jc w:val="both"/>
        <w:rPr>
          <w:rFonts w:ascii="Verdana" w:hAnsi="Verdana" w:cs="Times New Roman"/>
          <w:sz w:val="20"/>
          <w:szCs w:val="20"/>
          <w:lang w:val="en-US"/>
        </w:rPr>
      </w:pPr>
    </w:p>
    <w:p w:rsidR="000E223B" w:rsidRPr="00753959" w:rsidRDefault="000E223B" w:rsidP="000E223B">
      <w:pPr>
        <w:pStyle w:val="NoSpacing"/>
        <w:spacing w:line="360" w:lineRule="auto"/>
        <w:jc w:val="center"/>
        <w:rPr>
          <w:rFonts w:ascii="Verdana" w:hAnsi="Verdana" w:cs="Times New Roman"/>
          <w:sz w:val="18"/>
          <w:szCs w:val="18"/>
        </w:rPr>
      </w:pPr>
      <w:r w:rsidRPr="00753959">
        <w:rPr>
          <w:rFonts w:ascii="Verdana" w:hAnsi="Verdana" w:cs="Times New Roman"/>
          <w:sz w:val="18"/>
          <w:szCs w:val="18"/>
        </w:rPr>
        <w:t>Figure 2.1 Environmental contingencies and effective decision-making (Ribbers et al., 2002, pp.2)</w:t>
      </w:r>
    </w:p>
    <w:p w:rsidR="000E223B" w:rsidRPr="00FB5C1D" w:rsidRDefault="000E223B" w:rsidP="000E223B">
      <w:pPr>
        <w:pStyle w:val="NoSpacing"/>
        <w:spacing w:line="360" w:lineRule="auto"/>
        <w:jc w:val="center"/>
        <w:rPr>
          <w:rFonts w:ascii="Verdana" w:hAnsi="Verdana" w:cs="Times New Roman"/>
          <w:sz w:val="20"/>
          <w:szCs w:val="20"/>
        </w:rPr>
      </w:pP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The 2 environmental contingencies identified by the authors are </w:t>
      </w:r>
      <w:r w:rsidRPr="00FB5C1D">
        <w:rPr>
          <w:rFonts w:ascii="Verdana" w:hAnsi="Verdana" w:cs="Times New Roman"/>
          <w:i/>
          <w:sz w:val="20"/>
          <w:szCs w:val="20"/>
        </w:rPr>
        <w:t>dynamism</w:t>
      </w:r>
      <w:r w:rsidRPr="00FB5C1D">
        <w:rPr>
          <w:rFonts w:ascii="Verdana" w:hAnsi="Verdana" w:cs="Times New Roman"/>
          <w:sz w:val="20"/>
          <w:szCs w:val="20"/>
        </w:rPr>
        <w:t xml:space="preserve"> and </w:t>
      </w:r>
      <w:r w:rsidRPr="00FB5C1D">
        <w:rPr>
          <w:rFonts w:ascii="Verdana" w:hAnsi="Verdana" w:cs="Times New Roman"/>
          <w:i/>
          <w:sz w:val="20"/>
          <w:szCs w:val="20"/>
        </w:rPr>
        <w:t>turbulence</w:t>
      </w:r>
      <w:r w:rsidRPr="00FB5C1D">
        <w:rPr>
          <w:rFonts w:ascii="Verdana" w:hAnsi="Verdana" w:cs="Times New Roman"/>
          <w:sz w:val="20"/>
          <w:szCs w:val="20"/>
        </w:rPr>
        <w:t xml:space="preserve"> and they influence IT governance outcomes in the following way: if low dynamism and low turbulence then IT decision-making is associated and perceived as highly methodological with low social interventions; on the contrary, if high dynamism and high turbulence then IT decision-making is less based on methodologies and more reliant on social interventions.</w:t>
      </w:r>
    </w:p>
    <w:p w:rsidR="000E223B" w:rsidRPr="00FB5C1D" w:rsidRDefault="000E223B" w:rsidP="000E223B">
      <w:pPr>
        <w:pStyle w:val="ListParagraph"/>
        <w:spacing w:line="360" w:lineRule="auto"/>
        <w:ind w:left="0"/>
        <w:jc w:val="both"/>
        <w:rPr>
          <w:rFonts w:ascii="Verdana" w:hAnsi="Verdana" w:cs="Times New Roman"/>
          <w:sz w:val="20"/>
          <w:szCs w:val="20"/>
        </w:rPr>
      </w:pPr>
    </w:p>
    <w:p w:rsidR="000E223B" w:rsidRPr="00FB5C1D" w:rsidRDefault="000E223B" w:rsidP="000E223B">
      <w:pPr>
        <w:pStyle w:val="Heading2"/>
        <w:spacing w:line="360" w:lineRule="auto"/>
        <w:jc w:val="both"/>
        <w:rPr>
          <w:rFonts w:ascii="Verdana" w:hAnsi="Verdana" w:cs="Times New Roman"/>
          <w:sz w:val="20"/>
          <w:szCs w:val="20"/>
        </w:rPr>
      </w:pPr>
      <w:bookmarkStart w:id="23" w:name="_Toc410216293"/>
      <w:bookmarkStart w:id="24" w:name="_Toc423597493"/>
      <w:r w:rsidRPr="00FB5C1D">
        <w:rPr>
          <w:rFonts w:ascii="Verdana" w:hAnsi="Verdana" w:cs="Times New Roman"/>
          <w:sz w:val="20"/>
          <w:szCs w:val="20"/>
        </w:rPr>
        <w:t>2.3.3 Decision-making structures</w:t>
      </w:r>
      <w:bookmarkEnd w:id="23"/>
      <w:bookmarkEnd w:id="24"/>
      <w:r w:rsidRPr="00FB5C1D">
        <w:rPr>
          <w:rFonts w:ascii="Verdana" w:hAnsi="Verdana" w:cs="Times New Roman"/>
          <w:sz w:val="20"/>
          <w:szCs w:val="20"/>
        </w:rPr>
        <w:t xml:space="preserve"> </w:t>
      </w: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Research in the domain of IT governance has traditionally been concerned with the </w:t>
      </w:r>
      <w:r w:rsidRPr="00FB5C1D">
        <w:rPr>
          <w:rFonts w:ascii="Verdana" w:hAnsi="Verdana" w:cs="Times New Roman"/>
          <w:i/>
          <w:sz w:val="20"/>
          <w:szCs w:val="20"/>
        </w:rPr>
        <w:t>decision-making structures</w:t>
      </w:r>
      <w:r w:rsidRPr="00FB5C1D">
        <w:rPr>
          <w:rFonts w:ascii="Verdana" w:hAnsi="Verdana" w:cs="Times New Roman"/>
          <w:sz w:val="20"/>
          <w:szCs w:val="20"/>
        </w:rPr>
        <w:t xml:space="preserve"> for IT control with orientations going from differentiation of IT decision-making structures towards integrating these structures in value maximization (Ribbers</w:t>
      </w:r>
      <w:r w:rsidR="00C147E1">
        <w:rPr>
          <w:rFonts w:ascii="Verdana" w:hAnsi="Verdana" w:cs="Times New Roman"/>
          <w:sz w:val="20"/>
          <w:szCs w:val="20"/>
        </w:rPr>
        <w:t xml:space="preserve"> et al. </w:t>
      </w:r>
      <w:r w:rsidRPr="00FB5C1D">
        <w:rPr>
          <w:rFonts w:ascii="Verdana" w:hAnsi="Verdana" w:cs="Times New Roman"/>
          <w:sz w:val="20"/>
          <w:szCs w:val="20"/>
        </w:rPr>
        <w:t xml:space="preserve">, 2002). The authors attempt to characterize IT governance on the basis of an organizational model of problem identification and problem solution : </w:t>
      </w:r>
    </w:p>
    <w:p w:rsidR="000E223B" w:rsidRPr="00FB5C1D" w:rsidRDefault="000E223B" w:rsidP="000E223B">
      <w:pPr>
        <w:pStyle w:val="ListParagraph"/>
        <w:spacing w:line="360" w:lineRule="auto"/>
        <w:ind w:left="0"/>
        <w:jc w:val="both"/>
        <w:rPr>
          <w:rFonts w:ascii="Verdana" w:hAnsi="Verdana" w:cs="Times New Roman"/>
          <w:sz w:val="20"/>
          <w:szCs w:val="20"/>
        </w:rPr>
      </w:pPr>
    </w:p>
    <w:p w:rsidR="000E223B" w:rsidRPr="00FB5C1D" w:rsidRDefault="000E223B" w:rsidP="000E223B">
      <w:pPr>
        <w:pStyle w:val="ListParagraph"/>
        <w:numPr>
          <w:ilvl w:val="0"/>
          <w:numId w:val="7"/>
        </w:numPr>
        <w:spacing w:line="360" w:lineRule="auto"/>
        <w:ind w:left="0" w:firstLine="567"/>
        <w:jc w:val="both"/>
        <w:rPr>
          <w:rFonts w:ascii="Verdana" w:hAnsi="Verdana" w:cs="Times New Roman"/>
          <w:sz w:val="20"/>
          <w:szCs w:val="20"/>
        </w:rPr>
      </w:pPr>
      <w:r w:rsidRPr="00FB5C1D">
        <w:rPr>
          <w:rFonts w:ascii="Verdana" w:hAnsi="Verdana" w:cs="Times New Roman"/>
          <w:i/>
          <w:sz w:val="20"/>
          <w:szCs w:val="20"/>
        </w:rPr>
        <w:t>Problem identification</w:t>
      </w:r>
      <w:r w:rsidRPr="00FB5C1D">
        <w:rPr>
          <w:rFonts w:ascii="Verdana" w:hAnsi="Verdana" w:cs="Times New Roman"/>
          <w:sz w:val="20"/>
          <w:szCs w:val="20"/>
        </w:rPr>
        <w:t xml:space="preserve"> is concerned with scanning internal and external environments and identifying potential problems before they occur. </w:t>
      </w:r>
    </w:p>
    <w:p w:rsidR="000E223B" w:rsidRPr="00FB5C1D" w:rsidRDefault="000E223B" w:rsidP="000E223B">
      <w:pPr>
        <w:pStyle w:val="ListParagraph"/>
        <w:numPr>
          <w:ilvl w:val="0"/>
          <w:numId w:val="7"/>
        </w:numPr>
        <w:spacing w:line="360" w:lineRule="auto"/>
        <w:ind w:left="0" w:firstLine="567"/>
        <w:jc w:val="both"/>
        <w:rPr>
          <w:rFonts w:ascii="Verdana" w:hAnsi="Verdana" w:cs="Times New Roman"/>
          <w:sz w:val="20"/>
          <w:szCs w:val="20"/>
        </w:rPr>
      </w:pPr>
      <w:r w:rsidRPr="00FB5C1D">
        <w:rPr>
          <w:rFonts w:ascii="Verdana" w:hAnsi="Verdana" w:cs="Times New Roman"/>
          <w:i/>
          <w:sz w:val="20"/>
          <w:szCs w:val="20"/>
        </w:rPr>
        <w:t>Problem solution</w:t>
      </w:r>
      <w:r w:rsidRPr="00FB5C1D">
        <w:rPr>
          <w:rFonts w:ascii="Verdana" w:hAnsi="Verdana" w:cs="Times New Roman"/>
          <w:sz w:val="20"/>
          <w:szCs w:val="20"/>
        </w:rPr>
        <w:t xml:space="preserve"> is concerned with implementing the necessary courses of action to stop these problems from occurring. </w:t>
      </w:r>
    </w:p>
    <w:p w:rsidR="000E223B" w:rsidRPr="000E223B" w:rsidRDefault="000E223B" w:rsidP="000E223B">
      <w:pPr>
        <w:tabs>
          <w:tab w:val="left" w:pos="7230"/>
        </w:tabs>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Simonsson and Ekstedt (2006) mention a difference in </w:t>
      </w:r>
      <w:r w:rsidRPr="000E223B">
        <w:rPr>
          <w:rFonts w:ascii="Verdana" w:hAnsi="Verdana" w:cs="Times New Roman"/>
          <w:i/>
          <w:sz w:val="20"/>
          <w:szCs w:val="20"/>
          <w:lang w:val="en-US"/>
        </w:rPr>
        <w:t xml:space="preserve">levels of priority </w:t>
      </w:r>
      <w:r w:rsidRPr="000E223B">
        <w:rPr>
          <w:rFonts w:ascii="Verdana" w:hAnsi="Verdana" w:cs="Times New Roman"/>
          <w:sz w:val="20"/>
          <w:szCs w:val="20"/>
          <w:lang w:val="en-US"/>
        </w:rPr>
        <w:t>regarding IT governance in literature and practice. More specifically, in literature, IT governance is more often than not defined as being the responsibility of Board of Directors and executive management in selecting and using key strategic relationships meant to obtain and reinforce IT competencies. They also mention IT governance as being at the crossroads between ensuring “</w:t>
      </w:r>
      <w:r w:rsidRPr="000E223B">
        <w:rPr>
          <w:rFonts w:ascii="Verdana" w:hAnsi="Verdana" w:cs="Times New Roman"/>
          <w:i/>
          <w:sz w:val="20"/>
          <w:szCs w:val="20"/>
          <w:lang w:val="en-US"/>
        </w:rPr>
        <w:t>fusion</w:t>
      </w:r>
      <w:r w:rsidRPr="000E223B">
        <w:rPr>
          <w:rFonts w:ascii="Verdana" w:hAnsi="Verdana" w:cs="Times New Roman"/>
          <w:sz w:val="20"/>
          <w:szCs w:val="20"/>
          <w:lang w:val="en-US"/>
        </w:rPr>
        <w:t xml:space="preserve">” between business and IT and for alignments between business, IT and the creation of value across the enterprise. </w:t>
      </w:r>
    </w:p>
    <w:p w:rsidR="000E223B" w:rsidRPr="00FB5C1D" w:rsidRDefault="000E223B" w:rsidP="000E223B">
      <w:pPr>
        <w:pStyle w:val="Heading2"/>
        <w:spacing w:line="360" w:lineRule="auto"/>
        <w:jc w:val="both"/>
        <w:rPr>
          <w:rFonts w:ascii="Verdana" w:hAnsi="Verdana" w:cs="Times New Roman"/>
          <w:sz w:val="20"/>
          <w:szCs w:val="20"/>
        </w:rPr>
      </w:pPr>
      <w:bookmarkStart w:id="25" w:name="_Toc410216294"/>
      <w:bookmarkStart w:id="26" w:name="_Toc423597494"/>
      <w:r w:rsidRPr="00FB5C1D">
        <w:rPr>
          <w:rFonts w:ascii="Verdana" w:hAnsi="Verdana" w:cs="Times New Roman"/>
          <w:sz w:val="20"/>
          <w:szCs w:val="20"/>
        </w:rPr>
        <w:t>2.3.4 Scope of decision-making</w:t>
      </w:r>
      <w:bookmarkEnd w:id="25"/>
      <w:bookmarkEnd w:id="26"/>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r w:rsidRPr="00FB5C1D">
        <w:rPr>
          <w:rFonts w:ascii="Verdana" w:hAnsi="Verdana" w:cs="Times New Roman"/>
          <w:sz w:val="20"/>
          <w:szCs w:val="20"/>
        </w:rPr>
        <w:t>Simonsson and Ekstedt (2006) divide the decision-making structures on which IT governance provides input on into dimensions because it helps with indicating the scope of the decision-making. The identified dimensions are:</w:t>
      </w: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p>
    <w:p w:rsidR="000E223B" w:rsidRPr="00FB5C1D" w:rsidRDefault="000E223B" w:rsidP="000E223B">
      <w:pPr>
        <w:pStyle w:val="ListParagraph"/>
        <w:numPr>
          <w:ilvl w:val="0"/>
          <w:numId w:val="6"/>
        </w:numPr>
        <w:tabs>
          <w:tab w:val="left" w:pos="720"/>
          <w:tab w:val="left" w:pos="1170"/>
        </w:tabs>
        <w:spacing w:line="360" w:lineRule="auto"/>
        <w:ind w:left="0" w:firstLine="567"/>
        <w:jc w:val="both"/>
        <w:rPr>
          <w:rFonts w:ascii="Verdana" w:hAnsi="Verdana" w:cs="Times New Roman"/>
          <w:sz w:val="20"/>
          <w:szCs w:val="20"/>
        </w:rPr>
      </w:pPr>
      <w:r w:rsidRPr="00FB5C1D">
        <w:rPr>
          <w:rFonts w:ascii="Verdana" w:hAnsi="Verdana" w:cs="Times New Roman"/>
          <w:i/>
          <w:sz w:val="20"/>
          <w:szCs w:val="20"/>
        </w:rPr>
        <w:t>Goals</w:t>
      </w:r>
      <w:r w:rsidRPr="00FB5C1D">
        <w:rPr>
          <w:rFonts w:ascii="Verdana" w:hAnsi="Verdana" w:cs="Times New Roman"/>
          <w:sz w:val="20"/>
          <w:szCs w:val="20"/>
        </w:rPr>
        <w:t>: form of measurement of how well the objectives set will perform. These are mainly decisions regarding IT policies, corporate strategy relating to the use of IT, frameworks and objectives or roadmaps for kick-off</w:t>
      </w:r>
    </w:p>
    <w:p w:rsidR="000E223B" w:rsidRPr="00FB5C1D" w:rsidRDefault="000E223B" w:rsidP="000E223B">
      <w:pPr>
        <w:pStyle w:val="ListParagraph"/>
        <w:numPr>
          <w:ilvl w:val="0"/>
          <w:numId w:val="6"/>
        </w:numPr>
        <w:tabs>
          <w:tab w:val="left" w:pos="720"/>
          <w:tab w:val="left" w:pos="1170"/>
        </w:tabs>
        <w:spacing w:line="360" w:lineRule="auto"/>
        <w:ind w:left="0" w:firstLine="567"/>
        <w:jc w:val="both"/>
        <w:rPr>
          <w:rFonts w:ascii="Verdana" w:hAnsi="Verdana" w:cs="Times New Roman"/>
          <w:sz w:val="20"/>
          <w:szCs w:val="20"/>
        </w:rPr>
      </w:pPr>
      <w:r w:rsidRPr="00FB5C1D">
        <w:rPr>
          <w:rFonts w:ascii="Verdana" w:hAnsi="Verdana" w:cs="Times New Roman"/>
          <w:i/>
          <w:sz w:val="20"/>
          <w:szCs w:val="20"/>
        </w:rPr>
        <w:lastRenderedPageBreak/>
        <w:t>Processes</w:t>
      </w:r>
      <w:r w:rsidRPr="00FB5C1D">
        <w:rPr>
          <w:rFonts w:ascii="Verdana" w:hAnsi="Verdana" w:cs="Times New Roman"/>
          <w:sz w:val="20"/>
          <w:szCs w:val="20"/>
        </w:rPr>
        <w:t>: implementation and management of the IT structures which will support operations. These include identifying and defining the relevant IT tasks, setting up procedures and nets for a good accomplishment of these tasks</w:t>
      </w:r>
    </w:p>
    <w:p w:rsidR="000E223B" w:rsidRPr="00FB5C1D" w:rsidRDefault="000E223B" w:rsidP="000E223B">
      <w:pPr>
        <w:pStyle w:val="ListParagraph"/>
        <w:numPr>
          <w:ilvl w:val="0"/>
          <w:numId w:val="6"/>
        </w:numPr>
        <w:tabs>
          <w:tab w:val="left" w:pos="720"/>
          <w:tab w:val="left" w:pos="1170"/>
        </w:tabs>
        <w:spacing w:line="360" w:lineRule="auto"/>
        <w:ind w:left="0" w:firstLine="567"/>
        <w:jc w:val="both"/>
        <w:rPr>
          <w:rFonts w:ascii="Verdana" w:hAnsi="Verdana" w:cs="Times New Roman"/>
          <w:sz w:val="20"/>
          <w:szCs w:val="20"/>
        </w:rPr>
      </w:pPr>
      <w:r w:rsidRPr="00FB5C1D">
        <w:rPr>
          <w:rFonts w:ascii="Verdana" w:hAnsi="Verdana" w:cs="Times New Roman"/>
          <w:i/>
          <w:sz w:val="20"/>
          <w:szCs w:val="20"/>
        </w:rPr>
        <w:t>People</w:t>
      </w:r>
      <w:r w:rsidRPr="00FB5C1D">
        <w:rPr>
          <w:rFonts w:ascii="Verdana" w:hAnsi="Verdana" w:cs="Times New Roman"/>
          <w:sz w:val="20"/>
          <w:szCs w:val="20"/>
        </w:rPr>
        <w:t xml:space="preserve">: roles and accountabilities of the different participants. These decisions include defining structures of responsibility in the greater corporate context as well as on process-context, defining what each role does and what are the skills needed to fill in the different roles. </w:t>
      </w:r>
    </w:p>
    <w:p w:rsidR="000E223B" w:rsidRPr="00FB5C1D" w:rsidRDefault="000E223B" w:rsidP="000E223B">
      <w:pPr>
        <w:pStyle w:val="ListParagraph"/>
        <w:numPr>
          <w:ilvl w:val="0"/>
          <w:numId w:val="6"/>
        </w:numPr>
        <w:tabs>
          <w:tab w:val="left" w:pos="720"/>
          <w:tab w:val="left" w:pos="1170"/>
        </w:tabs>
        <w:spacing w:line="360" w:lineRule="auto"/>
        <w:ind w:left="0" w:firstLine="567"/>
        <w:jc w:val="both"/>
        <w:rPr>
          <w:rFonts w:ascii="Verdana" w:hAnsi="Verdana" w:cs="Times New Roman"/>
          <w:sz w:val="20"/>
          <w:szCs w:val="20"/>
        </w:rPr>
      </w:pPr>
      <w:r w:rsidRPr="00FB5C1D">
        <w:rPr>
          <w:rFonts w:ascii="Verdana" w:hAnsi="Verdana" w:cs="Times New Roman"/>
          <w:i/>
          <w:sz w:val="20"/>
          <w:szCs w:val="20"/>
        </w:rPr>
        <w:t>Technology</w:t>
      </w:r>
      <w:r w:rsidRPr="00FB5C1D">
        <w:rPr>
          <w:rFonts w:ascii="Verdana" w:hAnsi="Verdana" w:cs="Times New Roman"/>
          <w:sz w:val="20"/>
          <w:szCs w:val="20"/>
        </w:rPr>
        <w:t xml:space="preserve"> : physical assets such as hardware, software, facilities</w:t>
      </w:r>
    </w:p>
    <w:p w:rsidR="000E223B" w:rsidRPr="000E223B" w:rsidRDefault="000E223B" w:rsidP="000E223B">
      <w:pPr>
        <w:tabs>
          <w:tab w:val="left" w:pos="7230"/>
        </w:tabs>
        <w:spacing w:line="360" w:lineRule="auto"/>
        <w:jc w:val="both"/>
        <w:rPr>
          <w:rFonts w:ascii="Verdana" w:hAnsi="Verdana" w:cs="Times New Roman"/>
          <w:sz w:val="20"/>
          <w:szCs w:val="20"/>
          <w:lang w:val="en-US"/>
        </w:rPr>
      </w:pPr>
    </w:p>
    <w:p w:rsidR="000E223B" w:rsidRPr="00FB5C1D" w:rsidRDefault="000E223B" w:rsidP="000E223B">
      <w:pPr>
        <w:pStyle w:val="Heading2"/>
        <w:spacing w:line="360" w:lineRule="auto"/>
        <w:jc w:val="both"/>
        <w:rPr>
          <w:rFonts w:ascii="Verdana" w:hAnsi="Verdana" w:cs="Times New Roman"/>
          <w:sz w:val="20"/>
          <w:szCs w:val="20"/>
        </w:rPr>
      </w:pPr>
      <w:bookmarkStart w:id="27" w:name="_Toc410216295"/>
      <w:bookmarkStart w:id="28" w:name="_Toc423597495"/>
      <w:r w:rsidRPr="00FB5C1D">
        <w:rPr>
          <w:rFonts w:ascii="Verdana" w:hAnsi="Verdana" w:cs="Times New Roman"/>
          <w:sz w:val="20"/>
          <w:szCs w:val="20"/>
        </w:rPr>
        <w:t>2.3.5 Decision-making fields</w:t>
      </w:r>
      <w:bookmarkEnd w:id="27"/>
      <w:bookmarkEnd w:id="28"/>
      <w:r w:rsidRPr="00FB5C1D">
        <w:rPr>
          <w:rFonts w:ascii="Verdana" w:hAnsi="Verdana" w:cs="Times New Roman"/>
          <w:sz w:val="20"/>
          <w:szCs w:val="20"/>
        </w:rPr>
        <w:t xml:space="preserve"> </w:t>
      </w: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Peter Weil (Lewis &amp; Millar, 2009) draws upon the work of Peterson and identifies 3 types of governance mechanisms for IT decisions: </w:t>
      </w:r>
      <w:r w:rsidRPr="00FB5C1D">
        <w:rPr>
          <w:rFonts w:ascii="Verdana" w:hAnsi="Verdana" w:cs="Times New Roman"/>
          <w:i/>
          <w:sz w:val="20"/>
          <w:szCs w:val="20"/>
        </w:rPr>
        <w:t xml:space="preserve">decision-making structures, alignment processes </w:t>
      </w:r>
      <w:r w:rsidRPr="00FB5C1D">
        <w:rPr>
          <w:rFonts w:ascii="Verdana" w:hAnsi="Verdana" w:cs="Times New Roman"/>
          <w:sz w:val="20"/>
          <w:szCs w:val="20"/>
        </w:rPr>
        <w:t>and</w:t>
      </w:r>
      <w:r w:rsidRPr="00FB5C1D">
        <w:rPr>
          <w:rFonts w:ascii="Verdana" w:hAnsi="Verdana" w:cs="Times New Roman"/>
          <w:i/>
          <w:sz w:val="20"/>
          <w:szCs w:val="20"/>
        </w:rPr>
        <w:t xml:space="preserve"> communication approaches</w:t>
      </w:r>
      <w:r w:rsidRPr="00FB5C1D">
        <w:rPr>
          <w:rFonts w:ascii="Verdana" w:hAnsi="Verdana" w:cs="Times New Roman"/>
          <w:sz w:val="20"/>
          <w:szCs w:val="20"/>
        </w:rPr>
        <w:t>. Weil and Ross (2004) had also analyzed institutional approaches on IT as well as decision-making structures from the point of view of domains, styles and mechanisms. They identified 5 key decision fields:</w:t>
      </w: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p>
    <w:p w:rsidR="000E223B" w:rsidRPr="00FB5C1D" w:rsidRDefault="000E223B" w:rsidP="000E223B">
      <w:pPr>
        <w:pStyle w:val="ListParagraph"/>
        <w:numPr>
          <w:ilvl w:val="0"/>
          <w:numId w:val="5"/>
        </w:numPr>
        <w:tabs>
          <w:tab w:val="left" w:pos="720"/>
          <w:tab w:val="left" w:pos="1170"/>
        </w:tabs>
        <w:spacing w:line="360" w:lineRule="auto"/>
        <w:ind w:left="0" w:firstLine="567"/>
        <w:jc w:val="both"/>
        <w:rPr>
          <w:rFonts w:ascii="Verdana" w:hAnsi="Verdana" w:cs="Times New Roman"/>
          <w:sz w:val="20"/>
          <w:szCs w:val="20"/>
        </w:rPr>
      </w:pPr>
      <w:r w:rsidRPr="00FB5C1D">
        <w:rPr>
          <w:rFonts w:ascii="Verdana" w:hAnsi="Verdana" w:cs="Times New Roman"/>
          <w:i/>
          <w:sz w:val="20"/>
          <w:szCs w:val="20"/>
        </w:rPr>
        <w:t>IT principles</w:t>
      </w:r>
      <w:r w:rsidRPr="00FB5C1D">
        <w:rPr>
          <w:rFonts w:ascii="Verdana" w:hAnsi="Verdana" w:cs="Times New Roman"/>
          <w:sz w:val="20"/>
          <w:szCs w:val="20"/>
        </w:rPr>
        <w:t xml:space="preserve"> position IT and its role in the business </w:t>
      </w:r>
    </w:p>
    <w:p w:rsidR="000E223B" w:rsidRPr="00FB5C1D" w:rsidRDefault="000E223B" w:rsidP="000E223B">
      <w:pPr>
        <w:pStyle w:val="ListParagraph"/>
        <w:numPr>
          <w:ilvl w:val="0"/>
          <w:numId w:val="5"/>
        </w:numPr>
        <w:tabs>
          <w:tab w:val="left" w:pos="720"/>
          <w:tab w:val="left" w:pos="1170"/>
        </w:tabs>
        <w:spacing w:line="360" w:lineRule="auto"/>
        <w:ind w:left="0" w:firstLine="567"/>
        <w:jc w:val="both"/>
        <w:rPr>
          <w:rFonts w:ascii="Verdana" w:hAnsi="Verdana" w:cs="Times New Roman"/>
          <w:sz w:val="20"/>
          <w:szCs w:val="20"/>
        </w:rPr>
      </w:pPr>
      <w:r w:rsidRPr="00FB5C1D">
        <w:rPr>
          <w:rFonts w:ascii="Verdana" w:hAnsi="Verdana" w:cs="Times New Roman"/>
          <w:i/>
          <w:sz w:val="20"/>
          <w:szCs w:val="20"/>
        </w:rPr>
        <w:t>IT architecture</w:t>
      </w:r>
      <w:r w:rsidRPr="00FB5C1D">
        <w:rPr>
          <w:rFonts w:ascii="Verdana" w:hAnsi="Verdana" w:cs="Times New Roman"/>
          <w:sz w:val="20"/>
          <w:szCs w:val="20"/>
        </w:rPr>
        <w:t xml:space="preserve"> addresses issues as data, application and infrastructure in the context of standardization</w:t>
      </w:r>
    </w:p>
    <w:p w:rsidR="000E223B" w:rsidRPr="00FB5C1D" w:rsidRDefault="000E223B" w:rsidP="000E223B">
      <w:pPr>
        <w:pStyle w:val="ListParagraph"/>
        <w:numPr>
          <w:ilvl w:val="0"/>
          <w:numId w:val="5"/>
        </w:numPr>
        <w:tabs>
          <w:tab w:val="left" w:pos="720"/>
          <w:tab w:val="left" w:pos="1170"/>
        </w:tabs>
        <w:spacing w:line="360" w:lineRule="auto"/>
        <w:ind w:left="0" w:firstLine="567"/>
        <w:jc w:val="both"/>
        <w:rPr>
          <w:rFonts w:ascii="Verdana" w:hAnsi="Verdana" w:cs="Times New Roman"/>
          <w:sz w:val="20"/>
          <w:szCs w:val="20"/>
        </w:rPr>
      </w:pPr>
      <w:r w:rsidRPr="00FB5C1D">
        <w:rPr>
          <w:rFonts w:ascii="Verdana" w:hAnsi="Verdana" w:cs="Times New Roman"/>
          <w:i/>
          <w:sz w:val="20"/>
          <w:szCs w:val="20"/>
        </w:rPr>
        <w:t>IT infrastructure</w:t>
      </w:r>
      <w:r w:rsidRPr="00FB5C1D">
        <w:rPr>
          <w:rFonts w:ascii="Verdana" w:hAnsi="Verdana" w:cs="Times New Roman"/>
          <w:sz w:val="20"/>
          <w:szCs w:val="20"/>
        </w:rPr>
        <w:t xml:space="preserve"> includes hardware and software common services</w:t>
      </w:r>
    </w:p>
    <w:p w:rsidR="000E223B" w:rsidRPr="00FB5C1D" w:rsidRDefault="000E223B" w:rsidP="000E223B">
      <w:pPr>
        <w:pStyle w:val="ListParagraph"/>
        <w:numPr>
          <w:ilvl w:val="0"/>
          <w:numId w:val="5"/>
        </w:numPr>
        <w:tabs>
          <w:tab w:val="left" w:pos="720"/>
          <w:tab w:val="left" w:pos="1170"/>
        </w:tabs>
        <w:spacing w:line="360" w:lineRule="auto"/>
        <w:ind w:left="0" w:firstLine="567"/>
        <w:jc w:val="both"/>
        <w:rPr>
          <w:rFonts w:ascii="Verdana" w:hAnsi="Verdana" w:cs="Times New Roman"/>
          <w:sz w:val="20"/>
          <w:szCs w:val="20"/>
        </w:rPr>
      </w:pPr>
      <w:r w:rsidRPr="00FB5C1D">
        <w:rPr>
          <w:rFonts w:ascii="Verdana" w:hAnsi="Verdana" w:cs="Times New Roman"/>
          <w:i/>
          <w:sz w:val="20"/>
          <w:szCs w:val="20"/>
        </w:rPr>
        <w:t>Business applications</w:t>
      </w:r>
      <w:r w:rsidRPr="00FB5C1D">
        <w:rPr>
          <w:rFonts w:ascii="Verdana" w:hAnsi="Verdana" w:cs="Times New Roman"/>
          <w:sz w:val="20"/>
          <w:szCs w:val="20"/>
        </w:rPr>
        <w:t xml:space="preserve"> needs are the liaison between IT and the accomplishment of the business strategy</w:t>
      </w:r>
    </w:p>
    <w:p w:rsidR="000E223B" w:rsidRPr="00FB5C1D" w:rsidRDefault="000E223B" w:rsidP="000E223B">
      <w:pPr>
        <w:pStyle w:val="ListParagraph"/>
        <w:numPr>
          <w:ilvl w:val="0"/>
          <w:numId w:val="5"/>
        </w:numPr>
        <w:tabs>
          <w:tab w:val="left" w:pos="720"/>
          <w:tab w:val="left" w:pos="1170"/>
        </w:tabs>
        <w:spacing w:line="360" w:lineRule="auto"/>
        <w:ind w:left="0" w:firstLine="567"/>
        <w:jc w:val="both"/>
        <w:rPr>
          <w:rFonts w:ascii="Verdana" w:hAnsi="Verdana" w:cs="Times New Roman"/>
          <w:sz w:val="20"/>
          <w:szCs w:val="20"/>
        </w:rPr>
      </w:pPr>
      <w:r w:rsidRPr="00FB5C1D">
        <w:rPr>
          <w:rFonts w:ascii="Verdana" w:hAnsi="Verdana" w:cs="Times New Roman"/>
          <w:i/>
          <w:sz w:val="20"/>
          <w:szCs w:val="20"/>
        </w:rPr>
        <w:t>IT investment and prioritization decisions</w:t>
      </w:r>
      <w:r w:rsidRPr="00FB5C1D">
        <w:rPr>
          <w:rFonts w:ascii="Verdana" w:hAnsi="Verdana" w:cs="Times New Roman"/>
          <w:sz w:val="20"/>
          <w:szCs w:val="20"/>
        </w:rPr>
        <w:t xml:space="preserve"> prioritize and rank projects according to resources and budgets</w:t>
      </w: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p>
    <w:p w:rsidR="000E223B" w:rsidRPr="00FB5C1D" w:rsidRDefault="000E223B" w:rsidP="000E223B">
      <w:pPr>
        <w:pStyle w:val="Heading2"/>
        <w:spacing w:line="360" w:lineRule="auto"/>
        <w:jc w:val="both"/>
        <w:rPr>
          <w:rFonts w:ascii="Verdana" w:hAnsi="Verdana" w:cs="Times New Roman"/>
          <w:sz w:val="20"/>
          <w:szCs w:val="20"/>
        </w:rPr>
      </w:pPr>
      <w:bookmarkStart w:id="29" w:name="_Toc410216296"/>
      <w:bookmarkStart w:id="30" w:name="_Toc423597496"/>
      <w:r w:rsidRPr="00FB5C1D">
        <w:rPr>
          <w:rFonts w:ascii="Verdana" w:hAnsi="Verdana" w:cs="Times New Roman"/>
          <w:sz w:val="20"/>
          <w:szCs w:val="20"/>
        </w:rPr>
        <w:t>2.3.6 Functions</w:t>
      </w:r>
      <w:bookmarkEnd w:id="29"/>
      <w:bookmarkEnd w:id="30"/>
    </w:p>
    <w:p w:rsidR="000E223B" w:rsidRPr="000E223B" w:rsidRDefault="003D5F4B" w:rsidP="000E223B">
      <w:pPr>
        <w:tabs>
          <w:tab w:val="left" w:pos="7230"/>
        </w:tabs>
        <w:spacing w:line="360" w:lineRule="auto"/>
        <w:jc w:val="both"/>
        <w:rPr>
          <w:rFonts w:ascii="Verdana" w:hAnsi="Verdana" w:cs="Times New Roman"/>
          <w:sz w:val="20"/>
          <w:szCs w:val="20"/>
          <w:lang w:val="en-US"/>
        </w:rPr>
      </w:pPr>
      <w:r>
        <w:rPr>
          <w:rFonts w:ascii="Verdana" w:hAnsi="Verdana" w:cs="Times New Roman"/>
          <w:sz w:val="20"/>
          <w:szCs w:val="20"/>
          <w:lang w:val="en-US"/>
        </w:rPr>
        <w:t xml:space="preserve">Nassiri et al. </w:t>
      </w:r>
      <w:r w:rsidR="000E223B" w:rsidRPr="000E223B">
        <w:rPr>
          <w:rFonts w:ascii="Verdana" w:hAnsi="Verdana" w:cs="Times New Roman"/>
          <w:sz w:val="20"/>
          <w:szCs w:val="20"/>
          <w:lang w:val="en-US"/>
        </w:rPr>
        <w:t xml:space="preserve">(2009) reference </w:t>
      </w:r>
      <w:r w:rsidR="000E223B" w:rsidRPr="000E223B">
        <w:rPr>
          <w:rFonts w:ascii="Verdana" w:hAnsi="Verdana" w:cs="Times New Roman"/>
          <w:i/>
          <w:sz w:val="20"/>
          <w:szCs w:val="20"/>
          <w:lang w:val="en-US"/>
        </w:rPr>
        <w:t>function and value alignment</w:t>
      </w:r>
      <w:r w:rsidR="000E223B" w:rsidRPr="000E223B">
        <w:rPr>
          <w:rFonts w:ascii="Verdana" w:hAnsi="Verdana" w:cs="Times New Roman"/>
          <w:sz w:val="20"/>
          <w:szCs w:val="20"/>
          <w:lang w:val="en-US"/>
        </w:rPr>
        <w:t xml:space="preserve"> as being one of the key purposes of IT governance, along with </w:t>
      </w:r>
      <w:r w:rsidR="000E223B" w:rsidRPr="000E223B">
        <w:rPr>
          <w:rFonts w:ascii="Verdana" w:hAnsi="Verdana" w:cs="Times New Roman"/>
          <w:i/>
          <w:sz w:val="20"/>
          <w:szCs w:val="20"/>
          <w:lang w:val="en-US"/>
        </w:rPr>
        <w:t>risk management, performance measurement and responsibility</w:t>
      </w:r>
      <w:r w:rsidR="00552A2A">
        <w:rPr>
          <w:rFonts w:ascii="Verdana" w:hAnsi="Verdana" w:cs="Times New Roman"/>
          <w:sz w:val="20"/>
          <w:szCs w:val="20"/>
          <w:lang w:val="en-US"/>
        </w:rPr>
        <w:t xml:space="preserve">. Webb et al. </w:t>
      </w:r>
      <w:r w:rsidR="000E223B" w:rsidRPr="000E223B">
        <w:rPr>
          <w:rFonts w:ascii="Verdana" w:hAnsi="Verdana" w:cs="Times New Roman"/>
          <w:sz w:val="20"/>
          <w:szCs w:val="20"/>
          <w:lang w:val="en-US"/>
        </w:rPr>
        <w:t xml:space="preserve">(2006) identify </w:t>
      </w:r>
      <w:r w:rsidR="000E223B" w:rsidRPr="000E223B">
        <w:rPr>
          <w:rFonts w:ascii="Verdana" w:hAnsi="Verdana" w:cs="Times New Roman"/>
          <w:i/>
          <w:sz w:val="20"/>
          <w:szCs w:val="20"/>
          <w:lang w:val="en-US"/>
        </w:rPr>
        <w:t xml:space="preserve">strategic alignment, delivery of business value, risk and performance management </w:t>
      </w:r>
      <w:r w:rsidR="000E223B" w:rsidRPr="000E223B">
        <w:rPr>
          <w:rFonts w:ascii="Verdana" w:hAnsi="Verdana" w:cs="Times New Roman"/>
          <w:sz w:val="20"/>
          <w:szCs w:val="20"/>
          <w:lang w:val="en-US"/>
        </w:rPr>
        <w:t xml:space="preserve">as being the elements of which most IT governance literature focuses on. </w:t>
      </w:r>
    </w:p>
    <w:p w:rsidR="000E223B" w:rsidRPr="000E223B" w:rsidRDefault="000E223B" w:rsidP="000E223B">
      <w:pPr>
        <w:tabs>
          <w:tab w:val="left" w:pos="7230"/>
        </w:tabs>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Van Grembergen et al. (2004) identify strategic alignment and business value as 2 important elements in IT governance. They define strategic alignment as (pp.7): “</w:t>
      </w:r>
      <w:r w:rsidRPr="000E223B">
        <w:rPr>
          <w:rFonts w:ascii="Verdana" w:hAnsi="Verdana" w:cs="Times New Roman"/>
          <w:i/>
          <w:sz w:val="20"/>
          <w:szCs w:val="20"/>
          <w:lang w:val="en-US"/>
        </w:rPr>
        <w:t>the process and goal of achieving competitive advantage through developing and sustaining a symbiotic relationship between business and IT".</w:t>
      </w:r>
      <w:r w:rsidRPr="000E223B">
        <w:rPr>
          <w:rFonts w:ascii="Verdana" w:hAnsi="Verdana" w:cs="Times New Roman"/>
          <w:sz w:val="20"/>
          <w:szCs w:val="20"/>
          <w:lang w:val="en-US"/>
        </w:rPr>
        <w:t xml:space="preserve"> For Webb et al. (2006), business value is delivered by “</w:t>
      </w:r>
      <w:r w:rsidRPr="000E223B">
        <w:rPr>
          <w:rFonts w:ascii="Verdana" w:hAnsi="Verdana" w:cs="Times New Roman"/>
          <w:i/>
          <w:sz w:val="20"/>
          <w:szCs w:val="20"/>
          <w:lang w:val="en-US"/>
        </w:rPr>
        <w:t xml:space="preserve">exploring opportunities and maximizing benefits </w:t>
      </w:r>
      <w:r w:rsidRPr="000E223B">
        <w:rPr>
          <w:rFonts w:ascii="Verdana" w:hAnsi="Verdana" w:cs="Times New Roman"/>
          <w:sz w:val="20"/>
          <w:szCs w:val="20"/>
          <w:lang w:val="en-US"/>
        </w:rPr>
        <w:t xml:space="preserve">“. </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lastRenderedPageBreak/>
        <w:t xml:space="preserve">Decision-making as the core of IT governance entails unlocking a number of steps such as having a solid understanding of what the underlying model enabling these decisions is and assessing the consequences which might be associated with it. Once this model has been created and understood, we can decide and plan how the decision has performed according to the established baseline by means of objectives and measurements. The scope of the decision-making process involves a short or long term vision and can be divided in strategic and tactical rulings on key elements composing an IT governance framework. </w:t>
      </w:r>
    </w:p>
    <w:p w:rsidR="000E223B" w:rsidRPr="000E223B" w:rsidRDefault="000E223B" w:rsidP="000E223B">
      <w:pPr>
        <w:pStyle w:val="Heading1"/>
        <w:spacing w:line="360" w:lineRule="auto"/>
        <w:jc w:val="both"/>
        <w:rPr>
          <w:rFonts w:ascii="Verdana" w:hAnsi="Verdana" w:cs="Times New Roman"/>
          <w:sz w:val="20"/>
          <w:szCs w:val="20"/>
          <w:lang w:val="en-US"/>
        </w:rPr>
      </w:pPr>
      <w:bookmarkStart w:id="31" w:name="_Toc410216297"/>
      <w:bookmarkStart w:id="32" w:name="_Toc423597497"/>
      <w:r w:rsidRPr="000E223B">
        <w:rPr>
          <w:rFonts w:ascii="Verdana" w:hAnsi="Verdana" w:cs="Times New Roman"/>
          <w:sz w:val="20"/>
          <w:szCs w:val="20"/>
          <w:lang w:val="en-US"/>
        </w:rPr>
        <w:t>2.4 Building an IT governance framework</w:t>
      </w:r>
      <w:bookmarkEnd w:id="31"/>
      <w:bookmarkEnd w:id="32"/>
      <w:r w:rsidRPr="000E223B">
        <w:rPr>
          <w:rFonts w:ascii="Verdana" w:hAnsi="Verdana" w:cs="Times New Roman"/>
          <w:sz w:val="20"/>
          <w:szCs w:val="20"/>
          <w:lang w:val="en-US"/>
        </w:rPr>
        <w:t xml:space="preserve"> </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This section identifies and describes the components of an IT governance framework.</w:t>
      </w:r>
    </w:p>
    <w:p w:rsidR="000E223B" w:rsidRPr="000E223B" w:rsidRDefault="000E223B" w:rsidP="000E223B">
      <w:pPr>
        <w:spacing w:line="360" w:lineRule="auto"/>
        <w:jc w:val="both"/>
        <w:rPr>
          <w:rFonts w:ascii="Verdana" w:hAnsi="Verdana" w:cs="Times New Roman"/>
          <w:sz w:val="20"/>
          <w:szCs w:val="20"/>
          <w:lang w:val="en-US"/>
        </w:rPr>
      </w:pPr>
    </w:p>
    <w:p w:rsidR="000E223B" w:rsidRPr="00FB5C1D" w:rsidRDefault="000E223B" w:rsidP="000E223B">
      <w:pPr>
        <w:pStyle w:val="Heading2"/>
        <w:spacing w:line="360" w:lineRule="auto"/>
        <w:jc w:val="both"/>
        <w:rPr>
          <w:rFonts w:ascii="Verdana" w:hAnsi="Verdana" w:cs="Times New Roman"/>
          <w:sz w:val="20"/>
          <w:szCs w:val="20"/>
        </w:rPr>
      </w:pPr>
      <w:bookmarkStart w:id="33" w:name="_Toc410216298"/>
      <w:bookmarkStart w:id="34" w:name="_Toc423597498"/>
      <w:r w:rsidRPr="00FB5C1D">
        <w:rPr>
          <w:rFonts w:ascii="Verdana" w:hAnsi="Verdana" w:cs="Times New Roman"/>
          <w:sz w:val="20"/>
          <w:szCs w:val="20"/>
        </w:rPr>
        <w:t xml:space="preserve">2.4.1 </w:t>
      </w:r>
      <w:bookmarkEnd w:id="33"/>
      <w:r w:rsidRPr="00FB5C1D">
        <w:rPr>
          <w:rFonts w:ascii="Verdana" w:hAnsi="Verdana" w:cs="Times New Roman"/>
          <w:sz w:val="20"/>
          <w:szCs w:val="20"/>
        </w:rPr>
        <w:t>IT governance framework outline</w:t>
      </w:r>
      <w:bookmarkEnd w:id="34"/>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r w:rsidRPr="00FB5C1D">
        <w:rPr>
          <w:rFonts w:ascii="Verdana" w:hAnsi="Verdana" w:cs="Times New Roman"/>
          <w:sz w:val="20"/>
          <w:szCs w:val="20"/>
        </w:rPr>
        <w:t>Peterson is mentioned across literature as developing the first IT governance framework based on 3 component</w:t>
      </w:r>
      <w:r w:rsidR="003D5F4B">
        <w:rPr>
          <w:rFonts w:ascii="Verdana" w:hAnsi="Verdana" w:cs="Times New Roman"/>
          <w:sz w:val="20"/>
          <w:szCs w:val="20"/>
        </w:rPr>
        <w:t>s (Lewis &amp; Millar, 2009; Nassiri et al.</w:t>
      </w:r>
      <w:r w:rsidRPr="00FB5C1D">
        <w:rPr>
          <w:rFonts w:ascii="Verdana" w:hAnsi="Verdana" w:cs="Times New Roman"/>
          <w:sz w:val="20"/>
          <w:szCs w:val="20"/>
        </w:rPr>
        <w:t xml:space="preserve">, 2009): </w:t>
      </w:r>
      <w:r w:rsidRPr="00FB5C1D">
        <w:rPr>
          <w:rFonts w:ascii="Verdana" w:hAnsi="Verdana" w:cs="Times New Roman"/>
          <w:i/>
          <w:sz w:val="20"/>
          <w:szCs w:val="20"/>
        </w:rPr>
        <w:t xml:space="preserve">structural capabilities, process capabilities </w:t>
      </w:r>
      <w:r w:rsidRPr="00FB5C1D">
        <w:rPr>
          <w:rFonts w:ascii="Verdana" w:hAnsi="Verdana" w:cs="Times New Roman"/>
          <w:sz w:val="20"/>
          <w:szCs w:val="20"/>
        </w:rPr>
        <w:t>and</w:t>
      </w:r>
      <w:r w:rsidRPr="00FB5C1D">
        <w:rPr>
          <w:rFonts w:ascii="Verdana" w:hAnsi="Verdana" w:cs="Times New Roman"/>
          <w:i/>
          <w:sz w:val="20"/>
          <w:szCs w:val="20"/>
        </w:rPr>
        <w:t xml:space="preserve"> relational capabilities</w:t>
      </w:r>
      <w:r w:rsidRPr="00FB5C1D">
        <w:rPr>
          <w:rFonts w:ascii="Verdana" w:hAnsi="Verdana" w:cs="Times New Roman"/>
          <w:sz w:val="20"/>
          <w:szCs w:val="20"/>
        </w:rPr>
        <w:t>. Put briefly, structural capabilities refer to people and organizational design of responsibility and functions, processes refer to the domains on which decision-making is done while relational capabilities refer to the means used to “</w:t>
      </w:r>
      <w:r w:rsidRPr="00FB5C1D">
        <w:rPr>
          <w:rFonts w:ascii="Verdana" w:hAnsi="Verdana" w:cs="Times New Roman"/>
          <w:i/>
          <w:sz w:val="20"/>
          <w:szCs w:val="20"/>
        </w:rPr>
        <w:t>bridge the gap between business and IT</w:t>
      </w:r>
      <w:r w:rsidRPr="00FB5C1D">
        <w:rPr>
          <w:rFonts w:ascii="Verdana" w:hAnsi="Verdana" w:cs="Times New Roman"/>
          <w:sz w:val="20"/>
          <w:szCs w:val="20"/>
        </w:rPr>
        <w:t>” (Nassiri et al., 2009, pp.218).</w:t>
      </w: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Van Grembergen et al.(2004) further develops the work of Peterson and Weil and  builds a comprehensive IT governance framework composed of : </w:t>
      </w:r>
      <w:r w:rsidRPr="00FB5C1D">
        <w:rPr>
          <w:rFonts w:ascii="Verdana" w:hAnsi="Verdana" w:cs="Times New Roman"/>
          <w:i/>
          <w:sz w:val="20"/>
          <w:szCs w:val="20"/>
        </w:rPr>
        <w:t>structures, processes and relational mechanisms.</w:t>
      </w:r>
      <w:r w:rsidRPr="00FB5C1D">
        <w:rPr>
          <w:rFonts w:ascii="Verdana" w:hAnsi="Verdana" w:cs="Times New Roman"/>
          <w:sz w:val="20"/>
          <w:szCs w:val="20"/>
        </w:rPr>
        <w:t xml:space="preserve"> Each of these elements will be presented in the following sections.  </w:t>
      </w: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p>
    <w:p w:rsidR="000E223B" w:rsidRPr="00FB5C1D" w:rsidRDefault="000E223B" w:rsidP="000E223B">
      <w:pPr>
        <w:pStyle w:val="Heading2"/>
        <w:spacing w:line="360" w:lineRule="auto"/>
        <w:jc w:val="both"/>
        <w:rPr>
          <w:rFonts w:ascii="Verdana" w:hAnsi="Verdana" w:cs="Times New Roman"/>
          <w:sz w:val="20"/>
          <w:szCs w:val="20"/>
        </w:rPr>
      </w:pPr>
      <w:bookmarkStart w:id="35" w:name="_Toc410216299"/>
      <w:bookmarkStart w:id="36" w:name="_Toc423597499"/>
      <w:r w:rsidRPr="00FB5C1D">
        <w:rPr>
          <w:rFonts w:ascii="Verdana" w:hAnsi="Verdana" w:cs="Times New Roman"/>
          <w:sz w:val="20"/>
          <w:szCs w:val="20"/>
        </w:rPr>
        <w:t>2.4.2 Structures</w:t>
      </w:r>
      <w:bookmarkEnd w:id="35"/>
      <w:bookmarkEnd w:id="36"/>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r w:rsidRPr="00FB5C1D">
        <w:rPr>
          <w:rFonts w:ascii="Verdana" w:hAnsi="Verdana" w:cs="Times New Roman"/>
          <w:sz w:val="20"/>
          <w:szCs w:val="20"/>
        </w:rPr>
        <w:t>Structures refer to interactions between organizational levels and departments, as well as accountabilities and authority regarding policymaking and supervisory plans and strategies. Van Grembergen et al.(2004), distinguishes between 2 integration strategies at tactic and mechanisms level : tactics are more concerned to the positioning of programs authority at corporate level while mechanisms distil these policies in plans, rules, guidelines and tasks. The manner in which the 2 levels collaborate with each other depends on the IT organization structure and to how the level of authority regarding IT decision-making moves away or towards a corporate Information Systems strategy (centralized), to a divisional strategy (decentralized) or rather to line management (federated) (Webb et al., 2006).</w:t>
      </w: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r w:rsidRPr="00FB5C1D">
        <w:rPr>
          <w:rFonts w:ascii="Verdana" w:hAnsi="Verdana" w:cs="Times New Roman"/>
          <w:sz w:val="20"/>
          <w:szCs w:val="20"/>
        </w:rPr>
        <w:lastRenderedPageBreak/>
        <w:t xml:space="preserve"> Figure 2.2 shows the 2 different organizational models which may influence the choice between a centralized and decentralized organization. </w:t>
      </w: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r w:rsidRPr="00FB5C1D">
        <w:rPr>
          <w:rFonts w:ascii="Verdana" w:hAnsi="Verdana" w:cs="Times New Roman"/>
          <w:noProof/>
          <w:sz w:val="20"/>
          <w:szCs w:val="20"/>
          <w:lang w:val="en-GB" w:eastAsia="en-GB"/>
        </w:rPr>
        <w:drawing>
          <wp:anchor distT="0" distB="0" distL="114300" distR="114300" simplePos="0" relativeHeight="251614720" behindDoc="0" locked="0" layoutInCell="1" allowOverlap="1" wp14:anchorId="1F06EB65" wp14:editId="67813624">
            <wp:simplePos x="0" y="0"/>
            <wp:positionH relativeFrom="column">
              <wp:posOffset>1066800</wp:posOffset>
            </wp:positionH>
            <wp:positionV relativeFrom="paragraph">
              <wp:posOffset>19685</wp:posOffset>
            </wp:positionV>
            <wp:extent cx="3733800" cy="1667510"/>
            <wp:effectExtent l="19050" t="19050" r="19050" b="279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733800" cy="16675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p>
    <w:p w:rsidR="000E223B" w:rsidRDefault="000E223B" w:rsidP="000E223B">
      <w:pPr>
        <w:pStyle w:val="ListParagraph"/>
        <w:tabs>
          <w:tab w:val="left" w:pos="720"/>
          <w:tab w:val="left" w:pos="1170"/>
        </w:tabs>
        <w:spacing w:line="360" w:lineRule="auto"/>
        <w:ind w:left="0"/>
        <w:jc w:val="both"/>
        <w:rPr>
          <w:rFonts w:ascii="Verdana" w:hAnsi="Verdana" w:cs="Times New Roman"/>
          <w:sz w:val="20"/>
          <w:szCs w:val="20"/>
        </w:rPr>
      </w:pPr>
    </w:p>
    <w:p w:rsidR="000E223B" w:rsidRPr="00753959" w:rsidRDefault="000E223B" w:rsidP="000E223B">
      <w:pPr>
        <w:pStyle w:val="ListParagraph"/>
        <w:tabs>
          <w:tab w:val="left" w:pos="720"/>
          <w:tab w:val="left" w:pos="1170"/>
        </w:tabs>
        <w:spacing w:line="360" w:lineRule="auto"/>
        <w:ind w:left="0"/>
        <w:jc w:val="center"/>
        <w:rPr>
          <w:rFonts w:ascii="Verdana" w:hAnsi="Verdana" w:cs="Times New Roman"/>
          <w:sz w:val="18"/>
          <w:szCs w:val="18"/>
        </w:rPr>
      </w:pPr>
      <w:r w:rsidRPr="00753959">
        <w:rPr>
          <w:rFonts w:ascii="Verdana" w:hAnsi="Verdana" w:cs="Times New Roman"/>
          <w:sz w:val="18"/>
          <w:szCs w:val="18"/>
        </w:rPr>
        <w:t>Figure 2.2 Determinants of centralized/decentralized IT organization (Van Grembergen</w:t>
      </w:r>
      <w:r w:rsidR="00FC6A67" w:rsidRPr="00753959">
        <w:rPr>
          <w:rFonts w:ascii="Verdana" w:hAnsi="Verdana" w:cs="Times New Roman"/>
          <w:sz w:val="18"/>
          <w:szCs w:val="18"/>
        </w:rPr>
        <w:t>, De Haes &amp; Guldentops</w:t>
      </w:r>
      <w:r w:rsidRPr="00753959">
        <w:rPr>
          <w:rFonts w:ascii="Verdana" w:hAnsi="Verdana" w:cs="Times New Roman"/>
          <w:sz w:val="18"/>
          <w:szCs w:val="18"/>
        </w:rPr>
        <w:t>, n.d, pp. 25)</w:t>
      </w: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For Van Grembergen et al.(2004), it is the Board or executive management who is to communicate, in a clear manner, what the different roles and responsibilities of IT governance are and assign accountabilities for the tasks associated with it. </w:t>
      </w: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r w:rsidRPr="00FB5C1D">
        <w:rPr>
          <w:rFonts w:ascii="Verdana" w:hAnsi="Verdana" w:cs="Times New Roman"/>
          <w:sz w:val="20"/>
          <w:szCs w:val="20"/>
        </w:rPr>
        <w:t>Another such structure is the</w:t>
      </w:r>
      <w:r w:rsidRPr="00FB5C1D">
        <w:rPr>
          <w:rFonts w:ascii="Verdana" w:hAnsi="Verdana" w:cs="Times New Roman"/>
          <w:i/>
          <w:sz w:val="20"/>
          <w:szCs w:val="20"/>
        </w:rPr>
        <w:t xml:space="preserve"> IT strategy and steering committees</w:t>
      </w:r>
      <w:r w:rsidRPr="00FB5C1D">
        <w:rPr>
          <w:rFonts w:ascii="Verdana" w:hAnsi="Verdana" w:cs="Times New Roman"/>
          <w:sz w:val="20"/>
          <w:szCs w:val="20"/>
        </w:rPr>
        <w:t xml:space="preserve"> which supervise areas such as audit, compensation or acquisition. In this context, the 2 committees should help the Board in all enterprise IT related matters with the difference between the 2 being that the strategy committee advises and provides input to strategic IT issues while the steering committee runs day-to-day operations of IT service delivery. </w:t>
      </w: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p>
    <w:p w:rsidR="000E223B" w:rsidRPr="00FB5C1D" w:rsidRDefault="000E223B" w:rsidP="000E223B">
      <w:pPr>
        <w:pStyle w:val="Heading2"/>
        <w:spacing w:line="360" w:lineRule="auto"/>
        <w:jc w:val="both"/>
        <w:rPr>
          <w:rFonts w:ascii="Verdana" w:hAnsi="Verdana" w:cs="Times New Roman"/>
          <w:sz w:val="20"/>
          <w:szCs w:val="20"/>
        </w:rPr>
      </w:pPr>
      <w:bookmarkStart w:id="37" w:name="_Toc410216300"/>
      <w:bookmarkStart w:id="38" w:name="_Toc423597500"/>
      <w:r w:rsidRPr="00FB5C1D">
        <w:rPr>
          <w:rFonts w:ascii="Verdana" w:hAnsi="Verdana" w:cs="Times New Roman"/>
          <w:sz w:val="20"/>
          <w:szCs w:val="20"/>
        </w:rPr>
        <w:t>2.4.3 Processes</w:t>
      </w:r>
      <w:bookmarkEnd w:id="37"/>
      <w:bookmarkEnd w:id="38"/>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Processes help in shifting from governance areas to management ones and refer to the actual implementation, monitoring and control of policies and guidelines established at corporate level. This is accomplished by using methods, frameworks and procedures specialized in translating high-level IT governance objectives in detailed agreements, measures , methods, procedures and indicators. </w:t>
      </w: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Among the processes mentioned by Van Grembergen et al.(2004, pp.25), </w:t>
      </w:r>
      <w:r w:rsidRPr="00FB5C1D">
        <w:rPr>
          <w:rFonts w:ascii="Verdana" w:hAnsi="Verdana" w:cs="Times New Roman"/>
          <w:i/>
          <w:sz w:val="20"/>
          <w:szCs w:val="20"/>
        </w:rPr>
        <w:t>balanced scorecards</w:t>
      </w:r>
      <w:r w:rsidRPr="00FB5C1D">
        <w:rPr>
          <w:rFonts w:ascii="Verdana" w:hAnsi="Verdana" w:cs="Times New Roman"/>
          <w:sz w:val="20"/>
          <w:szCs w:val="20"/>
        </w:rPr>
        <w:t xml:space="preserve"> link a firm’s financial evaluation to measures concerning customer satisfaction, internal processes and innovation. In the context of IT, the authors have developed the IT balanced scorecard which they describe as :</w:t>
      </w: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p>
    <w:p w:rsidR="000E223B" w:rsidRPr="00D46DD3" w:rsidRDefault="000E223B" w:rsidP="000E223B">
      <w:pPr>
        <w:pStyle w:val="ListParagraph"/>
        <w:tabs>
          <w:tab w:val="left" w:pos="720"/>
          <w:tab w:val="left" w:pos="1170"/>
        </w:tabs>
        <w:spacing w:line="360" w:lineRule="auto"/>
        <w:ind w:left="284"/>
        <w:jc w:val="both"/>
        <w:rPr>
          <w:rFonts w:ascii="Verdana" w:hAnsi="Verdana" w:cs="Times New Roman"/>
          <w:sz w:val="20"/>
          <w:szCs w:val="20"/>
        </w:rPr>
      </w:pPr>
      <w:r w:rsidRPr="00D46DD3">
        <w:rPr>
          <w:rFonts w:ascii="Verdana" w:hAnsi="Verdana" w:cs="Times New Roman"/>
          <w:sz w:val="20"/>
          <w:szCs w:val="20"/>
        </w:rPr>
        <w:t xml:space="preserve">building the foundation for delivery and continuous learning and growth (future orientation perspective) is an enabler for carrying out the roles of the IT divisions’ mission (operational excellence perspective) that is in turn an enabler for measuring </w:t>
      </w:r>
      <w:r w:rsidRPr="00D46DD3">
        <w:rPr>
          <w:rFonts w:ascii="Verdana" w:hAnsi="Verdana" w:cs="Times New Roman"/>
          <w:sz w:val="20"/>
          <w:szCs w:val="20"/>
        </w:rPr>
        <w:lastRenderedPageBreak/>
        <w:t xml:space="preserve">up to business expectations (customer expectations perspective) that eventually must lead to ensuring effective IT governance (corporate contribution perspective) </w:t>
      </w: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Van Grembergen et al.(2004) continue with mentioning </w:t>
      </w:r>
      <w:r w:rsidRPr="00FB5C1D">
        <w:rPr>
          <w:rFonts w:ascii="Verdana" w:hAnsi="Verdana" w:cs="Times New Roman"/>
          <w:i/>
          <w:sz w:val="20"/>
          <w:szCs w:val="20"/>
        </w:rPr>
        <w:t xml:space="preserve">strategic information systems planning </w:t>
      </w:r>
      <w:r w:rsidRPr="00FB5C1D">
        <w:rPr>
          <w:rFonts w:ascii="Verdana" w:hAnsi="Verdana" w:cs="Times New Roman"/>
          <w:sz w:val="20"/>
          <w:szCs w:val="20"/>
        </w:rPr>
        <w:t xml:space="preserve">which is concerned with business-IT alignment, positioning of IT as an enterprise advantage, management of IT resources, technology policies and architectures. They also refer to </w:t>
      </w:r>
      <w:r w:rsidRPr="00FB5C1D">
        <w:rPr>
          <w:rFonts w:ascii="Verdana" w:hAnsi="Verdana" w:cs="Times New Roman"/>
          <w:i/>
          <w:sz w:val="20"/>
          <w:szCs w:val="20"/>
        </w:rPr>
        <w:t>service level agreements</w:t>
      </w:r>
      <w:r w:rsidRPr="00FB5C1D">
        <w:rPr>
          <w:rFonts w:ascii="Verdana" w:hAnsi="Verdana" w:cs="Times New Roman"/>
          <w:sz w:val="20"/>
          <w:szCs w:val="20"/>
        </w:rPr>
        <w:t xml:space="preserve"> which define the accepted levels of service by users and the key performance indicators defined to measure them. </w:t>
      </w: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Regarding the existence of processes for IT investment decisions, </w:t>
      </w:r>
      <w:r w:rsidRPr="00FB5C1D">
        <w:rPr>
          <w:rFonts w:ascii="Verdana" w:hAnsi="Verdana" w:cs="Times New Roman"/>
          <w:i/>
          <w:sz w:val="20"/>
          <w:szCs w:val="20"/>
        </w:rPr>
        <w:t>information economics</w:t>
      </w:r>
      <w:r w:rsidRPr="00FB5C1D">
        <w:rPr>
          <w:rFonts w:ascii="Verdana" w:hAnsi="Verdana" w:cs="Times New Roman"/>
          <w:sz w:val="20"/>
          <w:szCs w:val="20"/>
        </w:rPr>
        <w:t xml:space="preserve"> refers to a scoring technique based on the return on investment of a project and other “</w:t>
      </w:r>
      <w:r w:rsidRPr="00FB5C1D">
        <w:rPr>
          <w:rFonts w:ascii="Verdana" w:hAnsi="Verdana" w:cs="Times New Roman"/>
          <w:i/>
          <w:sz w:val="20"/>
          <w:szCs w:val="20"/>
        </w:rPr>
        <w:t>non-tangibles</w:t>
      </w:r>
      <w:r w:rsidRPr="00FB5C1D">
        <w:rPr>
          <w:rFonts w:ascii="Verdana" w:hAnsi="Verdana" w:cs="Times New Roman"/>
          <w:sz w:val="20"/>
          <w:szCs w:val="20"/>
        </w:rPr>
        <w:t xml:space="preserve">” (Van Grembergen et al., 2004, pp.28) which are considered as useful in the evaluation and selection of IT projects. </w:t>
      </w:r>
    </w:p>
    <w:p w:rsidR="000E223B" w:rsidRPr="00FB5C1D" w:rsidRDefault="000E223B" w:rsidP="000E223B">
      <w:pPr>
        <w:pStyle w:val="Heading3"/>
        <w:spacing w:line="360" w:lineRule="auto"/>
        <w:jc w:val="both"/>
        <w:rPr>
          <w:rFonts w:ascii="Verdana" w:hAnsi="Verdana" w:cs="Times New Roman"/>
          <w:sz w:val="20"/>
          <w:szCs w:val="20"/>
        </w:rPr>
      </w:pPr>
      <w:bookmarkStart w:id="39" w:name="_Toc423597501"/>
      <w:r w:rsidRPr="00FB5C1D">
        <w:rPr>
          <w:rFonts w:ascii="Verdana" w:hAnsi="Verdana" w:cs="Times New Roman"/>
          <w:sz w:val="20"/>
          <w:szCs w:val="20"/>
        </w:rPr>
        <w:t>2.4.3.1 COBIT</w:t>
      </w:r>
      <w:bookmarkEnd w:id="39"/>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r w:rsidRPr="00FB5C1D">
        <w:rPr>
          <w:rFonts w:ascii="Verdana" w:hAnsi="Verdana" w:cs="Times New Roman"/>
          <w:i/>
          <w:sz w:val="20"/>
          <w:szCs w:val="20"/>
        </w:rPr>
        <w:t>Control Objectives for information &amp; related activities (COBIT)</w:t>
      </w:r>
      <w:r w:rsidRPr="00FB5C1D">
        <w:rPr>
          <w:rFonts w:ascii="Verdana" w:hAnsi="Verdana" w:cs="Times New Roman"/>
          <w:sz w:val="20"/>
          <w:szCs w:val="20"/>
        </w:rPr>
        <w:t xml:space="preserve">  comprises the resources needed for adopting an IT governance framework (Afzali, Azmayandesh, Nassiri &amp; Shabgahi, 2010, pp.47), the purpose of the framework being to “</w:t>
      </w:r>
      <w:r w:rsidRPr="00FB5C1D">
        <w:rPr>
          <w:rFonts w:ascii="Verdana" w:hAnsi="Verdana" w:cs="Times New Roman"/>
          <w:i/>
          <w:sz w:val="20"/>
          <w:szCs w:val="20"/>
        </w:rPr>
        <w:t>provide management and business process owners with an information technology governance model that helps in delivering value from IT and understanding and managing risks associated with it</w:t>
      </w:r>
      <w:r w:rsidRPr="00FB5C1D">
        <w:rPr>
          <w:rFonts w:ascii="Verdana" w:hAnsi="Verdana" w:cs="Times New Roman"/>
          <w:sz w:val="20"/>
          <w:szCs w:val="20"/>
        </w:rPr>
        <w:t xml:space="preserve">”. COBIT focuses on providing the necessary resources an organization needs to accomplish its business functions via 4 different actions : planning and organizing for the IT processes and resources, acquiring and implementing the capabilities needed to support business programs and day-to-day operations, delivering and supporting technological capabilities, monitoring and evaluating the effectiveness of the IT service in providing value to the business (Afzali et al., 2010). </w:t>
      </w: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p>
    <w:p w:rsidR="000E223B" w:rsidRPr="00FB5C1D" w:rsidRDefault="000E223B" w:rsidP="000E223B">
      <w:pPr>
        <w:pStyle w:val="Heading3"/>
        <w:spacing w:line="360" w:lineRule="auto"/>
        <w:jc w:val="both"/>
        <w:rPr>
          <w:rFonts w:ascii="Verdana" w:hAnsi="Verdana" w:cs="Times New Roman"/>
          <w:sz w:val="20"/>
          <w:szCs w:val="20"/>
        </w:rPr>
      </w:pPr>
      <w:bookmarkStart w:id="40" w:name="_Toc423597502"/>
      <w:r w:rsidRPr="00FB5C1D">
        <w:rPr>
          <w:rFonts w:ascii="Verdana" w:hAnsi="Verdana" w:cs="Times New Roman"/>
          <w:sz w:val="20"/>
          <w:szCs w:val="20"/>
        </w:rPr>
        <w:t>2.4.3.2 ITIL</w:t>
      </w:r>
      <w:bookmarkEnd w:id="40"/>
      <w:r w:rsidRPr="00FB5C1D">
        <w:rPr>
          <w:rFonts w:ascii="Verdana" w:hAnsi="Verdana" w:cs="Times New Roman"/>
          <w:sz w:val="20"/>
          <w:szCs w:val="20"/>
        </w:rPr>
        <w:t xml:space="preserve"> </w:t>
      </w: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r w:rsidRPr="00FB5C1D">
        <w:rPr>
          <w:rFonts w:ascii="Verdana" w:hAnsi="Verdana" w:cs="Times New Roman"/>
          <w:i/>
          <w:sz w:val="20"/>
          <w:szCs w:val="20"/>
        </w:rPr>
        <w:t>IT Infrastructure Library (ITIL)</w:t>
      </w:r>
      <w:r w:rsidRPr="00FB5C1D">
        <w:rPr>
          <w:rFonts w:ascii="Verdana" w:hAnsi="Verdana" w:cs="Times New Roman"/>
          <w:sz w:val="20"/>
          <w:szCs w:val="20"/>
        </w:rPr>
        <w:t xml:space="preserve"> focuses on IT service management from 2 viewpoints : organizational (people) and technical (system) : IT provides the guidelines on how to define, design, implement and maintain management processes for IT services. ITIL proposes 5 different approaches for IT management with the goal of aligning IT services to business needs and services : </w:t>
      </w:r>
      <w:r w:rsidRPr="00FB5C1D">
        <w:rPr>
          <w:rFonts w:ascii="Verdana" w:hAnsi="Verdana" w:cs="Times New Roman"/>
          <w:i/>
          <w:sz w:val="20"/>
          <w:szCs w:val="20"/>
        </w:rPr>
        <w:t>Service Strategy, Service Design, Service Transition, Service Operation and Continual Service Improvement</w:t>
      </w:r>
      <w:r w:rsidRPr="00FB5C1D">
        <w:rPr>
          <w:rFonts w:ascii="Verdana" w:hAnsi="Verdana" w:cs="Times New Roman"/>
          <w:sz w:val="20"/>
          <w:szCs w:val="20"/>
        </w:rPr>
        <w:t>.</w:t>
      </w: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p>
    <w:p w:rsidR="000E223B" w:rsidRPr="00FB5C1D" w:rsidRDefault="000E223B" w:rsidP="000E223B">
      <w:pPr>
        <w:pStyle w:val="Heading3"/>
        <w:spacing w:line="360" w:lineRule="auto"/>
        <w:jc w:val="both"/>
        <w:rPr>
          <w:rFonts w:ascii="Verdana" w:hAnsi="Verdana" w:cs="Times New Roman"/>
          <w:sz w:val="20"/>
          <w:szCs w:val="20"/>
        </w:rPr>
      </w:pPr>
      <w:bookmarkStart w:id="41" w:name="_Toc423597503"/>
      <w:r w:rsidRPr="00FB5C1D">
        <w:rPr>
          <w:rFonts w:ascii="Verdana" w:hAnsi="Verdana" w:cs="Times New Roman"/>
          <w:sz w:val="20"/>
          <w:szCs w:val="20"/>
        </w:rPr>
        <w:t>2.4.3.3 The strategy alignment model</w:t>
      </w:r>
      <w:bookmarkEnd w:id="41"/>
      <w:r w:rsidRPr="00FB5C1D">
        <w:rPr>
          <w:rFonts w:ascii="Verdana" w:hAnsi="Verdana" w:cs="Times New Roman"/>
          <w:sz w:val="20"/>
          <w:szCs w:val="20"/>
        </w:rPr>
        <w:t xml:space="preserve"> </w:t>
      </w: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It is common in literature to mention COBIT  in matters of IT governance or ITIL in terms of IT management as how well they align with the business objectives and the </w:t>
      </w:r>
      <w:r w:rsidRPr="00FB5C1D">
        <w:rPr>
          <w:rFonts w:ascii="Verdana" w:hAnsi="Verdana" w:cs="Times New Roman"/>
          <w:sz w:val="20"/>
          <w:szCs w:val="20"/>
        </w:rPr>
        <w:lastRenderedPageBreak/>
        <w:t xml:space="preserve">strategy and how well they position themselves in the </w:t>
      </w:r>
      <w:r w:rsidRPr="00FB5C1D">
        <w:rPr>
          <w:rFonts w:ascii="Verdana" w:hAnsi="Verdana" w:cs="Times New Roman"/>
          <w:i/>
          <w:sz w:val="20"/>
          <w:szCs w:val="20"/>
        </w:rPr>
        <w:t xml:space="preserve">Strategy Alignment </w:t>
      </w:r>
      <w:r w:rsidRPr="00FB5C1D">
        <w:rPr>
          <w:rFonts w:ascii="Verdana" w:hAnsi="Verdana" w:cs="Times New Roman"/>
          <w:sz w:val="20"/>
          <w:szCs w:val="20"/>
        </w:rPr>
        <w:t>model (originally developed by Henserson &amp; Venkatraman, 1993). Esmaili, Gardesh and Shadrokn Sikari (2010) mention the strategic alignment mode l (SAM) as the base in IT strategy research with a multitude of such models proposed in literature. The SAM is also one of the structures mentioned by Van Grembergen et al.(2004) in figure 2.3. The model was developed with the purpose of describing the relationship between business strategy and IT strategy on 2 axes of analysis.</w:t>
      </w: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r w:rsidRPr="00FB5C1D">
        <w:rPr>
          <w:rFonts w:ascii="Verdana" w:hAnsi="Verdana" w:cs="Times New Roman"/>
          <w:noProof/>
          <w:sz w:val="20"/>
          <w:szCs w:val="20"/>
          <w:lang w:val="en-GB" w:eastAsia="en-GB"/>
        </w:rPr>
        <w:drawing>
          <wp:anchor distT="0" distB="0" distL="114300" distR="114300" simplePos="0" relativeHeight="251619840" behindDoc="1" locked="0" layoutInCell="1" allowOverlap="1" wp14:anchorId="6306E29C" wp14:editId="1A306B38">
            <wp:simplePos x="0" y="0"/>
            <wp:positionH relativeFrom="column">
              <wp:posOffset>895350</wp:posOffset>
            </wp:positionH>
            <wp:positionV relativeFrom="paragraph">
              <wp:posOffset>101600</wp:posOffset>
            </wp:positionV>
            <wp:extent cx="3980815" cy="3014980"/>
            <wp:effectExtent l="19050" t="19050" r="19685" b="13970"/>
            <wp:wrapThrough wrapText="bothSides">
              <wp:wrapPolygon edited="0">
                <wp:start x="-103" y="-136"/>
                <wp:lineTo x="-103" y="21564"/>
                <wp:lineTo x="21603" y="21564"/>
                <wp:lineTo x="21603" y="-136"/>
                <wp:lineTo x="-103" y="-136"/>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980815" cy="30149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p>
    <w:p w:rsidR="000E223B" w:rsidRPr="005A4B10" w:rsidRDefault="000E223B" w:rsidP="000E223B">
      <w:pPr>
        <w:pStyle w:val="ListParagraph"/>
        <w:tabs>
          <w:tab w:val="left" w:pos="720"/>
          <w:tab w:val="left" w:pos="1170"/>
        </w:tabs>
        <w:spacing w:line="360" w:lineRule="auto"/>
        <w:ind w:left="0"/>
        <w:jc w:val="both"/>
        <w:rPr>
          <w:rFonts w:ascii="Verdana" w:hAnsi="Verdana" w:cs="Times New Roman"/>
          <w:sz w:val="20"/>
          <w:szCs w:val="20"/>
        </w:rPr>
      </w:pPr>
    </w:p>
    <w:p w:rsidR="000E223B" w:rsidRPr="00753959" w:rsidRDefault="00753959" w:rsidP="00753959">
      <w:pPr>
        <w:pStyle w:val="ListParagraph"/>
        <w:tabs>
          <w:tab w:val="left" w:pos="720"/>
          <w:tab w:val="left" w:pos="1170"/>
        </w:tabs>
        <w:spacing w:line="360" w:lineRule="auto"/>
        <w:ind w:left="0"/>
        <w:rPr>
          <w:rFonts w:ascii="Verdana" w:hAnsi="Verdana" w:cs="Times New Roman"/>
          <w:sz w:val="18"/>
          <w:szCs w:val="18"/>
          <w:lang w:val="nl-BE"/>
        </w:rPr>
      </w:pPr>
      <w:r>
        <w:rPr>
          <w:rFonts w:ascii="Verdana" w:hAnsi="Verdana" w:cs="Times New Roman"/>
          <w:sz w:val="20"/>
          <w:szCs w:val="20"/>
        </w:rPr>
        <w:tab/>
      </w:r>
      <w:r w:rsidRPr="00753959">
        <w:rPr>
          <w:rFonts w:ascii="Verdana" w:hAnsi="Verdana" w:cs="Times New Roman"/>
          <w:sz w:val="18"/>
          <w:szCs w:val="18"/>
        </w:rPr>
        <w:tab/>
      </w:r>
      <w:r w:rsidR="000E223B" w:rsidRPr="00753959">
        <w:rPr>
          <w:rFonts w:ascii="Verdana" w:hAnsi="Verdana" w:cs="Times New Roman"/>
          <w:sz w:val="18"/>
          <w:szCs w:val="18"/>
          <w:lang w:val="nl-BE"/>
        </w:rPr>
        <w:t>Figure 2.3 Strategic alignment model (Van Grembergen et al, n.d, pp. 8)</w:t>
      </w: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lang w:val="nl-BE"/>
        </w:rPr>
      </w:pP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The 2 axes of analysis are </w:t>
      </w:r>
      <w:r w:rsidRPr="00FB5C1D">
        <w:rPr>
          <w:rFonts w:ascii="Verdana" w:hAnsi="Verdana" w:cs="Times New Roman"/>
          <w:i/>
          <w:sz w:val="20"/>
          <w:szCs w:val="20"/>
        </w:rPr>
        <w:t>strategic fit</w:t>
      </w:r>
      <w:r w:rsidRPr="00FB5C1D">
        <w:rPr>
          <w:rFonts w:ascii="Verdana" w:hAnsi="Verdana" w:cs="Times New Roman"/>
          <w:sz w:val="20"/>
          <w:szCs w:val="20"/>
        </w:rPr>
        <w:t xml:space="preserve"> and </w:t>
      </w:r>
      <w:r w:rsidRPr="00FB5C1D">
        <w:rPr>
          <w:rFonts w:ascii="Verdana" w:hAnsi="Verdana" w:cs="Times New Roman"/>
          <w:i/>
          <w:sz w:val="20"/>
          <w:szCs w:val="20"/>
        </w:rPr>
        <w:t>functional integration</w:t>
      </w:r>
      <w:r w:rsidRPr="00FB5C1D">
        <w:rPr>
          <w:rFonts w:ascii="Verdana" w:hAnsi="Verdana" w:cs="Times New Roman"/>
          <w:sz w:val="20"/>
          <w:szCs w:val="20"/>
        </w:rPr>
        <w:t xml:space="preserve">. Strategic fit refers to positioning IT in an external and an internal environment. Externally, in the marketplace, IT consists of 3 domains : </w:t>
      </w:r>
      <w:r w:rsidRPr="00FB5C1D">
        <w:rPr>
          <w:rFonts w:ascii="Verdana" w:hAnsi="Verdana" w:cs="Times New Roman"/>
          <w:i/>
          <w:sz w:val="20"/>
          <w:szCs w:val="20"/>
        </w:rPr>
        <w:t xml:space="preserve">IT scope, systemic competencies </w:t>
      </w:r>
      <w:r w:rsidRPr="00FB5C1D">
        <w:rPr>
          <w:rFonts w:ascii="Verdana" w:hAnsi="Verdana" w:cs="Times New Roman"/>
          <w:sz w:val="20"/>
          <w:szCs w:val="20"/>
        </w:rPr>
        <w:t>and</w:t>
      </w:r>
      <w:r w:rsidRPr="00FB5C1D">
        <w:rPr>
          <w:rFonts w:ascii="Verdana" w:hAnsi="Verdana" w:cs="Times New Roman"/>
          <w:i/>
          <w:sz w:val="20"/>
          <w:szCs w:val="20"/>
        </w:rPr>
        <w:t xml:space="preserve"> IT governance</w:t>
      </w:r>
      <w:r w:rsidRPr="00FB5C1D">
        <w:rPr>
          <w:rFonts w:ascii="Verdana" w:hAnsi="Verdana" w:cs="Times New Roman"/>
          <w:sz w:val="20"/>
          <w:szCs w:val="20"/>
        </w:rPr>
        <w:t xml:space="preserve">. Internally, in the enterprise, IT is organized from an </w:t>
      </w:r>
      <w:r w:rsidRPr="00FB5C1D">
        <w:rPr>
          <w:rFonts w:ascii="Verdana" w:hAnsi="Verdana" w:cs="Times New Roman"/>
          <w:i/>
          <w:sz w:val="20"/>
          <w:szCs w:val="20"/>
        </w:rPr>
        <w:t>architecture</w:t>
      </w:r>
      <w:r w:rsidRPr="00FB5C1D">
        <w:rPr>
          <w:rFonts w:ascii="Verdana" w:hAnsi="Verdana" w:cs="Times New Roman"/>
          <w:sz w:val="20"/>
          <w:szCs w:val="20"/>
        </w:rPr>
        <w:t xml:space="preserve">, </w:t>
      </w:r>
      <w:r w:rsidRPr="00FB5C1D">
        <w:rPr>
          <w:rFonts w:ascii="Verdana" w:hAnsi="Verdana" w:cs="Times New Roman"/>
          <w:i/>
          <w:sz w:val="20"/>
          <w:szCs w:val="20"/>
        </w:rPr>
        <w:t>processes</w:t>
      </w:r>
      <w:r w:rsidRPr="00FB5C1D">
        <w:rPr>
          <w:rFonts w:ascii="Verdana" w:hAnsi="Verdana" w:cs="Times New Roman"/>
          <w:sz w:val="20"/>
          <w:szCs w:val="20"/>
        </w:rPr>
        <w:t xml:space="preserve"> and </w:t>
      </w:r>
      <w:r w:rsidRPr="00FB5C1D">
        <w:rPr>
          <w:rFonts w:ascii="Verdana" w:hAnsi="Verdana" w:cs="Times New Roman"/>
          <w:i/>
          <w:sz w:val="20"/>
          <w:szCs w:val="20"/>
        </w:rPr>
        <w:t>skills</w:t>
      </w:r>
      <w:r w:rsidRPr="00FB5C1D">
        <w:rPr>
          <w:rFonts w:ascii="Verdana" w:hAnsi="Verdana" w:cs="Times New Roman"/>
          <w:sz w:val="20"/>
          <w:szCs w:val="20"/>
        </w:rPr>
        <w:t xml:space="preserve"> point of view. The business counterpart of the diagram suggests that business strategy should be organized following the same axes to ensure for both consistency among roles and functions as well as for synergies between the 2 counterparts. </w:t>
      </w: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The functional integration dimension refers to how choices are being enforced in business and IT domains accordingly. Strategic integration allows for homogenous positioning of business and IT. Operational integration refers to the coherence between constraints and anticipations of the business and the actual ability of IT to deliver. </w:t>
      </w: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These domains are organized along the lines of 4 positions : </w:t>
      </w:r>
      <w:r w:rsidRPr="00FB5C1D">
        <w:rPr>
          <w:rFonts w:ascii="Verdana" w:hAnsi="Verdana" w:cs="Times New Roman"/>
          <w:i/>
          <w:sz w:val="20"/>
          <w:szCs w:val="20"/>
        </w:rPr>
        <w:t>strategy, technology, competitive potential and service level</w:t>
      </w:r>
      <w:r w:rsidRPr="00FB5C1D">
        <w:rPr>
          <w:rFonts w:ascii="Verdana" w:hAnsi="Verdana" w:cs="Times New Roman"/>
          <w:sz w:val="20"/>
          <w:szCs w:val="20"/>
        </w:rPr>
        <w:t xml:space="preserve">. The challenge is to continuously use alignment when making decisions in any of these domains. </w:t>
      </w: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p>
    <w:p w:rsidR="000E223B" w:rsidRPr="00FB5C1D" w:rsidRDefault="000E223B" w:rsidP="000E223B">
      <w:pPr>
        <w:pStyle w:val="Heading2"/>
        <w:spacing w:line="360" w:lineRule="auto"/>
        <w:jc w:val="both"/>
        <w:rPr>
          <w:rFonts w:ascii="Verdana" w:hAnsi="Verdana" w:cs="Times New Roman"/>
          <w:sz w:val="20"/>
          <w:szCs w:val="20"/>
        </w:rPr>
      </w:pPr>
      <w:bookmarkStart w:id="42" w:name="_Toc410216301"/>
      <w:bookmarkStart w:id="43" w:name="_Toc423597504"/>
      <w:r w:rsidRPr="00FB5C1D">
        <w:rPr>
          <w:rFonts w:ascii="Verdana" w:hAnsi="Verdana" w:cs="Times New Roman"/>
          <w:sz w:val="20"/>
          <w:szCs w:val="20"/>
        </w:rPr>
        <w:lastRenderedPageBreak/>
        <w:t>2.4.4 Relational mechanisms</w:t>
      </w:r>
      <w:bookmarkEnd w:id="42"/>
      <w:bookmarkEnd w:id="43"/>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Relational mechanisms refer to how the bridge between structures and processes is gapped in terms of interactions, collaboration and knowledge sharing. Van Grembergen et al. (2004) point to stakeholder participation and business-IT partnership as being facilitated by mechanisms such as strategic dialogue and shared learning. They also distinguish between stakeholder collaborations and partnerships on the one hand and cross-functional interactions between IT and the business on the other hand. </w:t>
      </w: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p>
    <w:p w:rsidR="000E223B" w:rsidRPr="00FB5C1D" w:rsidRDefault="000E223B" w:rsidP="000E223B">
      <w:pPr>
        <w:pStyle w:val="Heading2"/>
        <w:spacing w:line="360" w:lineRule="auto"/>
        <w:jc w:val="both"/>
        <w:rPr>
          <w:rFonts w:ascii="Verdana" w:hAnsi="Verdana" w:cs="Times New Roman"/>
          <w:sz w:val="20"/>
          <w:szCs w:val="20"/>
        </w:rPr>
      </w:pPr>
      <w:bookmarkStart w:id="44" w:name="_Toc423597505"/>
      <w:r w:rsidRPr="00FB5C1D">
        <w:rPr>
          <w:rFonts w:ascii="Verdana" w:hAnsi="Verdana" w:cs="Times New Roman"/>
          <w:sz w:val="20"/>
          <w:szCs w:val="20"/>
        </w:rPr>
        <w:t>2.4.5 IT Governance framework summary</w:t>
      </w:r>
      <w:bookmarkEnd w:id="44"/>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Figure 2.4 shows the framework of Van Grembergen et al.(n.d.) distributed accordingly in the identified elements and practices. </w:t>
      </w: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As a summary, </w:t>
      </w:r>
      <w:r w:rsidRPr="00FB5C1D">
        <w:rPr>
          <w:rFonts w:ascii="Verdana" w:hAnsi="Verdana" w:cs="Times New Roman"/>
          <w:i/>
          <w:sz w:val="20"/>
          <w:szCs w:val="20"/>
        </w:rPr>
        <w:t>structures</w:t>
      </w:r>
      <w:r w:rsidRPr="00FB5C1D">
        <w:rPr>
          <w:rFonts w:ascii="Verdana" w:hAnsi="Verdana" w:cs="Times New Roman"/>
          <w:sz w:val="20"/>
          <w:szCs w:val="20"/>
        </w:rPr>
        <w:t xml:space="preserve"> are important because they show who does what, in relation to whom and the different collaborations between functions as well as analyzing what kind of investment budgets are available (investment budget, continu</w:t>
      </w:r>
      <w:r>
        <w:rPr>
          <w:rFonts w:ascii="Verdana" w:hAnsi="Verdana" w:cs="Times New Roman"/>
          <w:sz w:val="20"/>
          <w:szCs w:val="20"/>
        </w:rPr>
        <w:t xml:space="preserve">ity budget, maintenance budget), </w:t>
      </w:r>
      <w:r w:rsidRPr="00FB5C1D">
        <w:rPr>
          <w:rFonts w:ascii="Verdana" w:hAnsi="Verdana" w:cs="Times New Roman"/>
          <w:sz w:val="20"/>
          <w:szCs w:val="20"/>
        </w:rPr>
        <w:t xml:space="preserve">who is responsible for each of them </w:t>
      </w:r>
      <w:r>
        <w:rPr>
          <w:rFonts w:ascii="Verdana" w:hAnsi="Verdana" w:cs="Times New Roman"/>
          <w:sz w:val="20"/>
          <w:szCs w:val="20"/>
        </w:rPr>
        <w:t xml:space="preserve">and </w:t>
      </w:r>
      <w:r w:rsidRPr="00FB5C1D">
        <w:rPr>
          <w:rFonts w:ascii="Verdana" w:hAnsi="Verdana" w:cs="Times New Roman"/>
          <w:sz w:val="20"/>
          <w:szCs w:val="20"/>
        </w:rPr>
        <w:t xml:space="preserve">which department or business unit they affect (De Haes &amp; Van Grembergen, 2005). </w:t>
      </w:r>
      <w:r w:rsidRPr="00FB5C1D">
        <w:rPr>
          <w:rFonts w:ascii="Verdana" w:hAnsi="Verdana" w:cs="Times New Roman"/>
          <w:i/>
          <w:sz w:val="20"/>
          <w:szCs w:val="20"/>
        </w:rPr>
        <w:t>Processes</w:t>
      </w:r>
      <w:r w:rsidRPr="00FB5C1D">
        <w:rPr>
          <w:rFonts w:ascii="Verdana" w:hAnsi="Verdana" w:cs="Times New Roman"/>
          <w:sz w:val="20"/>
          <w:szCs w:val="20"/>
        </w:rPr>
        <w:t xml:space="preserve"> refer to the effective management and implementation of IT governance structures and control frameworks (Webb et al., 2006) and to how projects are initiated, developed and maintained (De Haes &amp; Van Grembergen, 2005). </w:t>
      </w: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r w:rsidRPr="00FB5C1D">
        <w:rPr>
          <w:rFonts w:ascii="Verdana" w:hAnsi="Verdana" w:cs="Times New Roman"/>
          <w:i/>
          <w:sz w:val="20"/>
          <w:szCs w:val="20"/>
        </w:rPr>
        <w:t>Relational mechanisms</w:t>
      </w:r>
      <w:r w:rsidRPr="00FB5C1D">
        <w:rPr>
          <w:rFonts w:ascii="Verdana" w:hAnsi="Verdana" w:cs="Times New Roman"/>
          <w:sz w:val="20"/>
          <w:szCs w:val="20"/>
        </w:rPr>
        <w:t xml:space="preserve"> refer to the distinction made between business and IT people as ideally, for each business role an IT role should correspond in the role charter. The importance of relational mechanisms decreases over time because while elements like training and awareness campaigns are crucial with the first implementation of the governance practices, they lose their importance as soon as the practices become repeatable processes. </w:t>
      </w:r>
    </w:p>
    <w:p w:rsidR="000E223B" w:rsidRPr="00753959" w:rsidRDefault="000E223B" w:rsidP="000E223B">
      <w:pPr>
        <w:pStyle w:val="ListParagraph"/>
        <w:tabs>
          <w:tab w:val="left" w:pos="720"/>
          <w:tab w:val="left" w:pos="1170"/>
        </w:tabs>
        <w:spacing w:line="360" w:lineRule="auto"/>
        <w:ind w:left="0"/>
        <w:jc w:val="both"/>
        <w:rPr>
          <w:rFonts w:ascii="Verdana" w:hAnsi="Verdana" w:cs="Times New Roman"/>
          <w:sz w:val="18"/>
          <w:szCs w:val="18"/>
        </w:rPr>
      </w:pPr>
      <w:r w:rsidRPr="00FB5C1D">
        <w:rPr>
          <w:rFonts w:ascii="Verdana" w:hAnsi="Verdana" w:cs="Times New Roman"/>
          <w:noProof/>
          <w:sz w:val="20"/>
          <w:szCs w:val="20"/>
          <w:lang w:val="en-GB" w:eastAsia="en-GB"/>
        </w:rPr>
        <w:drawing>
          <wp:anchor distT="0" distB="0" distL="114300" distR="114300" simplePos="0" relativeHeight="251630080" behindDoc="1" locked="0" layoutInCell="1" allowOverlap="1" wp14:anchorId="4E8DF013" wp14:editId="363FF39A">
            <wp:simplePos x="0" y="0"/>
            <wp:positionH relativeFrom="column">
              <wp:posOffset>-85725</wp:posOffset>
            </wp:positionH>
            <wp:positionV relativeFrom="paragraph">
              <wp:posOffset>204470</wp:posOffset>
            </wp:positionV>
            <wp:extent cx="5943600" cy="3693160"/>
            <wp:effectExtent l="0" t="0" r="0" b="2540"/>
            <wp:wrapThrough wrapText="bothSides">
              <wp:wrapPolygon edited="0">
                <wp:start x="0" y="0"/>
                <wp:lineTo x="0" y="21503"/>
                <wp:lineTo x="21531" y="21503"/>
                <wp:lineTo x="2153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3693160"/>
                    </a:xfrm>
                    <a:prstGeom prst="rect">
                      <a:avLst/>
                    </a:prstGeom>
                  </pic:spPr>
                </pic:pic>
              </a:graphicData>
            </a:graphic>
            <wp14:sizeRelH relativeFrom="page">
              <wp14:pctWidth>0</wp14:pctWidth>
            </wp14:sizeRelH>
            <wp14:sizeRelV relativeFrom="page">
              <wp14:pctHeight>0</wp14:pctHeight>
            </wp14:sizeRelV>
          </wp:anchor>
        </w:drawing>
      </w:r>
    </w:p>
    <w:p w:rsidR="000E223B" w:rsidRPr="00753959" w:rsidRDefault="000E223B" w:rsidP="000E223B">
      <w:pPr>
        <w:pStyle w:val="ListParagraph"/>
        <w:tabs>
          <w:tab w:val="left" w:pos="720"/>
          <w:tab w:val="left" w:pos="1170"/>
        </w:tabs>
        <w:spacing w:line="360" w:lineRule="auto"/>
        <w:ind w:left="0"/>
        <w:jc w:val="center"/>
        <w:rPr>
          <w:rFonts w:ascii="Verdana" w:hAnsi="Verdana" w:cs="Times New Roman"/>
          <w:sz w:val="18"/>
          <w:szCs w:val="18"/>
        </w:rPr>
      </w:pPr>
      <w:r w:rsidRPr="00753959">
        <w:rPr>
          <w:rFonts w:ascii="Verdana" w:hAnsi="Verdana" w:cs="Times New Roman"/>
          <w:sz w:val="18"/>
          <w:szCs w:val="18"/>
        </w:rPr>
        <w:lastRenderedPageBreak/>
        <w:t>Figure 2.4 Structures, processes and relational mechanisms for IT governance (Van Grembergen et al., n.d , pp.22)</w:t>
      </w: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p>
    <w:p w:rsidR="000E223B" w:rsidRPr="000E223B" w:rsidRDefault="000E223B" w:rsidP="000E223B">
      <w:pPr>
        <w:pStyle w:val="Heading1"/>
        <w:spacing w:line="360" w:lineRule="auto"/>
        <w:jc w:val="both"/>
        <w:rPr>
          <w:rFonts w:ascii="Verdana" w:hAnsi="Verdana" w:cs="Times New Roman"/>
          <w:sz w:val="20"/>
          <w:szCs w:val="20"/>
          <w:lang w:val="en-US"/>
        </w:rPr>
      </w:pPr>
      <w:bookmarkStart w:id="45" w:name="_Toc410216302"/>
      <w:bookmarkStart w:id="46" w:name="_Toc423597506"/>
      <w:r w:rsidRPr="000E223B">
        <w:rPr>
          <w:rFonts w:ascii="Verdana" w:hAnsi="Verdana" w:cs="Times New Roman"/>
          <w:sz w:val="20"/>
          <w:szCs w:val="20"/>
          <w:lang w:val="en-US"/>
        </w:rPr>
        <w:t>2.5 Chapter conclusion</w:t>
      </w:r>
      <w:bookmarkEnd w:id="45"/>
      <w:bookmarkEnd w:id="46"/>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r w:rsidRPr="00FB5C1D">
        <w:rPr>
          <w:rFonts w:ascii="Verdana" w:hAnsi="Verdana" w:cs="Times New Roman"/>
          <w:sz w:val="20"/>
          <w:szCs w:val="20"/>
        </w:rPr>
        <w:t>The IT governance framework of Peterson (2003) such as described and developed by Van Grembergen et al. (2004) is widely used and referenced across specialized literature (Lewis &amp; Millar, 2009; Webb</w:t>
      </w:r>
      <w:r w:rsidR="00BE750C">
        <w:rPr>
          <w:rFonts w:ascii="Verdana" w:hAnsi="Verdana" w:cs="Times New Roman"/>
          <w:sz w:val="20"/>
          <w:szCs w:val="20"/>
        </w:rPr>
        <w:t xml:space="preserve"> et al.</w:t>
      </w:r>
      <w:r w:rsidRPr="00FB5C1D">
        <w:rPr>
          <w:rFonts w:ascii="Verdana" w:hAnsi="Verdana" w:cs="Times New Roman"/>
          <w:sz w:val="20"/>
          <w:szCs w:val="20"/>
        </w:rPr>
        <w:t xml:space="preserve">, 2006; Nassiri et al., 2009; Kuruzovich, Bassellier &amp; Sambamurthy, 2012)  and most authors build upon the structures, processes and relational mechanisms to build their own interpretations of the model with respect to different areas of research : for example, Kuruzovich et al. (2012) focus on defining and describing necessary IT governance structures. </w:t>
      </w: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The concept of governance in IT is, as presented, a vast concept and can refer to multiple types of elements and mechanisms, from environmental conditions to functions and scope of decision-making components. These features interact with each other by shaping and designing IT structures to enrich, establish and accomplish objectives and targets. It is complex to imagine IT governance without first establishing and identifying common corporate cross-enterprise objectives. This part however, is not explicitly mentioned in any of the existing research unless it refers to conveying the IT structures toward synergies and delivery of business value or competitive advantages. </w:t>
      </w: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r w:rsidRPr="00FB5C1D">
        <w:rPr>
          <w:rFonts w:ascii="Verdana" w:hAnsi="Verdana" w:cs="Times New Roman"/>
          <w:sz w:val="20"/>
          <w:szCs w:val="20"/>
        </w:rPr>
        <w:t>How can these objectives be accomplished and pursued ? What are the elements interacting in the realization of these indicators which can be derived and traced back to IT needs and capabilities ? Could these elements then, in turn, be categorized to fit in one of the identified structures, processes and relational mechanisms pertaining to an IT governance framework ?</w:t>
      </w: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We propose to derive, for each identified general objective, smaller objectives which can be accomplished by answering a number of questions pertaining to the where, who, how, what and why, such as presented by the framework described in this chapter. </w:t>
      </w: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Environmental conditions in which IT frameworks can exist determine </w:t>
      </w:r>
      <w:r w:rsidRPr="00FB5C1D">
        <w:rPr>
          <w:rFonts w:ascii="Verdana" w:hAnsi="Verdana" w:cs="Times New Roman"/>
          <w:i/>
          <w:sz w:val="20"/>
          <w:szCs w:val="20"/>
        </w:rPr>
        <w:t>where</w:t>
      </w:r>
      <w:r w:rsidRPr="00FB5C1D">
        <w:rPr>
          <w:rFonts w:ascii="Verdana" w:hAnsi="Verdana" w:cs="Times New Roman"/>
          <w:sz w:val="20"/>
          <w:szCs w:val="20"/>
        </w:rPr>
        <w:t xml:space="preserve"> we choose to place our IT function, be it low turbulence or high turbulence environments. Decision-making structures point to </w:t>
      </w:r>
      <w:r w:rsidRPr="00FB5C1D">
        <w:rPr>
          <w:rFonts w:ascii="Verdana" w:hAnsi="Verdana" w:cs="Times New Roman"/>
          <w:i/>
          <w:sz w:val="20"/>
          <w:szCs w:val="20"/>
        </w:rPr>
        <w:t>who</w:t>
      </w:r>
      <w:r w:rsidRPr="00FB5C1D">
        <w:rPr>
          <w:rFonts w:ascii="Verdana" w:hAnsi="Verdana" w:cs="Times New Roman"/>
          <w:sz w:val="20"/>
          <w:szCs w:val="20"/>
        </w:rPr>
        <w:t xml:space="preserve"> is responsible or accountable for IT governance policymaking. </w:t>
      </w:r>
      <w:r w:rsidRPr="00FB5C1D">
        <w:rPr>
          <w:rFonts w:ascii="Verdana" w:hAnsi="Verdana" w:cs="Times New Roman"/>
          <w:i/>
          <w:sz w:val="20"/>
          <w:szCs w:val="20"/>
        </w:rPr>
        <w:t>What</w:t>
      </w:r>
      <w:r w:rsidRPr="00FB5C1D">
        <w:rPr>
          <w:rFonts w:ascii="Verdana" w:hAnsi="Verdana" w:cs="Times New Roman"/>
          <w:sz w:val="20"/>
          <w:szCs w:val="20"/>
        </w:rPr>
        <w:t xml:space="preserve"> these policymaking themes should be and </w:t>
      </w:r>
      <w:r w:rsidRPr="00FB5C1D">
        <w:rPr>
          <w:rFonts w:ascii="Verdana" w:hAnsi="Verdana" w:cs="Times New Roman"/>
          <w:i/>
          <w:sz w:val="20"/>
          <w:szCs w:val="20"/>
        </w:rPr>
        <w:t>how</w:t>
      </w:r>
      <w:r w:rsidRPr="00FB5C1D">
        <w:rPr>
          <w:rFonts w:ascii="Verdana" w:hAnsi="Verdana" w:cs="Times New Roman"/>
          <w:sz w:val="20"/>
          <w:szCs w:val="20"/>
        </w:rPr>
        <w:t xml:space="preserve"> they should be implemented can be exposed by looking at both the scope and fields for decision-making. Conveying these elements together builds up the foundation of IT governance as a function, which answers the last </w:t>
      </w:r>
      <w:r w:rsidRPr="00FB5C1D">
        <w:rPr>
          <w:rFonts w:ascii="Verdana" w:hAnsi="Verdana" w:cs="Times New Roman"/>
          <w:i/>
          <w:sz w:val="20"/>
          <w:szCs w:val="20"/>
        </w:rPr>
        <w:t>why</w:t>
      </w:r>
      <w:r w:rsidRPr="00FB5C1D">
        <w:rPr>
          <w:rFonts w:ascii="Verdana" w:hAnsi="Verdana" w:cs="Times New Roman"/>
          <w:sz w:val="20"/>
          <w:szCs w:val="20"/>
        </w:rPr>
        <w:t xml:space="preserve"> question. </w:t>
      </w:r>
    </w:p>
    <w:p w:rsidR="000E223B" w:rsidRDefault="000E223B" w:rsidP="000E223B">
      <w:pPr>
        <w:pStyle w:val="ListParagraph"/>
        <w:tabs>
          <w:tab w:val="left" w:pos="720"/>
          <w:tab w:val="left" w:pos="1170"/>
        </w:tabs>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Once the foundation and rationale of IT governance has been set, it only remains to catalog its elements in the IT governance framework such as presented in the last section, keeping in sight how these elements should interact with each other and the </w:t>
      </w:r>
      <w:r w:rsidRPr="00FB5C1D">
        <w:rPr>
          <w:rFonts w:ascii="Verdana" w:hAnsi="Verdana" w:cs="Times New Roman"/>
          <w:sz w:val="20"/>
          <w:szCs w:val="20"/>
        </w:rPr>
        <w:lastRenderedPageBreak/>
        <w:t xml:space="preserve">organizational environment to ensure for the accomplishment of the mission, objectives and long term strategy of the business.  </w:t>
      </w:r>
    </w:p>
    <w:p w:rsidR="00820B38" w:rsidRDefault="00820B38" w:rsidP="000E223B">
      <w:pPr>
        <w:pStyle w:val="ListParagraph"/>
        <w:tabs>
          <w:tab w:val="left" w:pos="720"/>
          <w:tab w:val="left" w:pos="1170"/>
        </w:tabs>
        <w:spacing w:line="360" w:lineRule="auto"/>
        <w:ind w:left="0"/>
        <w:jc w:val="both"/>
        <w:rPr>
          <w:rFonts w:ascii="Verdana" w:hAnsi="Verdana" w:cs="Times New Roman"/>
          <w:sz w:val="20"/>
          <w:szCs w:val="20"/>
        </w:rPr>
        <w:sectPr w:rsidR="00820B38" w:rsidSect="00820B38">
          <w:type w:val="oddPage"/>
          <w:pgSz w:w="11906" w:h="16838"/>
          <w:pgMar w:top="1440" w:right="1440" w:bottom="1440" w:left="1440" w:header="708" w:footer="708" w:gutter="0"/>
          <w:cols w:space="708"/>
          <w:docGrid w:linePitch="360"/>
        </w:sectPr>
      </w:pPr>
    </w:p>
    <w:p w:rsidR="000E223B" w:rsidRPr="00B96519" w:rsidRDefault="000E223B" w:rsidP="000E223B">
      <w:pPr>
        <w:pStyle w:val="ListParagraph"/>
        <w:tabs>
          <w:tab w:val="left" w:pos="720"/>
          <w:tab w:val="left" w:pos="1170"/>
        </w:tabs>
        <w:spacing w:line="360" w:lineRule="auto"/>
        <w:ind w:left="0"/>
        <w:jc w:val="both"/>
        <w:rPr>
          <w:rFonts w:ascii="Verdana" w:hAnsi="Verdana" w:cs="Times New Roman"/>
          <w:sz w:val="20"/>
          <w:szCs w:val="20"/>
        </w:rPr>
      </w:pPr>
    </w:p>
    <w:p w:rsidR="000E223B" w:rsidRPr="000E223B" w:rsidRDefault="000E223B" w:rsidP="000E223B">
      <w:pPr>
        <w:pStyle w:val="Heading1"/>
        <w:rPr>
          <w:b w:val="0"/>
          <w:lang w:val="en-US"/>
        </w:rPr>
      </w:pPr>
      <w:bookmarkStart w:id="47" w:name="_Toc423597507"/>
      <w:r w:rsidRPr="000E223B">
        <w:rPr>
          <w:rStyle w:val="Strong"/>
          <w:rFonts w:ascii="Verdana" w:hAnsi="Verdana"/>
          <w:b/>
          <w:bCs/>
          <w:sz w:val="20"/>
          <w:szCs w:val="20"/>
          <w:lang w:val="en-US"/>
        </w:rPr>
        <w:t>3. CAPABILITY MATURITY MODELS</w:t>
      </w:r>
      <w:bookmarkEnd w:id="47"/>
    </w:p>
    <w:p w:rsidR="000E223B" w:rsidRPr="000E223B" w:rsidRDefault="000E223B" w:rsidP="000E223B">
      <w:pPr>
        <w:pStyle w:val="Heading1"/>
        <w:spacing w:line="360" w:lineRule="auto"/>
        <w:jc w:val="both"/>
        <w:rPr>
          <w:rFonts w:ascii="Verdana" w:hAnsi="Verdana" w:cs="Times New Roman"/>
          <w:sz w:val="20"/>
          <w:szCs w:val="20"/>
          <w:lang w:val="en-US"/>
        </w:rPr>
      </w:pPr>
      <w:bookmarkStart w:id="48" w:name="_Toc423597508"/>
      <w:r w:rsidRPr="000E223B">
        <w:rPr>
          <w:rFonts w:ascii="Verdana" w:hAnsi="Verdana" w:cs="Times New Roman"/>
          <w:sz w:val="20"/>
          <w:szCs w:val="20"/>
          <w:lang w:val="en-US"/>
        </w:rPr>
        <w:t>3.1 About this chapter</w:t>
      </w:r>
      <w:bookmarkEnd w:id="48"/>
    </w:p>
    <w:p w:rsidR="000E223B" w:rsidRPr="000E223B" w:rsidRDefault="000E223B" w:rsidP="000E223B">
      <w:pPr>
        <w:spacing w:line="360" w:lineRule="auto"/>
        <w:jc w:val="both"/>
        <w:rPr>
          <w:rFonts w:ascii="Verdana" w:hAnsi="Verdana" w:cs="Times New Roman"/>
          <w:i/>
          <w:sz w:val="20"/>
          <w:szCs w:val="20"/>
          <w:lang w:val="en-US"/>
        </w:rPr>
      </w:pPr>
      <w:r w:rsidRPr="000E223B">
        <w:rPr>
          <w:rFonts w:ascii="Verdana" w:hAnsi="Verdana" w:cs="Times New Roman"/>
          <w:i/>
          <w:sz w:val="20"/>
          <w:szCs w:val="20"/>
          <w:lang w:val="en-US"/>
        </w:rPr>
        <w:t xml:space="preserve">Whenever assessing an organization’s standpoint with regards to its strategy, operations, investments or technology, it is important to have a starting point on which future plans and roadmaps can be build, improved and enriched to ensure for continuity and stability in an organizations overall mission and objectives. Capability maturity models build on such existing structures in order to lead the way to better steadiness and endurance in day to day operations. Building upon a capability maturity model or assessing the maturity of an enterprise means understanding how a capability model is structured, fabricated, developed and used. The most important concepts behind maturity as well as their industry definitions, principles and guidelines also ensure that the use of such a model is done in proper limits to guarantee the improvement of current performance in the passage to a superior model. The following chapter will present how such models can be erected, used and tailored to advance and rally a series of processes to the next level, while growing and progressing towards maturity. </w:t>
      </w:r>
    </w:p>
    <w:p w:rsidR="000E223B" w:rsidRPr="000E223B" w:rsidRDefault="000E223B" w:rsidP="000E223B">
      <w:pPr>
        <w:pStyle w:val="Heading1"/>
        <w:spacing w:line="360" w:lineRule="auto"/>
        <w:jc w:val="both"/>
        <w:rPr>
          <w:rFonts w:ascii="Verdana" w:hAnsi="Verdana" w:cs="Times New Roman"/>
          <w:sz w:val="20"/>
          <w:szCs w:val="20"/>
          <w:lang w:val="en-US"/>
        </w:rPr>
      </w:pPr>
      <w:bookmarkStart w:id="49" w:name="_Toc423597509"/>
      <w:r w:rsidRPr="000E223B">
        <w:rPr>
          <w:rFonts w:ascii="Verdana" w:hAnsi="Verdana" w:cs="Times New Roman"/>
          <w:sz w:val="20"/>
          <w:szCs w:val="20"/>
          <w:lang w:val="en-US"/>
        </w:rPr>
        <w:t>3.2 Origin and concepts of maturity models</w:t>
      </w:r>
      <w:bookmarkEnd w:id="49"/>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This chapter presents concepts of </w:t>
      </w:r>
      <w:r w:rsidRPr="000E223B">
        <w:rPr>
          <w:rFonts w:ascii="Verdana" w:hAnsi="Verdana" w:cs="Times New Roman"/>
          <w:i/>
          <w:sz w:val="20"/>
          <w:szCs w:val="20"/>
          <w:lang w:val="en-US"/>
        </w:rPr>
        <w:t>maturity</w:t>
      </w:r>
      <w:r w:rsidRPr="000E223B">
        <w:rPr>
          <w:rFonts w:ascii="Verdana" w:hAnsi="Verdana" w:cs="Times New Roman"/>
          <w:sz w:val="20"/>
          <w:szCs w:val="20"/>
          <w:lang w:val="en-US"/>
        </w:rPr>
        <w:t xml:space="preserve">, </w:t>
      </w:r>
      <w:r w:rsidRPr="000E223B">
        <w:rPr>
          <w:rFonts w:ascii="Verdana" w:hAnsi="Verdana" w:cs="Times New Roman"/>
          <w:i/>
          <w:sz w:val="20"/>
          <w:szCs w:val="20"/>
          <w:lang w:val="en-US"/>
        </w:rPr>
        <w:t>performance</w:t>
      </w:r>
      <w:r w:rsidRPr="000E223B">
        <w:rPr>
          <w:rFonts w:ascii="Verdana" w:hAnsi="Verdana" w:cs="Times New Roman"/>
          <w:sz w:val="20"/>
          <w:szCs w:val="20"/>
          <w:lang w:val="en-US"/>
        </w:rPr>
        <w:t xml:space="preserve"> and </w:t>
      </w:r>
      <w:r w:rsidRPr="000E223B">
        <w:rPr>
          <w:rFonts w:ascii="Verdana" w:hAnsi="Verdana" w:cs="Times New Roman"/>
          <w:i/>
          <w:sz w:val="20"/>
          <w:szCs w:val="20"/>
          <w:lang w:val="en-US"/>
        </w:rPr>
        <w:t>capability</w:t>
      </w:r>
      <w:r w:rsidRPr="000E223B">
        <w:rPr>
          <w:rFonts w:ascii="Verdana" w:hAnsi="Verdana" w:cs="Times New Roman"/>
          <w:sz w:val="20"/>
          <w:szCs w:val="20"/>
          <w:lang w:val="en-US"/>
        </w:rPr>
        <w:t xml:space="preserve"> as well as the origins of the first capability maturity models.</w:t>
      </w:r>
    </w:p>
    <w:p w:rsidR="000E223B" w:rsidRPr="00FB5C1D" w:rsidRDefault="000E223B" w:rsidP="000E223B">
      <w:pPr>
        <w:pStyle w:val="Heading2"/>
        <w:spacing w:line="360" w:lineRule="auto"/>
        <w:jc w:val="both"/>
        <w:rPr>
          <w:rFonts w:ascii="Verdana" w:hAnsi="Verdana" w:cs="Times New Roman"/>
          <w:sz w:val="20"/>
          <w:szCs w:val="20"/>
        </w:rPr>
      </w:pPr>
      <w:bookmarkStart w:id="50" w:name="_Toc423597510"/>
      <w:r w:rsidRPr="00FB5C1D">
        <w:rPr>
          <w:rFonts w:ascii="Verdana" w:hAnsi="Verdana" w:cs="Times New Roman"/>
          <w:sz w:val="20"/>
          <w:szCs w:val="20"/>
        </w:rPr>
        <w:t>3.2.1 Mature organizations</w:t>
      </w:r>
      <w:bookmarkEnd w:id="50"/>
    </w:p>
    <w:p w:rsidR="000E223B" w:rsidRPr="000E223B" w:rsidRDefault="000E223B" w:rsidP="000E223B">
      <w:pPr>
        <w:tabs>
          <w:tab w:val="left" w:pos="720"/>
          <w:tab w:val="left" w:pos="1170"/>
        </w:tabs>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Because Weber, Curtis and Chrissis (1994) worked on the first maturity models, they advice for first understanding the difference between a </w:t>
      </w:r>
      <w:r w:rsidRPr="000E223B">
        <w:rPr>
          <w:rFonts w:ascii="Verdana" w:hAnsi="Verdana" w:cs="Times New Roman"/>
          <w:i/>
          <w:sz w:val="20"/>
          <w:szCs w:val="20"/>
          <w:lang w:val="en-US"/>
        </w:rPr>
        <w:t>mature</w:t>
      </w:r>
      <w:r w:rsidRPr="000E223B">
        <w:rPr>
          <w:rFonts w:ascii="Verdana" w:hAnsi="Verdana" w:cs="Times New Roman"/>
          <w:sz w:val="20"/>
          <w:szCs w:val="20"/>
          <w:lang w:val="en-US"/>
        </w:rPr>
        <w:t xml:space="preserve"> and an </w:t>
      </w:r>
      <w:r w:rsidRPr="000E223B">
        <w:rPr>
          <w:rFonts w:ascii="Verdana" w:hAnsi="Verdana" w:cs="Times New Roman"/>
          <w:i/>
          <w:sz w:val="20"/>
          <w:szCs w:val="20"/>
          <w:lang w:val="en-US"/>
        </w:rPr>
        <w:t>immature</w:t>
      </w:r>
      <w:r w:rsidRPr="000E223B">
        <w:rPr>
          <w:rFonts w:ascii="Verdana" w:hAnsi="Verdana" w:cs="Times New Roman"/>
          <w:sz w:val="20"/>
          <w:szCs w:val="20"/>
          <w:lang w:val="en-US"/>
        </w:rPr>
        <w:t xml:space="preserve"> organization: an immature organization does not follow well-known procedures and often finds itself sacrificing aspects such as quality, reviews or testing in order to meet a schedule or remain within budget baselines. However, in spite of this focus on timely delivery, such organizations constantly find themselves going over budget and not being able to respect deadlines. By contrast, a mature organization follows a disciplined process based on value-added, clear roles and responsibilities and an infrastructure to support the process. Van Grembergen et al.(2004) mention maturity models as necessary for governance and strategy implementations because we first need to assess the current maturity level of an organization based on the identified structures, processes and relational mechanisms in order to be able to correctly design a roadmap for achieving a higher level of maturity.</w:t>
      </w:r>
    </w:p>
    <w:p w:rsidR="000E223B" w:rsidRPr="00FB5C1D" w:rsidRDefault="000E223B" w:rsidP="000E223B">
      <w:pPr>
        <w:pStyle w:val="Heading2"/>
        <w:spacing w:line="360" w:lineRule="auto"/>
        <w:jc w:val="both"/>
        <w:rPr>
          <w:rFonts w:ascii="Verdana" w:hAnsi="Verdana" w:cs="Times New Roman"/>
          <w:sz w:val="20"/>
          <w:szCs w:val="20"/>
        </w:rPr>
      </w:pPr>
      <w:bookmarkStart w:id="51" w:name="_Toc423597511"/>
      <w:r w:rsidRPr="00FB5C1D">
        <w:rPr>
          <w:rFonts w:ascii="Verdana" w:hAnsi="Verdana" w:cs="Times New Roman"/>
          <w:sz w:val="20"/>
          <w:szCs w:val="20"/>
        </w:rPr>
        <w:lastRenderedPageBreak/>
        <w:t>3.2.2 Origins</w:t>
      </w:r>
      <w:bookmarkEnd w:id="51"/>
      <w:r w:rsidRPr="00FB5C1D">
        <w:rPr>
          <w:rFonts w:ascii="Verdana" w:hAnsi="Verdana" w:cs="Times New Roman"/>
          <w:sz w:val="20"/>
          <w:szCs w:val="20"/>
        </w:rPr>
        <w:t xml:space="preserve"> </w:t>
      </w:r>
    </w:p>
    <w:p w:rsidR="000E223B" w:rsidRPr="000E223B" w:rsidRDefault="000E223B" w:rsidP="000E223B">
      <w:pPr>
        <w:tabs>
          <w:tab w:val="left" w:pos="720"/>
          <w:tab w:val="left" w:pos="1170"/>
        </w:tabs>
        <w:spacing w:line="360" w:lineRule="auto"/>
        <w:jc w:val="both"/>
        <w:rPr>
          <w:rFonts w:ascii="Verdana" w:hAnsi="Verdana" w:cs="Times New Roman"/>
          <w:sz w:val="20"/>
          <w:szCs w:val="20"/>
          <w:lang w:val="en-US"/>
        </w:rPr>
      </w:pPr>
      <w:r w:rsidRPr="000E223B">
        <w:rPr>
          <w:rFonts w:ascii="Verdana" w:hAnsi="Verdana" w:cs="Times New Roman"/>
          <w:i/>
          <w:sz w:val="20"/>
          <w:szCs w:val="20"/>
          <w:lang w:val="en-US"/>
        </w:rPr>
        <w:t>Capability maturity models (CMM)</w:t>
      </w:r>
      <w:r w:rsidRPr="000E223B">
        <w:rPr>
          <w:rFonts w:ascii="Verdana" w:hAnsi="Verdana" w:cs="Times New Roman"/>
          <w:sz w:val="20"/>
          <w:szCs w:val="20"/>
          <w:lang w:val="en-US"/>
        </w:rPr>
        <w:t xml:space="preserve"> were first developed in 1986 by the Software Engineering Institute at the Carnegie Mellon University in Pittsburgh, Pennsylvania (Paulk, 2009) and their origin stems from the inability of software developers to efficiently manage the software process. Their development was focused on encouraging a culture of software engineering by identifying critical issues to be improved based on current process maturity where each developer was to focus on a limited set of activities. The formalized concepts referring to capability maturity models were first presented in version 1.0 in 1991 by Paulk while the first official version “</w:t>
      </w:r>
      <w:r w:rsidRPr="000E223B">
        <w:rPr>
          <w:rFonts w:ascii="Verdana" w:hAnsi="Verdana" w:cs="Times New Roman"/>
          <w:i/>
          <w:sz w:val="20"/>
          <w:szCs w:val="20"/>
          <w:lang w:val="en-US"/>
        </w:rPr>
        <w:t>Capability Maturity Model for software, version 1.1</w:t>
      </w:r>
      <w:r w:rsidRPr="000E223B">
        <w:rPr>
          <w:rFonts w:ascii="Verdana" w:hAnsi="Verdana" w:cs="Times New Roman"/>
          <w:sz w:val="20"/>
          <w:szCs w:val="20"/>
          <w:lang w:val="en-US"/>
        </w:rPr>
        <w:t xml:space="preserve">” was released in 1993 by Paulk, Curtis, Chrissis and Weber (Paulk, 2009). Meanwhile, the software CMM has been retired in favor of the CMM Integration (CMMI)  models (Paulk, 2009), which are a collection of CMM’s into one framework destined for use for cross-enterprise process improvement (Chrissis, Konrad &amp; Shrum, 2011). </w:t>
      </w:r>
    </w:p>
    <w:p w:rsidR="000E223B" w:rsidRPr="000E223B" w:rsidRDefault="000E223B" w:rsidP="000E223B">
      <w:pPr>
        <w:tabs>
          <w:tab w:val="left" w:pos="720"/>
          <w:tab w:val="left" w:pos="1170"/>
        </w:tabs>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One of the distinguishing features of CMM models are their </w:t>
      </w:r>
      <w:r w:rsidRPr="000E223B">
        <w:rPr>
          <w:rFonts w:ascii="Verdana" w:hAnsi="Verdana" w:cs="Times New Roman"/>
          <w:i/>
          <w:sz w:val="20"/>
          <w:szCs w:val="20"/>
          <w:lang w:val="en-US"/>
        </w:rPr>
        <w:t>continuous</w:t>
      </w:r>
      <w:r w:rsidRPr="000E223B">
        <w:rPr>
          <w:rFonts w:ascii="Verdana" w:hAnsi="Verdana" w:cs="Times New Roman"/>
          <w:sz w:val="20"/>
          <w:szCs w:val="20"/>
          <w:lang w:val="en-US"/>
        </w:rPr>
        <w:t xml:space="preserve"> or </w:t>
      </w:r>
      <w:r w:rsidRPr="000E223B">
        <w:rPr>
          <w:rFonts w:ascii="Verdana" w:hAnsi="Verdana" w:cs="Times New Roman"/>
          <w:i/>
          <w:sz w:val="20"/>
          <w:szCs w:val="20"/>
          <w:lang w:val="en-US"/>
        </w:rPr>
        <w:t>staged</w:t>
      </w:r>
      <w:r w:rsidRPr="000E223B">
        <w:rPr>
          <w:rFonts w:ascii="Verdana" w:hAnsi="Verdana" w:cs="Times New Roman"/>
          <w:sz w:val="20"/>
          <w:szCs w:val="20"/>
          <w:lang w:val="en-US"/>
        </w:rPr>
        <w:t xml:space="preserve"> approach. </w:t>
      </w:r>
      <w:r w:rsidRPr="000E223B">
        <w:rPr>
          <w:rFonts w:ascii="Verdana" w:hAnsi="Verdana" w:cs="Times New Roman"/>
          <w:i/>
          <w:sz w:val="20"/>
          <w:szCs w:val="20"/>
          <w:lang w:val="en-US"/>
        </w:rPr>
        <w:t>Continuous</w:t>
      </w:r>
      <w:r w:rsidRPr="000E223B">
        <w:rPr>
          <w:rFonts w:ascii="Verdana" w:hAnsi="Verdana" w:cs="Times New Roman"/>
          <w:sz w:val="20"/>
          <w:szCs w:val="20"/>
          <w:lang w:val="en-US"/>
        </w:rPr>
        <w:t xml:space="preserve"> maturity models are based on scoring different dimensions at different levels and the summing up (or weighing) of the individual scores (L</w:t>
      </w:r>
      <w:r w:rsidR="002862C6">
        <w:rPr>
          <w:rFonts w:ascii="Verdana" w:hAnsi="Verdana" w:cs="Times New Roman"/>
          <w:sz w:val="20"/>
          <w:szCs w:val="20"/>
          <w:lang w:val="en-US"/>
        </w:rPr>
        <w:t>a</w:t>
      </w:r>
      <w:r w:rsidRPr="000E223B">
        <w:rPr>
          <w:rFonts w:ascii="Verdana" w:hAnsi="Verdana" w:cs="Times New Roman"/>
          <w:sz w:val="20"/>
          <w:szCs w:val="20"/>
          <w:lang w:val="en-US"/>
        </w:rPr>
        <w:t xml:space="preserve">hrmann, Marx, Winter &amp; Wortmann, 2011). </w:t>
      </w:r>
      <w:r w:rsidRPr="000E223B">
        <w:rPr>
          <w:rFonts w:ascii="Verdana" w:hAnsi="Verdana" w:cs="Times New Roman"/>
          <w:i/>
          <w:sz w:val="20"/>
          <w:szCs w:val="20"/>
          <w:lang w:val="en-US"/>
        </w:rPr>
        <w:t>Staged</w:t>
      </w:r>
      <w:r w:rsidRPr="000E223B">
        <w:rPr>
          <w:rFonts w:ascii="Verdana" w:hAnsi="Verdana" w:cs="Times New Roman"/>
          <w:sz w:val="20"/>
          <w:szCs w:val="20"/>
          <w:lang w:val="en-US"/>
        </w:rPr>
        <w:t xml:space="preserve"> models on the other hand require a level to comply with different processes and practices which are defined for that particular level (L</w:t>
      </w:r>
      <w:r w:rsidR="002862C6">
        <w:rPr>
          <w:rFonts w:ascii="Verdana" w:hAnsi="Verdana" w:cs="Times New Roman"/>
          <w:sz w:val="20"/>
          <w:szCs w:val="20"/>
          <w:lang w:val="en-US"/>
        </w:rPr>
        <w:t>ahrmann et al.</w:t>
      </w:r>
      <w:r w:rsidRPr="000E223B">
        <w:rPr>
          <w:rFonts w:ascii="Verdana" w:hAnsi="Verdana" w:cs="Times New Roman"/>
          <w:sz w:val="20"/>
          <w:szCs w:val="20"/>
          <w:lang w:val="en-US"/>
        </w:rPr>
        <w:t xml:space="preserve">, 2011). Put differently, continuous approaches focus on individual process capabilities while staged approaches focus on a collection of process for a maturity level (Chrissis et al., 2011). We chose to focus on building and describing a staged approach because improving a specific process capability implies that the overall process capabilities for a maturity level has been defined beforehand. </w:t>
      </w:r>
      <w:r w:rsidR="00D00FE6">
        <w:rPr>
          <w:rFonts w:ascii="Verdana" w:hAnsi="Verdana" w:cs="Times New Roman"/>
          <w:sz w:val="20"/>
          <w:szCs w:val="20"/>
          <w:lang w:val="en-US"/>
        </w:rPr>
        <w:t>O’Regan</w:t>
      </w:r>
      <w:r w:rsidRPr="000E223B">
        <w:rPr>
          <w:rFonts w:ascii="Verdana" w:hAnsi="Verdana" w:cs="Times New Roman"/>
          <w:sz w:val="20"/>
          <w:szCs w:val="20"/>
          <w:lang w:val="en-US"/>
        </w:rPr>
        <w:t xml:space="preserve"> (2011) stresses that sometimes, for a continuous approach to be successful, an organization first needs to implement a series of processes associated to a level before working on progressing a process to a different level. In order to better understand how a specific process can be improved, we need to understand what constitutes the process and how this process integrates with the other processes. </w:t>
      </w:r>
    </w:p>
    <w:p w:rsidR="000E223B" w:rsidRPr="00FB5C1D" w:rsidRDefault="000E223B" w:rsidP="000E223B">
      <w:pPr>
        <w:pStyle w:val="Heading2"/>
        <w:spacing w:line="360" w:lineRule="auto"/>
        <w:jc w:val="both"/>
        <w:rPr>
          <w:rFonts w:ascii="Verdana" w:hAnsi="Verdana" w:cs="Times New Roman"/>
          <w:sz w:val="20"/>
          <w:szCs w:val="20"/>
        </w:rPr>
      </w:pPr>
      <w:bookmarkStart w:id="52" w:name="_Toc423597512"/>
      <w:r w:rsidRPr="00FB5C1D">
        <w:rPr>
          <w:rFonts w:ascii="Verdana" w:hAnsi="Verdana" w:cs="Times New Roman"/>
          <w:sz w:val="20"/>
          <w:szCs w:val="20"/>
        </w:rPr>
        <w:t>3.2.3 Capability, performance and maturity</w:t>
      </w:r>
      <w:bookmarkEnd w:id="52"/>
    </w:p>
    <w:p w:rsidR="000E223B" w:rsidRPr="000E223B" w:rsidRDefault="000E223B" w:rsidP="000E223B">
      <w:pPr>
        <w:tabs>
          <w:tab w:val="left" w:pos="720"/>
          <w:tab w:val="left" w:pos="1170"/>
        </w:tabs>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According to Weber et al.(1994), who introduced the first capability maturity models, a fundamental concept in software development are the various differences between </w:t>
      </w:r>
      <w:r w:rsidRPr="000E223B">
        <w:rPr>
          <w:rFonts w:ascii="Verdana" w:hAnsi="Verdana" w:cs="Times New Roman"/>
          <w:i/>
          <w:sz w:val="20"/>
          <w:szCs w:val="20"/>
          <w:lang w:val="en-US"/>
        </w:rPr>
        <w:t>process capability, process performance and process maturity</w:t>
      </w:r>
      <w:r w:rsidRPr="000E223B">
        <w:rPr>
          <w:rFonts w:ascii="Verdana" w:hAnsi="Verdana" w:cs="Times New Roman"/>
          <w:sz w:val="20"/>
          <w:szCs w:val="20"/>
          <w:lang w:val="en-US"/>
        </w:rPr>
        <w:t xml:space="preserve">. </w:t>
      </w:r>
      <w:r w:rsidRPr="000E223B">
        <w:rPr>
          <w:rFonts w:ascii="Verdana" w:hAnsi="Verdana" w:cs="Times New Roman"/>
          <w:sz w:val="20"/>
          <w:szCs w:val="20"/>
          <w:u w:val="single"/>
          <w:lang w:val="en-US"/>
        </w:rPr>
        <w:t>Process capability</w:t>
      </w:r>
      <w:r w:rsidRPr="000E223B">
        <w:rPr>
          <w:rFonts w:ascii="Verdana" w:hAnsi="Verdana" w:cs="Times New Roman"/>
          <w:sz w:val="20"/>
          <w:szCs w:val="20"/>
          <w:lang w:val="en-US"/>
        </w:rPr>
        <w:t xml:space="preserve"> refers to the expected results achieved by following a certain process. </w:t>
      </w:r>
      <w:r w:rsidR="00D00FE6">
        <w:rPr>
          <w:rFonts w:ascii="Verdana" w:hAnsi="Verdana" w:cs="Times New Roman"/>
          <w:sz w:val="20"/>
          <w:szCs w:val="20"/>
          <w:lang w:val="en-US"/>
        </w:rPr>
        <w:t>O’Regan</w:t>
      </w:r>
      <w:r w:rsidRPr="000E223B">
        <w:rPr>
          <w:rFonts w:ascii="Verdana" w:hAnsi="Verdana" w:cs="Times New Roman"/>
          <w:sz w:val="20"/>
          <w:szCs w:val="20"/>
          <w:lang w:val="en-US"/>
        </w:rPr>
        <w:t xml:space="preserve"> (2011) reinforces the definition of Weber by stating that the fundamental notion of process refers to the tasks and/or sub-tasks necessary to accomplish a given objective. </w:t>
      </w:r>
      <w:r w:rsidRPr="000E223B">
        <w:rPr>
          <w:rFonts w:ascii="Verdana" w:hAnsi="Verdana" w:cs="Times New Roman"/>
          <w:sz w:val="20"/>
          <w:szCs w:val="20"/>
          <w:u w:val="single"/>
          <w:lang w:val="en-US"/>
        </w:rPr>
        <w:t>Maturity</w:t>
      </w:r>
      <w:r w:rsidRPr="000E223B">
        <w:rPr>
          <w:rFonts w:ascii="Verdana" w:hAnsi="Verdana" w:cs="Times New Roman"/>
          <w:sz w:val="20"/>
          <w:szCs w:val="20"/>
          <w:lang w:val="en-US"/>
        </w:rPr>
        <w:t xml:space="preserve"> refers to the level of consistency with which processes are applied, managed and </w:t>
      </w:r>
      <w:r w:rsidRPr="000E223B">
        <w:rPr>
          <w:rFonts w:ascii="Verdana" w:hAnsi="Verdana" w:cs="Times New Roman"/>
          <w:sz w:val="20"/>
          <w:szCs w:val="20"/>
          <w:lang w:val="en-US"/>
        </w:rPr>
        <w:lastRenderedPageBreak/>
        <w:t xml:space="preserve">controlled throughout different projects in the company while </w:t>
      </w:r>
      <w:r w:rsidRPr="000E223B">
        <w:rPr>
          <w:rFonts w:ascii="Verdana" w:hAnsi="Verdana" w:cs="Times New Roman"/>
          <w:sz w:val="20"/>
          <w:szCs w:val="20"/>
          <w:u w:val="single"/>
          <w:lang w:val="en-US"/>
        </w:rPr>
        <w:t xml:space="preserve">performance </w:t>
      </w:r>
      <w:r w:rsidRPr="000E223B">
        <w:rPr>
          <w:rFonts w:ascii="Verdana" w:hAnsi="Verdana" w:cs="Times New Roman"/>
          <w:sz w:val="20"/>
          <w:szCs w:val="20"/>
          <w:lang w:val="en-US"/>
        </w:rPr>
        <w:t xml:space="preserve">refers to the actual results achieved by following a certain process.   </w:t>
      </w:r>
    </w:p>
    <w:p w:rsidR="000E223B" w:rsidRPr="000E223B" w:rsidRDefault="000E223B" w:rsidP="000E223B">
      <w:pPr>
        <w:tabs>
          <w:tab w:val="left" w:pos="720"/>
          <w:tab w:val="left" w:pos="1170"/>
        </w:tabs>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The initial CMM models were based on the idea that improvement comes in small, incremental steps and thus a CMM model aims at organizing these small steps into different maturity levels by defining a scale for evaluating process capability and measuring levels of maturity (Weber et al.,1994). For </w:t>
      </w:r>
      <w:r w:rsidR="00D00FE6">
        <w:rPr>
          <w:rFonts w:ascii="Verdana" w:hAnsi="Verdana" w:cs="Times New Roman"/>
          <w:sz w:val="20"/>
          <w:szCs w:val="20"/>
          <w:lang w:val="en-US"/>
        </w:rPr>
        <w:t>O’Regan</w:t>
      </w:r>
      <w:r w:rsidRPr="000E223B">
        <w:rPr>
          <w:rFonts w:ascii="Verdana" w:hAnsi="Verdana" w:cs="Times New Roman"/>
          <w:sz w:val="20"/>
          <w:szCs w:val="20"/>
          <w:lang w:val="en-US"/>
        </w:rPr>
        <w:t xml:space="preserve"> (2011), a CMM provides a roadmap on how to get to a higher maturity level but it does not stipulate  how processes should be done. </w:t>
      </w:r>
    </w:p>
    <w:p w:rsidR="000E223B" w:rsidRPr="000E223B" w:rsidRDefault="000E223B" w:rsidP="000E223B">
      <w:pPr>
        <w:pStyle w:val="Heading1"/>
        <w:spacing w:line="360" w:lineRule="auto"/>
        <w:jc w:val="both"/>
        <w:rPr>
          <w:rFonts w:ascii="Verdana" w:hAnsi="Verdana" w:cs="Times New Roman"/>
          <w:sz w:val="20"/>
          <w:szCs w:val="20"/>
          <w:lang w:val="en-US"/>
        </w:rPr>
      </w:pPr>
      <w:bookmarkStart w:id="53" w:name="_Toc423597513"/>
      <w:r w:rsidRPr="000E223B">
        <w:rPr>
          <w:rFonts w:ascii="Verdana" w:hAnsi="Verdana" w:cs="Times New Roman"/>
          <w:sz w:val="20"/>
          <w:szCs w:val="20"/>
          <w:lang w:val="en-US"/>
        </w:rPr>
        <w:t>3.3 Capability Maturity model description</w:t>
      </w:r>
      <w:bookmarkEnd w:id="53"/>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This chapter present the components of a capability maturity model.</w:t>
      </w:r>
    </w:p>
    <w:p w:rsidR="000E223B" w:rsidRPr="00FB5C1D" w:rsidRDefault="000E223B" w:rsidP="000E223B">
      <w:pPr>
        <w:pStyle w:val="Heading2"/>
        <w:spacing w:line="360" w:lineRule="auto"/>
        <w:jc w:val="both"/>
        <w:rPr>
          <w:rFonts w:ascii="Verdana" w:hAnsi="Verdana" w:cs="Times New Roman"/>
          <w:sz w:val="20"/>
          <w:szCs w:val="20"/>
        </w:rPr>
      </w:pPr>
      <w:bookmarkStart w:id="54" w:name="_Toc423597514"/>
      <w:r w:rsidRPr="00FB5C1D">
        <w:rPr>
          <w:rFonts w:ascii="Verdana" w:hAnsi="Verdana" w:cs="Times New Roman"/>
          <w:sz w:val="20"/>
          <w:szCs w:val="20"/>
        </w:rPr>
        <w:t>3.3.1 Components of a CMMI</w:t>
      </w:r>
      <w:bookmarkEnd w:id="54"/>
    </w:p>
    <w:p w:rsidR="000E223B" w:rsidRPr="000E223B" w:rsidRDefault="000E223B" w:rsidP="000E223B">
      <w:pPr>
        <w:tabs>
          <w:tab w:val="left" w:pos="720"/>
          <w:tab w:val="left" w:pos="1170"/>
        </w:tabs>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Because a CMMI is a collection of CMM models, we will use and combine elements of individual CMM models, as they were initially ascribed for software improvement processes and elements of the CMMI framework as they have been recently described by the Software Engineering Institute. </w:t>
      </w:r>
    </w:p>
    <w:p w:rsidR="000E223B" w:rsidRPr="000E223B" w:rsidRDefault="000E223B" w:rsidP="000E223B">
      <w:pPr>
        <w:tabs>
          <w:tab w:val="left" w:pos="720"/>
          <w:tab w:val="left" w:pos="1170"/>
        </w:tabs>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An example of how a CMMI structure is build is presented in figure 3.1 by configuring its elements in a topology.  </w:t>
      </w:r>
    </w:p>
    <w:p w:rsidR="000E223B" w:rsidRPr="000E223B" w:rsidRDefault="000E223B" w:rsidP="000E223B">
      <w:pPr>
        <w:tabs>
          <w:tab w:val="left" w:pos="720"/>
          <w:tab w:val="left" w:pos="1170"/>
        </w:tabs>
        <w:spacing w:line="360" w:lineRule="auto"/>
        <w:jc w:val="both"/>
        <w:rPr>
          <w:rFonts w:ascii="Verdana" w:hAnsi="Verdana" w:cs="Times New Roman"/>
          <w:sz w:val="20"/>
          <w:szCs w:val="20"/>
          <w:lang w:val="en-US"/>
        </w:rPr>
      </w:pPr>
      <w:r w:rsidRPr="00FB5C1D">
        <w:rPr>
          <w:rFonts w:ascii="Verdana" w:hAnsi="Verdana" w:cs="Times New Roman"/>
          <w:noProof/>
          <w:sz w:val="20"/>
          <w:szCs w:val="20"/>
          <w:lang w:val="en-GB" w:eastAsia="en-GB"/>
        </w:rPr>
        <w:drawing>
          <wp:anchor distT="0" distB="0" distL="114300" distR="114300" simplePos="0" relativeHeight="251636224" behindDoc="0" locked="0" layoutInCell="1" allowOverlap="1" wp14:anchorId="4E712799" wp14:editId="6608EB73">
            <wp:simplePos x="0" y="0"/>
            <wp:positionH relativeFrom="column">
              <wp:posOffset>895350</wp:posOffset>
            </wp:positionH>
            <wp:positionV relativeFrom="paragraph">
              <wp:posOffset>142240</wp:posOffset>
            </wp:positionV>
            <wp:extent cx="3800475" cy="2028825"/>
            <wp:effectExtent l="19050" t="19050" r="28575" b="285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800475" cy="202882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rsidR="000E223B" w:rsidRPr="000E223B" w:rsidRDefault="000E223B" w:rsidP="000E223B">
      <w:pPr>
        <w:tabs>
          <w:tab w:val="left" w:pos="720"/>
          <w:tab w:val="left" w:pos="1170"/>
        </w:tabs>
        <w:spacing w:line="360" w:lineRule="auto"/>
        <w:jc w:val="both"/>
        <w:rPr>
          <w:rFonts w:ascii="Verdana" w:hAnsi="Verdana" w:cs="Times New Roman"/>
          <w:sz w:val="20"/>
          <w:szCs w:val="20"/>
          <w:lang w:val="en-US"/>
        </w:rPr>
      </w:pPr>
    </w:p>
    <w:p w:rsidR="000E223B" w:rsidRPr="000E223B" w:rsidRDefault="000E223B" w:rsidP="000E223B">
      <w:pPr>
        <w:tabs>
          <w:tab w:val="left" w:pos="720"/>
          <w:tab w:val="left" w:pos="1170"/>
        </w:tabs>
        <w:spacing w:line="360" w:lineRule="auto"/>
        <w:jc w:val="both"/>
        <w:rPr>
          <w:rFonts w:ascii="Verdana" w:hAnsi="Verdana" w:cs="Times New Roman"/>
          <w:sz w:val="20"/>
          <w:szCs w:val="20"/>
          <w:lang w:val="en-US"/>
        </w:rPr>
      </w:pPr>
    </w:p>
    <w:p w:rsidR="000E223B" w:rsidRPr="000E223B" w:rsidRDefault="000E223B" w:rsidP="000E223B">
      <w:pPr>
        <w:tabs>
          <w:tab w:val="left" w:pos="720"/>
          <w:tab w:val="left" w:pos="1170"/>
        </w:tabs>
        <w:spacing w:line="360" w:lineRule="auto"/>
        <w:jc w:val="both"/>
        <w:rPr>
          <w:rFonts w:ascii="Verdana" w:hAnsi="Verdana" w:cs="Times New Roman"/>
          <w:sz w:val="20"/>
          <w:szCs w:val="20"/>
          <w:lang w:val="en-US"/>
        </w:rPr>
      </w:pPr>
    </w:p>
    <w:p w:rsidR="000E223B" w:rsidRPr="000E223B" w:rsidRDefault="000E223B" w:rsidP="000E223B">
      <w:pPr>
        <w:tabs>
          <w:tab w:val="left" w:pos="720"/>
          <w:tab w:val="left" w:pos="1170"/>
        </w:tabs>
        <w:spacing w:line="360" w:lineRule="auto"/>
        <w:jc w:val="both"/>
        <w:rPr>
          <w:rFonts w:ascii="Verdana" w:hAnsi="Verdana" w:cs="Times New Roman"/>
          <w:sz w:val="20"/>
          <w:szCs w:val="20"/>
          <w:lang w:val="en-US"/>
        </w:rPr>
      </w:pPr>
    </w:p>
    <w:p w:rsidR="000E223B" w:rsidRPr="000E223B" w:rsidRDefault="000E223B" w:rsidP="000E223B">
      <w:pPr>
        <w:tabs>
          <w:tab w:val="left" w:pos="720"/>
          <w:tab w:val="left" w:pos="1170"/>
        </w:tabs>
        <w:spacing w:line="360" w:lineRule="auto"/>
        <w:jc w:val="both"/>
        <w:rPr>
          <w:rFonts w:ascii="Verdana" w:hAnsi="Verdana" w:cs="Times New Roman"/>
          <w:sz w:val="20"/>
          <w:szCs w:val="20"/>
          <w:lang w:val="en-US"/>
        </w:rPr>
      </w:pPr>
    </w:p>
    <w:p w:rsidR="00753959" w:rsidRDefault="00753959" w:rsidP="00753959">
      <w:pPr>
        <w:tabs>
          <w:tab w:val="left" w:pos="720"/>
          <w:tab w:val="left" w:pos="1170"/>
        </w:tabs>
        <w:spacing w:line="360" w:lineRule="auto"/>
        <w:rPr>
          <w:rFonts w:ascii="Verdana" w:hAnsi="Verdana" w:cs="Times New Roman"/>
          <w:sz w:val="18"/>
          <w:szCs w:val="18"/>
          <w:lang w:val="en-US"/>
        </w:rPr>
      </w:pPr>
    </w:p>
    <w:p w:rsidR="000E223B" w:rsidRPr="00753959" w:rsidRDefault="00753959" w:rsidP="00753959">
      <w:pPr>
        <w:tabs>
          <w:tab w:val="left" w:pos="720"/>
          <w:tab w:val="left" w:pos="1170"/>
        </w:tabs>
        <w:spacing w:line="360" w:lineRule="auto"/>
        <w:rPr>
          <w:rFonts w:ascii="Verdana" w:hAnsi="Verdana" w:cs="Times New Roman"/>
          <w:sz w:val="18"/>
          <w:szCs w:val="18"/>
          <w:lang w:val="en-US"/>
        </w:rPr>
      </w:pPr>
      <w:r>
        <w:rPr>
          <w:rFonts w:ascii="Verdana" w:hAnsi="Verdana" w:cs="Times New Roman"/>
          <w:sz w:val="18"/>
          <w:szCs w:val="18"/>
          <w:lang w:val="en-US"/>
        </w:rPr>
        <w:tab/>
      </w:r>
      <w:r>
        <w:rPr>
          <w:rFonts w:ascii="Verdana" w:hAnsi="Verdana" w:cs="Times New Roman"/>
          <w:sz w:val="18"/>
          <w:szCs w:val="18"/>
          <w:lang w:val="en-US"/>
        </w:rPr>
        <w:tab/>
      </w:r>
      <w:r>
        <w:rPr>
          <w:rFonts w:ascii="Verdana" w:hAnsi="Verdana" w:cs="Times New Roman"/>
          <w:sz w:val="18"/>
          <w:szCs w:val="18"/>
          <w:lang w:val="en-US"/>
        </w:rPr>
        <w:tab/>
      </w:r>
      <w:r w:rsidR="000E223B" w:rsidRPr="00753959">
        <w:rPr>
          <w:rFonts w:ascii="Verdana" w:hAnsi="Verdana" w:cs="Times New Roman"/>
          <w:sz w:val="18"/>
          <w:szCs w:val="18"/>
          <w:lang w:val="en-US"/>
        </w:rPr>
        <w:t>Figure 3.1 The CMMI staged representation (Team, 2010, pp.22)</w:t>
      </w:r>
    </w:p>
    <w:p w:rsidR="000E223B" w:rsidRPr="000E223B" w:rsidRDefault="000E223B" w:rsidP="000E223B">
      <w:pPr>
        <w:tabs>
          <w:tab w:val="left" w:pos="720"/>
          <w:tab w:val="left" w:pos="1170"/>
        </w:tabs>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Each maturity level contains </w:t>
      </w:r>
      <w:r w:rsidRPr="000E223B">
        <w:rPr>
          <w:rFonts w:ascii="Verdana" w:hAnsi="Verdana" w:cs="Times New Roman"/>
          <w:i/>
          <w:sz w:val="20"/>
          <w:szCs w:val="20"/>
          <w:lang w:val="en-US"/>
        </w:rPr>
        <w:t>process areas</w:t>
      </w:r>
      <w:r w:rsidRPr="000E223B">
        <w:rPr>
          <w:rFonts w:ascii="Verdana" w:hAnsi="Verdana" w:cs="Times New Roman"/>
          <w:sz w:val="20"/>
          <w:szCs w:val="20"/>
          <w:lang w:val="en-US"/>
        </w:rPr>
        <w:t xml:space="preserve"> which are organized into specific and generic goals which in turn, contain </w:t>
      </w:r>
      <w:r w:rsidRPr="000E223B">
        <w:rPr>
          <w:rFonts w:ascii="Verdana" w:hAnsi="Verdana" w:cs="Times New Roman"/>
          <w:i/>
          <w:sz w:val="20"/>
          <w:szCs w:val="20"/>
          <w:lang w:val="en-US"/>
        </w:rPr>
        <w:t>generic and specific practices</w:t>
      </w:r>
      <w:r w:rsidRPr="000E223B">
        <w:rPr>
          <w:rFonts w:ascii="Verdana" w:hAnsi="Verdana" w:cs="Times New Roman"/>
          <w:sz w:val="20"/>
          <w:szCs w:val="20"/>
          <w:lang w:val="en-US"/>
        </w:rPr>
        <w:t xml:space="preserve"> to ensure the accomplishment of these goals for each key process area. </w:t>
      </w:r>
      <w:r w:rsidRPr="000E223B">
        <w:rPr>
          <w:rFonts w:ascii="Verdana" w:hAnsi="Verdana" w:cs="Times New Roman"/>
          <w:i/>
          <w:sz w:val="20"/>
          <w:szCs w:val="20"/>
          <w:lang w:val="en-US"/>
        </w:rPr>
        <w:t>Goals</w:t>
      </w:r>
      <w:r w:rsidRPr="000E223B">
        <w:rPr>
          <w:rFonts w:ascii="Verdana" w:hAnsi="Verdana" w:cs="Times New Roman"/>
          <w:sz w:val="20"/>
          <w:szCs w:val="20"/>
          <w:lang w:val="en-US"/>
        </w:rPr>
        <w:t xml:space="preserve"> are established for each key process area and these are used to monitor whether a key process area has been implemented </w:t>
      </w:r>
      <w:r w:rsidRPr="000E223B">
        <w:rPr>
          <w:rFonts w:ascii="Verdana" w:hAnsi="Verdana" w:cs="Times New Roman"/>
          <w:sz w:val="20"/>
          <w:szCs w:val="20"/>
          <w:lang w:val="en-US"/>
        </w:rPr>
        <w:lastRenderedPageBreak/>
        <w:t xml:space="preserve">accordingly. </w:t>
      </w:r>
      <w:r w:rsidRPr="000E223B">
        <w:rPr>
          <w:rFonts w:ascii="Verdana" w:hAnsi="Verdana" w:cs="Times New Roman"/>
          <w:i/>
          <w:sz w:val="20"/>
          <w:szCs w:val="20"/>
          <w:lang w:val="en-US"/>
        </w:rPr>
        <w:t>Process areas</w:t>
      </w:r>
      <w:r w:rsidRPr="000E223B">
        <w:rPr>
          <w:rFonts w:ascii="Verdana" w:hAnsi="Verdana" w:cs="Times New Roman"/>
          <w:sz w:val="20"/>
          <w:szCs w:val="20"/>
          <w:lang w:val="en-US"/>
        </w:rPr>
        <w:t xml:space="preserve"> indicate where an organization should focus in order to achieve process improvement (Team, 2010). </w:t>
      </w:r>
    </w:p>
    <w:p w:rsidR="000E223B" w:rsidRPr="00FB5C1D" w:rsidRDefault="000E223B" w:rsidP="000E223B">
      <w:pPr>
        <w:pStyle w:val="Heading2"/>
        <w:spacing w:line="360" w:lineRule="auto"/>
        <w:jc w:val="both"/>
        <w:rPr>
          <w:rFonts w:ascii="Verdana" w:hAnsi="Verdana" w:cs="Times New Roman"/>
          <w:sz w:val="20"/>
          <w:szCs w:val="20"/>
        </w:rPr>
      </w:pPr>
      <w:bookmarkStart w:id="55" w:name="_Toc423597515"/>
      <w:r w:rsidRPr="00FB5C1D">
        <w:rPr>
          <w:rFonts w:ascii="Verdana" w:hAnsi="Verdana" w:cs="Times New Roman"/>
          <w:sz w:val="20"/>
          <w:szCs w:val="20"/>
        </w:rPr>
        <w:t>3.3.2 Process areas</w:t>
      </w:r>
      <w:bookmarkEnd w:id="55"/>
    </w:p>
    <w:p w:rsidR="000E223B" w:rsidRPr="000E223B" w:rsidRDefault="000E223B" w:rsidP="000E223B">
      <w:pPr>
        <w:tabs>
          <w:tab w:val="left" w:pos="720"/>
          <w:tab w:val="left" w:pos="1170"/>
        </w:tabs>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Because the initial capability maturity models were focused on improving the software development process, the different process areas (called </w:t>
      </w:r>
      <w:r w:rsidRPr="000E223B">
        <w:rPr>
          <w:rFonts w:ascii="Verdana" w:hAnsi="Verdana" w:cs="Times New Roman"/>
          <w:i/>
          <w:sz w:val="20"/>
          <w:szCs w:val="20"/>
          <w:lang w:val="en-US"/>
        </w:rPr>
        <w:t>key process areas</w:t>
      </w:r>
      <w:r w:rsidRPr="000E223B">
        <w:rPr>
          <w:rFonts w:ascii="Verdana" w:hAnsi="Verdana" w:cs="Times New Roman"/>
          <w:sz w:val="20"/>
          <w:szCs w:val="20"/>
          <w:lang w:val="en-US"/>
        </w:rPr>
        <w:t xml:space="preserve">) for each level were specific to software processes. In figure 3.2, </w:t>
      </w:r>
      <w:r w:rsidR="00D00FE6">
        <w:rPr>
          <w:rFonts w:ascii="Verdana" w:hAnsi="Verdana" w:cs="Times New Roman"/>
          <w:sz w:val="20"/>
          <w:szCs w:val="20"/>
          <w:lang w:val="en-US"/>
        </w:rPr>
        <w:t>O’Regan</w:t>
      </w:r>
      <w:r w:rsidRPr="000E223B">
        <w:rPr>
          <w:rFonts w:ascii="Verdana" w:hAnsi="Verdana" w:cs="Times New Roman"/>
          <w:sz w:val="20"/>
          <w:szCs w:val="20"/>
          <w:lang w:val="en-US"/>
        </w:rPr>
        <w:t xml:space="preserve"> (2011) provides a detailed account of each key process area ordered by maturity level. A thorough description of each key process is available in the annex A. </w:t>
      </w:r>
    </w:p>
    <w:p w:rsidR="000E223B" w:rsidRPr="000E223B" w:rsidRDefault="000E223B" w:rsidP="000E223B">
      <w:pPr>
        <w:tabs>
          <w:tab w:val="left" w:pos="720"/>
          <w:tab w:val="left" w:pos="1170"/>
        </w:tabs>
        <w:spacing w:line="360" w:lineRule="auto"/>
        <w:jc w:val="both"/>
        <w:rPr>
          <w:rFonts w:ascii="Verdana" w:hAnsi="Verdana" w:cs="Times New Roman"/>
          <w:sz w:val="20"/>
          <w:szCs w:val="20"/>
          <w:lang w:val="en-US"/>
        </w:rPr>
      </w:pPr>
    </w:p>
    <w:p w:rsidR="000E223B" w:rsidRPr="000E223B" w:rsidRDefault="000E223B" w:rsidP="000E223B">
      <w:pPr>
        <w:tabs>
          <w:tab w:val="left" w:pos="720"/>
          <w:tab w:val="left" w:pos="1170"/>
        </w:tabs>
        <w:spacing w:line="360" w:lineRule="auto"/>
        <w:jc w:val="both"/>
        <w:rPr>
          <w:rFonts w:ascii="Verdana" w:hAnsi="Verdana" w:cs="Times New Roman"/>
          <w:sz w:val="20"/>
          <w:szCs w:val="20"/>
          <w:lang w:val="en-US"/>
        </w:rPr>
      </w:pPr>
    </w:p>
    <w:p w:rsidR="000E223B" w:rsidRPr="000E223B" w:rsidRDefault="000E223B" w:rsidP="000E223B">
      <w:pPr>
        <w:tabs>
          <w:tab w:val="left" w:pos="720"/>
          <w:tab w:val="left" w:pos="1170"/>
        </w:tabs>
        <w:spacing w:line="360" w:lineRule="auto"/>
        <w:jc w:val="both"/>
        <w:rPr>
          <w:rFonts w:ascii="Verdana" w:hAnsi="Verdana" w:cs="Times New Roman"/>
          <w:sz w:val="20"/>
          <w:szCs w:val="20"/>
          <w:lang w:val="en-US"/>
        </w:rPr>
      </w:pPr>
    </w:p>
    <w:p w:rsidR="000E223B" w:rsidRPr="000E223B" w:rsidRDefault="00753959" w:rsidP="000E223B">
      <w:pPr>
        <w:tabs>
          <w:tab w:val="left" w:pos="720"/>
          <w:tab w:val="left" w:pos="1170"/>
        </w:tabs>
        <w:spacing w:line="360" w:lineRule="auto"/>
        <w:jc w:val="both"/>
        <w:rPr>
          <w:rFonts w:ascii="Verdana" w:hAnsi="Verdana" w:cs="Times New Roman"/>
          <w:sz w:val="20"/>
          <w:szCs w:val="20"/>
          <w:lang w:val="en-US"/>
        </w:rPr>
      </w:pPr>
      <w:r w:rsidRPr="00FB5C1D">
        <w:rPr>
          <w:rFonts w:ascii="Verdana" w:hAnsi="Verdana" w:cs="Times New Roman"/>
          <w:noProof/>
          <w:sz w:val="20"/>
          <w:szCs w:val="20"/>
          <w:lang w:val="en-GB" w:eastAsia="en-GB"/>
        </w:rPr>
        <w:drawing>
          <wp:anchor distT="0" distB="0" distL="114300" distR="114300" simplePos="0" relativeHeight="251609600" behindDoc="1" locked="0" layoutInCell="1" allowOverlap="1" wp14:anchorId="627B5C1C" wp14:editId="31897C0F">
            <wp:simplePos x="0" y="0"/>
            <wp:positionH relativeFrom="column">
              <wp:posOffset>1406525</wp:posOffset>
            </wp:positionH>
            <wp:positionV relativeFrom="paragraph">
              <wp:posOffset>12700</wp:posOffset>
            </wp:positionV>
            <wp:extent cx="2940050" cy="3514725"/>
            <wp:effectExtent l="0" t="0" r="0" b="9525"/>
            <wp:wrapThrough wrapText="bothSides">
              <wp:wrapPolygon edited="0">
                <wp:start x="0" y="0"/>
                <wp:lineTo x="0" y="21541"/>
                <wp:lineTo x="21413" y="21541"/>
                <wp:lineTo x="2141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940050" cy="3514725"/>
                    </a:xfrm>
                    <a:prstGeom prst="rect">
                      <a:avLst/>
                    </a:prstGeom>
                  </pic:spPr>
                </pic:pic>
              </a:graphicData>
            </a:graphic>
            <wp14:sizeRelH relativeFrom="page">
              <wp14:pctWidth>0</wp14:pctWidth>
            </wp14:sizeRelH>
            <wp14:sizeRelV relativeFrom="page">
              <wp14:pctHeight>0</wp14:pctHeight>
            </wp14:sizeRelV>
          </wp:anchor>
        </w:drawing>
      </w:r>
    </w:p>
    <w:p w:rsidR="000E223B" w:rsidRPr="000E223B" w:rsidRDefault="000E223B" w:rsidP="000E223B">
      <w:pPr>
        <w:tabs>
          <w:tab w:val="left" w:pos="720"/>
          <w:tab w:val="left" w:pos="1170"/>
        </w:tabs>
        <w:spacing w:line="360" w:lineRule="auto"/>
        <w:jc w:val="both"/>
        <w:rPr>
          <w:rFonts w:ascii="Verdana" w:hAnsi="Verdana" w:cs="Times New Roman"/>
          <w:sz w:val="20"/>
          <w:szCs w:val="20"/>
          <w:lang w:val="en-US"/>
        </w:rPr>
      </w:pPr>
    </w:p>
    <w:p w:rsidR="000E223B" w:rsidRPr="000E223B" w:rsidRDefault="000E223B" w:rsidP="000E223B">
      <w:pPr>
        <w:tabs>
          <w:tab w:val="left" w:pos="720"/>
          <w:tab w:val="left" w:pos="1170"/>
        </w:tabs>
        <w:spacing w:line="360" w:lineRule="auto"/>
        <w:jc w:val="both"/>
        <w:rPr>
          <w:rFonts w:ascii="Verdana" w:hAnsi="Verdana" w:cs="Times New Roman"/>
          <w:sz w:val="20"/>
          <w:szCs w:val="20"/>
          <w:lang w:val="en-US"/>
        </w:rPr>
      </w:pPr>
    </w:p>
    <w:p w:rsidR="000E223B" w:rsidRPr="000E223B" w:rsidRDefault="000E223B" w:rsidP="000E223B">
      <w:pPr>
        <w:tabs>
          <w:tab w:val="left" w:pos="720"/>
          <w:tab w:val="left" w:pos="1170"/>
        </w:tabs>
        <w:spacing w:line="360" w:lineRule="auto"/>
        <w:jc w:val="both"/>
        <w:rPr>
          <w:rFonts w:ascii="Verdana" w:hAnsi="Verdana" w:cs="Times New Roman"/>
          <w:sz w:val="20"/>
          <w:szCs w:val="20"/>
          <w:lang w:val="en-US"/>
        </w:rPr>
      </w:pPr>
    </w:p>
    <w:p w:rsidR="000E223B" w:rsidRPr="000E223B" w:rsidRDefault="000E223B" w:rsidP="000E223B">
      <w:pPr>
        <w:tabs>
          <w:tab w:val="left" w:pos="720"/>
          <w:tab w:val="left" w:pos="1170"/>
        </w:tabs>
        <w:spacing w:line="360" w:lineRule="auto"/>
        <w:jc w:val="both"/>
        <w:rPr>
          <w:rFonts w:ascii="Verdana" w:hAnsi="Verdana" w:cs="Times New Roman"/>
          <w:sz w:val="20"/>
          <w:szCs w:val="20"/>
          <w:lang w:val="en-US"/>
        </w:rPr>
      </w:pPr>
    </w:p>
    <w:p w:rsidR="000E223B" w:rsidRPr="000E223B" w:rsidRDefault="000E223B" w:rsidP="000E223B">
      <w:pPr>
        <w:tabs>
          <w:tab w:val="left" w:pos="720"/>
          <w:tab w:val="left" w:pos="1170"/>
        </w:tabs>
        <w:spacing w:line="360" w:lineRule="auto"/>
        <w:jc w:val="both"/>
        <w:rPr>
          <w:rFonts w:ascii="Verdana" w:hAnsi="Verdana" w:cs="Times New Roman"/>
          <w:sz w:val="20"/>
          <w:szCs w:val="20"/>
          <w:lang w:val="en-US"/>
        </w:rPr>
      </w:pPr>
    </w:p>
    <w:p w:rsidR="000E223B" w:rsidRPr="000E223B" w:rsidRDefault="000E223B" w:rsidP="000E223B">
      <w:pPr>
        <w:tabs>
          <w:tab w:val="left" w:pos="720"/>
          <w:tab w:val="left" w:pos="1170"/>
        </w:tabs>
        <w:spacing w:line="360" w:lineRule="auto"/>
        <w:jc w:val="both"/>
        <w:rPr>
          <w:rFonts w:ascii="Verdana" w:hAnsi="Verdana" w:cs="Times New Roman"/>
          <w:sz w:val="20"/>
          <w:szCs w:val="20"/>
          <w:lang w:val="en-US"/>
        </w:rPr>
      </w:pPr>
    </w:p>
    <w:p w:rsidR="000E223B" w:rsidRPr="000E223B" w:rsidRDefault="000E223B" w:rsidP="000E223B">
      <w:pPr>
        <w:tabs>
          <w:tab w:val="left" w:pos="720"/>
          <w:tab w:val="left" w:pos="1170"/>
        </w:tabs>
        <w:spacing w:line="360" w:lineRule="auto"/>
        <w:jc w:val="both"/>
        <w:rPr>
          <w:rFonts w:ascii="Verdana" w:hAnsi="Verdana" w:cs="Times New Roman"/>
          <w:sz w:val="20"/>
          <w:szCs w:val="20"/>
          <w:lang w:val="en-US"/>
        </w:rPr>
      </w:pPr>
    </w:p>
    <w:p w:rsidR="000E223B" w:rsidRPr="000E223B" w:rsidRDefault="000E223B" w:rsidP="000E223B">
      <w:pPr>
        <w:tabs>
          <w:tab w:val="left" w:pos="720"/>
          <w:tab w:val="left" w:pos="1170"/>
        </w:tabs>
        <w:spacing w:line="240" w:lineRule="auto"/>
        <w:jc w:val="center"/>
        <w:rPr>
          <w:rFonts w:ascii="Verdana" w:hAnsi="Verdana" w:cs="Times New Roman"/>
          <w:sz w:val="20"/>
          <w:szCs w:val="20"/>
          <w:lang w:val="en-US"/>
        </w:rPr>
      </w:pPr>
    </w:p>
    <w:p w:rsidR="00753959" w:rsidRDefault="00753959" w:rsidP="000E223B">
      <w:pPr>
        <w:pStyle w:val="NoSpacing"/>
        <w:jc w:val="center"/>
        <w:rPr>
          <w:rFonts w:ascii="Verdana" w:hAnsi="Verdana"/>
          <w:sz w:val="20"/>
          <w:szCs w:val="20"/>
        </w:rPr>
      </w:pPr>
    </w:p>
    <w:p w:rsidR="00753959" w:rsidRDefault="00753959" w:rsidP="000E223B">
      <w:pPr>
        <w:pStyle w:val="NoSpacing"/>
        <w:jc w:val="center"/>
        <w:rPr>
          <w:rFonts w:ascii="Verdana" w:hAnsi="Verdana"/>
          <w:sz w:val="20"/>
          <w:szCs w:val="20"/>
        </w:rPr>
      </w:pPr>
    </w:p>
    <w:p w:rsidR="00753959" w:rsidRDefault="00753959" w:rsidP="000E223B">
      <w:pPr>
        <w:pStyle w:val="NoSpacing"/>
        <w:jc w:val="center"/>
        <w:rPr>
          <w:rFonts w:ascii="Verdana" w:hAnsi="Verdana"/>
          <w:sz w:val="20"/>
          <w:szCs w:val="20"/>
        </w:rPr>
      </w:pPr>
    </w:p>
    <w:p w:rsidR="000E223B" w:rsidRPr="00753959" w:rsidRDefault="000E223B" w:rsidP="000E223B">
      <w:pPr>
        <w:pStyle w:val="NoSpacing"/>
        <w:jc w:val="center"/>
        <w:rPr>
          <w:rFonts w:ascii="Verdana" w:hAnsi="Verdana"/>
          <w:sz w:val="18"/>
          <w:szCs w:val="18"/>
        </w:rPr>
      </w:pPr>
      <w:r w:rsidRPr="00753959">
        <w:rPr>
          <w:rFonts w:ascii="Verdana" w:hAnsi="Verdana"/>
          <w:sz w:val="18"/>
          <w:szCs w:val="18"/>
        </w:rPr>
        <w:t>Figure 3.2 The key processes areas by maturity level (</w:t>
      </w:r>
      <w:r w:rsidR="00D00FE6" w:rsidRPr="00753959">
        <w:rPr>
          <w:rFonts w:ascii="Verdana" w:hAnsi="Verdana"/>
          <w:sz w:val="18"/>
          <w:szCs w:val="18"/>
        </w:rPr>
        <w:t>O’Regan</w:t>
      </w:r>
      <w:r w:rsidRPr="00753959">
        <w:rPr>
          <w:rFonts w:ascii="Verdana" w:hAnsi="Verdana"/>
          <w:sz w:val="18"/>
          <w:szCs w:val="18"/>
        </w:rPr>
        <w:t>, 2011, pp.31)</w:t>
      </w:r>
    </w:p>
    <w:p w:rsidR="000E223B" w:rsidRPr="00D46DD3" w:rsidRDefault="000E223B" w:rsidP="000E223B">
      <w:pPr>
        <w:pStyle w:val="NoSpacing"/>
        <w:jc w:val="center"/>
        <w:rPr>
          <w:rFonts w:ascii="Verdana" w:hAnsi="Verdana"/>
          <w:sz w:val="20"/>
          <w:szCs w:val="20"/>
        </w:rPr>
      </w:pPr>
    </w:p>
    <w:p w:rsidR="000E223B" w:rsidRPr="000E223B" w:rsidRDefault="000E223B" w:rsidP="000E223B">
      <w:pPr>
        <w:tabs>
          <w:tab w:val="left" w:pos="720"/>
          <w:tab w:val="left" w:pos="1170"/>
        </w:tabs>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The components of a CMM are organized as follows (</w:t>
      </w:r>
      <w:r w:rsidR="00D00FE6">
        <w:rPr>
          <w:rFonts w:ascii="Verdana" w:hAnsi="Verdana" w:cs="Times New Roman"/>
          <w:sz w:val="20"/>
          <w:szCs w:val="20"/>
          <w:lang w:val="en-US"/>
        </w:rPr>
        <w:t>O’Regan</w:t>
      </w:r>
      <w:r w:rsidRPr="000E223B">
        <w:rPr>
          <w:rFonts w:ascii="Verdana" w:hAnsi="Verdana" w:cs="Times New Roman"/>
          <w:sz w:val="20"/>
          <w:szCs w:val="20"/>
          <w:lang w:val="en-US"/>
        </w:rPr>
        <w:t xml:space="preserve">, 2011): </w:t>
      </w:r>
      <w:r w:rsidRPr="000E223B">
        <w:rPr>
          <w:rFonts w:ascii="Verdana" w:hAnsi="Verdana" w:cs="Times New Roman"/>
          <w:i/>
          <w:sz w:val="20"/>
          <w:szCs w:val="20"/>
          <w:lang w:val="en-US"/>
        </w:rPr>
        <w:t xml:space="preserve">required, expected </w:t>
      </w:r>
      <w:r w:rsidRPr="000E223B">
        <w:rPr>
          <w:rFonts w:ascii="Verdana" w:hAnsi="Verdana" w:cs="Times New Roman"/>
          <w:sz w:val="20"/>
          <w:szCs w:val="20"/>
          <w:lang w:val="en-US"/>
        </w:rPr>
        <w:t>and</w:t>
      </w:r>
      <w:r w:rsidRPr="000E223B">
        <w:rPr>
          <w:rFonts w:ascii="Verdana" w:hAnsi="Verdana" w:cs="Times New Roman"/>
          <w:i/>
          <w:sz w:val="20"/>
          <w:szCs w:val="20"/>
          <w:lang w:val="en-US"/>
        </w:rPr>
        <w:t xml:space="preserve"> informative</w:t>
      </w:r>
      <w:r w:rsidRPr="000E223B">
        <w:rPr>
          <w:rFonts w:ascii="Verdana" w:hAnsi="Verdana" w:cs="Times New Roman"/>
          <w:sz w:val="20"/>
          <w:szCs w:val="20"/>
          <w:lang w:val="en-US"/>
        </w:rPr>
        <w:t xml:space="preserve">. The </w:t>
      </w:r>
      <w:r w:rsidRPr="000E223B">
        <w:rPr>
          <w:rFonts w:ascii="Verdana" w:hAnsi="Verdana" w:cs="Times New Roman"/>
          <w:i/>
          <w:sz w:val="20"/>
          <w:szCs w:val="20"/>
          <w:lang w:val="en-US"/>
        </w:rPr>
        <w:t>required components</w:t>
      </w:r>
      <w:r w:rsidRPr="000E223B">
        <w:rPr>
          <w:rFonts w:ascii="Verdana" w:hAnsi="Verdana" w:cs="Times New Roman"/>
          <w:sz w:val="20"/>
          <w:szCs w:val="20"/>
          <w:lang w:val="en-US"/>
        </w:rPr>
        <w:t xml:space="preserve"> include the generic goals ( called </w:t>
      </w:r>
      <w:r w:rsidRPr="000E223B">
        <w:rPr>
          <w:rFonts w:ascii="Verdana" w:hAnsi="Verdana" w:cs="Times New Roman"/>
          <w:i/>
          <w:sz w:val="20"/>
          <w:szCs w:val="20"/>
          <w:lang w:val="en-US"/>
        </w:rPr>
        <w:t>common features</w:t>
      </w:r>
      <w:r w:rsidRPr="000E223B">
        <w:rPr>
          <w:rFonts w:ascii="Verdana" w:hAnsi="Verdana" w:cs="Times New Roman"/>
          <w:sz w:val="20"/>
          <w:szCs w:val="20"/>
          <w:lang w:val="en-US"/>
        </w:rPr>
        <w:t xml:space="preserve">) and the specific goals and are considered crucial to the institutionalization and implementation of the process area. The </w:t>
      </w:r>
      <w:r w:rsidRPr="000E223B">
        <w:rPr>
          <w:rFonts w:ascii="Verdana" w:hAnsi="Verdana" w:cs="Times New Roman"/>
          <w:i/>
          <w:sz w:val="20"/>
          <w:szCs w:val="20"/>
          <w:lang w:val="en-US"/>
        </w:rPr>
        <w:t>expected components</w:t>
      </w:r>
      <w:r w:rsidRPr="000E223B">
        <w:rPr>
          <w:rFonts w:ascii="Verdana" w:hAnsi="Verdana" w:cs="Times New Roman"/>
          <w:sz w:val="20"/>
          <w:szCs w:val="20"/>
          <w:lang w:val="en-US"/>
        </w:rPr>
        <w:t xml:space="preserve"> include generic and specific practices that guide the correct and successful implementation of a process area. The </w:t>
      </w:r>
      <w:r w:rsidRPr="000E223B">
        <w:rPr>
          <w:rFonts w:ascii="Verdana" w:hAnsi="Verdana" w:cs="Times New Roman"/>
          <w:i/>
          <w:sz w:val="20"/>
          <w:szCs w:val="20"/>
          <w:lang w:val="en-US"/>
        </w:rPr>
        <w:t>informative component</w:t>
      </w:r>
      <w:r w:rsidRPr="000E223B">
        <w:rPr>
          <w:rFonts w:ascii="Verdana" w:hAnsi="Verdana" w:cs="Times New Roman"/>
          <w:sz w:val="20"/>
          <w:szCs w:val="20"/>
          <w:lang w:val="en-US"/>
        </w:rPr>
        <w:t xml:space="preserve"> includes guidelines on how to implement these goals and practices. </w:t>
      </w:r>
    </w:p>
    <w:p w:rsidR="000E223B" w:rsidRPr="00FB5C1D" w:rsidRDefault="000E223B" w:rsidP="000E223B">
      <w:pPr>
        <w:pStyle w:val="Heading2"/>
        <w:spacing w:line="360" w:lineRule="auto"/>
        <w:jc w:val="both"/>
        <w:rPr>
          <w:rFonts w:ascii="Verdana" w:hAnsi="Verdana" w:cs="Times New Roman"/>
          <w:sz w:val="20"/>
          <w:szCs w:val="20"/>
        </w:rPr>
      </w:pPr>
      <w:bookmarkStart w:id="56" w:name="_Toc423597516"/>
      <w:r w:rsidRPr="00FB5C1D">
        <w:rPr>
          <w:rFonts w:ascii="Verdana" w:hAnsi="Verdana" w:cs="Times New Roman"/>
          <w:sz w:val="20"/>
          <w:szCs w:val="20"/>
        </w:rPr>
        <w:lastRenderedPageBreak/>
        <w:t>3.3.3 Common features</w:t>
      </w:r>
      <w:bookmarkEnd w:id="56"/>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Common features, as mentioned in previous sections, refer to how well key process areas are achieved and executed . The five common features mentioned by </w:t>
      </w:r>
      <w:r w:rsidR="00D00FE6">
        <w:rPr>
          <w:rFonts w:ascii="Verdana" w:hAnsi="Verdana" w:cs="Times New Roman"/>
          <w:sz w:val="20"/>
          <w:szCs w:val="20"/>
          <w:lang w:val="en-US"/>
        </w:rPr>
        <w:t>O’Regan</w:t>
      </w:r>
      <w:r w:rsidRPr="000E223B">
        <w:rPr>
          <w:rFonts w:ascii="Verdana" w:hAnsi="Verdana" w:cs="Times New Roman"/>
          <w:sz w:val="20"/>
          <w:szCs w:val="20"/>
          <w:lang w:val="en-US"/>
        </w:rPr>
        <w:t xml:space="preserve"> (2011) are the following :</w:t>
      </w:r>
    </w:p>
    <w:p w:rsidR="000E223B" w:rsidRPr="00FB5C1D" w:rsidRDefault="000E223B" w:rsidP="000E223B">
      <w:pPr>
        <w:pStyle w:val="ListParagraph"/>
        <w:numPr>
          <w:ilvl w:val="0"/>
          <w:numId w:val="8"/>
        </w:numPr>
        <w:spacing w:line="360" w:lineRule="auto"/>
        <w:ind w:left="0" w:firstLine="567"/>
        <w:jc w:val="both"/>
        <w:rPr>
          <w:rFonts w:ascii="Verdana" w:hAnsi="Verdana" w:cs="Times New Roman"/>
          <w:sz w:val="20"/>
          <w:szCs w:val="20"/>
        </w:rPr>
      </w:pPr>
      <w:r w:rsidRPr="00FB5C1D">
        <w:rPr>
          <w:rFonts w:ascii="Verdana" w:hAnsi="Verdana" w:cs="Times New Roman"/>
          <w:i/>
          <w:sz w:val="20"/>
          <w:szCs w:val="20"/>
        </w:rPr>
        <w:t>Commitment to perform</w:t>
      </w:r>
      <w:r w:rsidRPr="00FB5C1D">
        <w:rPr>
          <w:rFonts w:ascii="Verdana" w:hAnsi="Verdana" w:cs="Times New Roman"/>
          <w:sz w:val="20"/>
          <w:szCs w:val="20"/>
        </w:rPr>
        <w:t>: institute the organizational program necessary to make a process lasting and ensure sponsorship from senior management</w:t>
      </w:r>
    </w:p>
    <w:p w:rsidR="000E223B" w:rsidRPr="00FB5C1D" w:rsidRDefault="000E223B" w:rsidP="000E223B">
      <w:pPr>
        <w:pStyle w:val="ListParagraph"/>
        <w:numPr>
          <w:ilvl w:val="0"/>
          <w:numId w:val="8"/>
        </w:numPr>
        <w:spacing w:line="360" w:lineRule="auto"/>
        <w:ind w:left="0" w:firstLine="567"/>
        <w:jc w:val="both"/>
        <w:rPr>
          <w:rFonts w:ascii="Verdana" w:hAnsi="Verdana" w:cs="Times New Roman"/>
          <w:sz w:val="20"/>
          <w:szCs w:val="20"/>
        </w:rPr>
      </w:pPr>
      <w:r w:rsidRPr="00FB5C1D">
        <w:rPr>
          <w:rFonts w:ascii="Verdana" w:hAnsi="Verdana" w:cs="Times New Roman"/>
          <w:i/>
          <w:sz w:val="20"/>
          <w:szCs w:val="20"/>
        </w:rPr>
        <w:t>Ability to perform</w:t>
      </w:r>
      <w:r w:rsidRPr="00FB5C1D">
        <w:rPr>
          <w:rFonts w:ascii="Verdana" w:hAnsi="Verdana" w:cs="Times New Roman"/>
          <w:sz w:val="20"/>
          <w:szCs w:val="20"/>
        </w:rPr>
        <w:t>: what are the resources, skills and training needed to efficiently implement key process areas</w:t>
      </w:r>
    </w:p>
    <w:p w:rsidR="000E223B" w:rsidRPr="00FB5C1D" w:rsidRDefault="000E223B" w:rsidP="000E223B">
      <w:pPr>
        <w:pStyle w:val="ListParagraph"/>
        <w:numPr>
          <w:ilvl w:val="0"/>
          <w:numId w:val="8"/>
        </w:numPr>
        <w:spacing w:line="360" w:lineRule="auto"/>
        <w:ind w:left="0" w:firstLine="567"/>
        <w:jc w:val="both"/>
        <w:rPr>
          <w:rFonts w:ascii="Verdana" w:hAnsi="Verdana" w:cs="Times New Roman"/>
          <w:sz w:val="20"/>
          <w:szCs w:val="20"/>
        </w:rPr>
      </w:pPr>
      <w:r w:rsidRPr="00FB5C1D">
        <w:rPr>
          <w:rFonts w:ascii="Verdana" w:hAnsi="Verdana" w:cs="Times New Roman"/>
          <w:i/>
          <w:sz w:val="20"/>
          <w:szCs w:val="20"/>
        </w:rPr>
        <w:t>Activities performed</w:t>
      </w:r>
      <w:r w:rsidRPr="00FB5C1D">
        <w:rPr>
          <w:rFonts w:ascii="Verdana" w:hAnsi="Verdana" w:cs="Times New Roman"/>
          <w:sz w:val="20"/>
          <w:szCs w:val="20"/>
        </w:rPr>
        <w:t>: refers to the work that needs to be done for a key process area to work properly</w:t>
      </w:r>
    </w:p>
    <w:p w:rsidR="000E223B" w:rsidRPr="00FB5C1D" w:rsidRDefault="000E223B" w:rsidP="000E223B">
      <w:pPr>
        <w:pStyle w:val="ListParagraph"/>
        <w:numPr>
          <w:ilvl w:val="0"/>
          <w:numId w:val="8"/>
        </w:numPr>
        <w:spacing w:line="360" w:lineRule="auto"/>
        <w:ind w:left="0" w:firstLine="567"/>
        <w:jc w:val="both"/>
        <w:rPr>
          <w:rFonts w:ascii="Verdana" w:hAnsi="Verdana" w:cs="Times New Roman"/>
          <w:sz w:val="20"/>
          <w:szCs w:val="20"/>
        </w:rPr>
      </w:pPr>
      <w:r w:rsidRPr="00FB5C1D">
        <w:rPr>
          <w:rFonts w:ascii="Verdana" w:hAnsi="Verdana" w:cs="Times New Roman"/>
          <w:i/>
          <w:sz w:val="20"/>
          <w:szCs w:val="20"/>
        </w:rPr>
        <w:t>Measurement and analysis</w:t>
      </w:r>
      <w:r w:rsidRPr="00FB5C1D">
        <w:rPr>
          <w:rFonts w:ascii="Verdana" w:hAnsi="Verdana" w:cs="Times New Roman"/>
          <w:sz w:val="20"/>
          <w:szCs w:val="20"/>
        </w:rPr>
        <w:t>: refers to how a successful implementation could be measured</w:t>
      </w:r>
    </w:p>
    <w:p w:rsidR="000E223B" w:rsidRPr="00FB5C1D" w:rsidRDefault="000E223B" w:rsidP="000E223B">
      <w:pPr>
        <w:pStyle w:val="ListParagraph"/>
        <w:numPr>
          <w:ilvl w:val="0"/>
          <w:numId w:val="8"/>
        </w:numPr>
        <w:spacing w:line="360" w:lineRule="auto"/>
        <w:ind w:left="0" w:firstLine="567"/>
        <w:jc w:val="both"/>
        <w:rPr>
          <w:rFonts w:ascii="Verdana" w:hAnsi="Verdana" w:cs="Times New Roman"/>
          <w:sz w:val="20"/>
          <w:szCs w:val="20"/>
        </w:rPr>
      </w:pPr>
      <w:r w:rsidRPr="00FB5C1D">
        <w:rPr>
          <w:rFonts w:ascii="Verdana" w:hAnsi="Verdana" w:cs="Times New Roman"/>
          <w:i/>
          <w:sz w:val="20"/>
          <w:szCs w:val="20"/>
        </w:rPr>
        <w:t>Verifying implementation</w:t>
      </w:r>
      <w:r w:rsidRPr="00FB5C1D">
        <w:rPr>
          <w:rFonts w:ascii="Verdana" w:hAnsi="Verdana" w:cs="Times New Roman"/>
          <w:sz w:val="20"/>
          <w:szCs w:val="20"/>
        </w:rPr>
        <w:t xml:space="preserve">: refers to potential reviews and audits as well as software quality assurance checks </w:t>
      </w:r>
    </w:p>
    <w:p w:rsidR="000E223B" w:rsidRPr="00FB5C1D" w:rsidRDefault="000E223B" w:rsidP="000E223B">
      <w:pPr>
        <w:pStyle w:val="Heading2"/>
        <w:spacing w:line="360" w:lineRule="auto"/>
        <w:jc w:val="both"/>
        <w:rPr>
          <w:rFonts w:ascii="Verdana" w:hAnsi="Verdana" w:cs="Times New Roman"/>
          <w:sz w:val="20"/>
          <w:szCs w:val="20"/>
        </w:rPr>
      </w:pPr>
      <w:bookmarkStart w:id="57" w:name="_Toc423597517"/>
      <w:r w:rsidRPr="00FB5C1D">
        <w:rPr>
          <w:rFonts w:ascii="Verdana" w:hAnsi="Verdana" w:cs="Times New Roman"/>
          <w:sz w:val="20"/>
          <w:szCs w:val="20"/>
        </w:rPr>
        <w:t>3.3.4 Goals and key practices</w:t>
      </w:r>
      <w:bookmarkEnd w:id="57"/>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Both goals and key practices are generic descriptions (goals) / activities (practices) which are defined according to what a key process area is expected to accomplish by its execution. Goals refer to what the key process area is expected to accomplish while key practices indicate what is needed to do in order to accomplish a specific goal without as such, indication how the goal is expected to be achieved (</w:t>
      </w:r>
      <w:r w:rsidR="00D00FE6">
        <w:rPr>
          <w:rFonts w:ascii="Verdana" w:hAnsi="Verdana" w:cs="Times New Roman"/>
          <w:sz w:val="20"/>
          <w:szCs w:val="20"/>
          <w:lang w:val="en-US"/>
        </w:rPr>
        <w:t>O’Regan</w:t>
      </w:r>
      <w:r w:rsidRPr="000E223B">
        <w:rPr>
          <w:rFonts w:ascii="Verdana" w:hAnsi="Verdana" w:cs="Times New Roman"/>
          <w:sz w:val="20"/>
          <w:szCs w:val="20"/>
          <w:lang w:val="en-US"/>
        </w:rPr>
        <w:t xml:space="preserve"> , 2011).</w:t>
      </w:r>
    </w:p>
    <w:p w:rsidR="000E223B" w:rsidRPr="00FB5C1D" w:rsidRDefault="000E223B" w:rsidP="000E223B">
      <w:pPr>
        <w:pStyle w:val="Heading2"/>
        <w:spacing w:line="360" w:lineRule="auto"/>
        <w:jc w:val="both"/>
        <w:rPr>
          <w:rFonts w:ascii="Verdana" w:hAnsi="Verdana" w:cs="Times New Roman"/>
          <w:sz w:val="20"/>
          <w:szCs w:val="20"/>
        </w:rPr>
      </w:pPr>
      <w:bookmarkStart w:id="58" w:name="_Toc423597518"/>
      <w:r w:rsidRPr="00FB5C1D">
        <w:rPr>
          <w:rFonts w:ascii="Verdana" w:hAnsi="Verdana" w:cs="Times New Roman"/>
          <w:sz w:val="20"/>
          <w:szCs w:val="20"/>
        </w:rPr>
        <w:t>3.3.5 Maturity levels</w:t>
      </w:r>
      <w:bookmarkEnd w:id="58"/>
    </w:p>
    <w:p w:rsidR="000E223B" w:rsidRPr="000E223B" w:rsidRDefault="000E223B" w:rsidP="000E223B">
      <w:pPr>
        <w:tabs>
          <w:tab w:val="left" w:pos="720"/>
          <w:tab w:val="left" w:pos="1170"/>
        </w:tabs>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We wanted to mention that initially, the origin of software process improvement was associated with the work of Walter Shewhart’s in the 1930’s on statistical process control (</w:t>
      </w:r>
      <w:r w:rsidR="00D00FE6">
        <w:rPr>
          <w:rFonts w:ascii="Verdana" w:hAnsi="Verdana" w:cs="Times New Roman"/>
          <w:sz w:val="20"/>
          <w:szCs w:val="20"/>
          <w:lang w:val="en-US"/>
        </w:rPr>
        <w:t>O’Regan</w:t>
      </w:r>
      <w:r w:rsidRPr="000E223B">
        <w:rPr>
          <w:rFonts w:ascii="Verdana" w:hAnsi="Verdana" w:cs="Times New Roman"/>
          <w:sz w:val="20"/>
          <w:szCs w:val="20"/>
          <w:lang w:val="en-US"/>
        </w:rPr>
        <w:t xml:space="preserve"> , 2011). We found Humphrey (1988) as one of the few authors what the advanced notion of statistical control is when referring to maturity models as a way for measuring process institutionalization: a process which is under statistical control will always produce the same results when it’s repeated. </w:t>
      </w:r>
    </w:p>
    <w:p w:rsidR="000E223B" w:rsidRPr="000E223B" w:rsidRDefault="000E223B" w:rsidP="000E223B">
      <w:pPr>
        <w:tabs>
          <w:tab w:val="left" w:pos="720"/>
          <w:tab w:val="left" w:pos="1170"/>
        </w:tabs>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The SEI (Team, 2010) provides a thorough description of each maturity level in a staged approached. They describe level 1 as disorganized and unable to sustain the existence of process areas. They continue by  describing this level as ad-hoc and chaotic with no formalized procedures, schedules, budgets or project plans. The crisis reaction in case of problems is to abandon all techniques and tools in place and focus on fire-fighting: this total abandonment reaction stems from the lack of experience and understanding of the consequences which come with total abandonment. </w:t>
      </w:r>
    </w:p>
    <w:p w:rsidR="000E223B" w:rsidRPr="000E223B" w:rsidRDefault="000E223B" w:rsidP="000E223B">
      <w:pPr>
        <w:tabs>
          <w:tab w:val="left" w:pos="720"/>
          <w:tab w:val="left" w:pos="1170"/>
        </w:tabs>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lastRenderedPageBreak/>
        <w:t>Level 2, repeatable or managed process at this level, a commitment control systems is in place and organizations have gained enough experience to be able to successfully repeat the process and results obtained so far (Team, 2010). However, because the experience is repeatable, most organizations will face challenges in their daily activities when faced with new, unprecedented experiences and projects. A process group should be set in place at this stage to focus on improving the processes in place (instead of focusing exclusively on the end product) : define the development process, identify technology needs and opportunities, review statuses and performance and report to management (</w:t>
      </w:r>
      <w:r w:rsidR="00D00FE6">
        <w:rPr>
          <w:rFonts w:ascii="Verdana" w:hAnsi="Verdana" w:cs="Times New Roman"/>
          <w:sz w:val="20"/>
          <w:szCs w:val="20"/>
          <w:lang w:val="en-US"/>
        </w:rPr>
        <w:t>O’Regan</w:t>
      </w:r>
      <w:r w:rsidRPr="000E223B">
        <w:rPr>
          <w:rFonts w:ascii="Verdana" w:hAnsi="Verdana" w:cs="Times New Roman"/>
          <w:sz w:val="20"/>
          <w:szCs w:val="20"/>
          <w:lang w:val="en-US"/>
        </w:rPr>
        <w:t>, 2011).</w:t>
      </w:r>
    </w:p>
    <w:p w:rsidR="000E223B" w:rsidRPr="000E223B" w:rsidRDefault="000E223B" w:rsidP="000E223B">
      <w:pPr>
        <w:tabs>
          <w:tab w:val="left" w:pos="720"/>
          <w:tab w:val="left" w:pos="1170"/>
        </w:tabs>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At level 3  (</w:t>
      </w:r>
      <w:r w:rsidR="00D00FE6">
        <w:rPr>
          <w:rFonts w:ascii="Verdana" w:hAnsi="Verdana" w:cs="Times New Roman"/>
          <w:sz w:val="20"/>
          <w:szCs w:val="20"/>
          <w:lang w:val="en-US"/>
        </w:rPr>
        <w:t>O’Regan</w:t>
      </w:r>
      <w:r w:rsidRPr="000E223B">
        <w:rPr>
          <w:rFonts w:ascii="Verdana" w:hAnsi="Verdana" w:cs="Times New Roman"/>
          <w:sz w:val="20"/>
          <w:szCs w:val="20"/>
          <w:lang w:val="en-US"/>
        </w:rPr>
        <w:t xml:space="preserve">, 2011) defined process we can say that foundations have been set and the defined process is used during crisis situations as well. There is consistency in the way projects are managed across the enterprise and these guidelines allow for tailoring and customization by project specifics. Risk management and decision analysis are implemented by following standards, procedures and criteria. </w:t>
      </w:r>
    </w:p>
    <w:p w:rsidR="000E223B" w:rsidRPr="000E223B" w:rsidRDefault="000E223B" w:rsidP="000E223B">
      <w:pPr>
        <w:tabs>
          <w:tab w:val="left" w:pos="720"/>
          <w:tab w:val="left" w:pos="1170"/>
        </w:tabs>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Level 4 managed (</w:t>
      </w:r>
      <w:r w:rsidR="00D00FE6">
        <w:rPr>
          <w:rFonts w:ascii="Verdana" w:hAnsi="Verdana" w:cs="Times New Roman"/>
          <w:sz w:val="20"/>
          <w:szCs w:val="20"/>
          <w:lang w:val="en-US"/>
        </w:rPr>
        <w:t>O’Regan</w:t>
      </w:r>
      <w:r w:rsidRPr="000E223B">
        <w:rPr>
          <w:rFonts w:ascii="Verdana" w:hAnsi="Verdana" w:cs="Times New Roman"/>
          <w:sz w:val="20"/>
          <w:szCs w:val="20"/>
          <w:lang w:val="en-US"/>
        </w:rPr>
        <w:t xml:space="preserve">, 2011) is characterized by the existence of a quantitative goals for evaluating key process areas and products : gathering of data over processes should be automatic and this data should be used for setting quantitative targets in order to improve measurement of productivity and quality for each process. </w:t>
      </w:r>
    </w:p>
    <w:p w:rsidR="000E223B" w:rsidRPr="000E223B" w:rsidRDefault="000E223B" w:rsidP="000E223B">
      <w:pPr>
        <w:tabs>
          <w:tab w:val="left" w:pos="720"/>
          <w:tab w:val="left" w:pos="1170"/>
        </w:tabs>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Level 5 optimized (</w:t>
      </w:r>
      <w:r w:rsidR="00D00FE6">
        <w:rPr>
          <w:rFonts w:ascii="Verdana" w:hAnsi="Verdana" w:cs="Times New Roman"/>
          <w:sz w:val="20"/>
          <w:szCs w:val="20"/>
          <w:lang w:val="en-US"/>
        </w:rPr>
        <w:t>O’Regan</w:t>
      </w:r>
      <w:r w:rsidRPr="000E223B">
        <w:rPr>
          <w:rFonts w:ascii="Verdana" w:hAnsi="Verdana" w:cs="Times New Roman"/>
          <w:sz w:val="20"/>
          <w:szCs w:val="20"/>
          <w:lang w:val="en-US"/>
        </w:rPr>
        <w:t xml:space="preserve">, 2011) is focused on continuous improvement, on prevention and best practices from previous projects as well as on innovation in the context of technologies and methods used. </w:t>
      </w:r>
    </w:p>
    <w:p w:rsidR="000E223B" w:rsidRPr="000E223B" w:rsidRDefault="00D00FE6" w:rsidP="000E223B">
      <w:pPr>
        <w:tabs>
          <w:tab w:val="left" w:pos="720"/>
          <w:tab w:val="left" w:pos="1170"/>
        </w:tabs>
        <w:spacing w:line="360" w:lineRule="auto"/>
        <w:jc w:val="both"/>
        <w:rPr>
          <w:rFonts w:ascii="Verdana" w:hAnsi="Verdana" w:cs="Times New Roman"/>
          <w:sz w:val="20"/>
          <w:szCs w:val="20"/>
          <w:lang w:val="en-US"/>
        </w:rPr>
      </w:pPr>
      <w:r>
        <w:rPr>
          <w:rFonts w:ascii="Verdana" w:hAnsi="Verdana" w:cs="Times New Roman"/>
          <w:sz w:val="20"/>
          <w:szCs w:val="20"/>
          <w:lang w:val="en-US"/>
        </w:rPr>
        <w:t>O’Regan</w:t>
      </w:r>
      <w:r w:rsidR="000E223B" w:rsidRPr="000E223B">
        <w:rPr>
          <w:rFonts w:ascii="Verdana" w:hAnsi="Verdana" w:cs="Times New Roman"/>
          <w:sz w:val="20"/>
          <w:szCs w:val="20"/>
          <w:lang w:val="en-US"/>
        </w:rPr>
        <w:t xml:space="preserve"> (2011) recommends not to skip any maturity levels as each one builds on the previous one. However, companies may astray from the standard improvement roadmap by focusing its improvements on the key process areas which are more in line with the current business goals and operations: this way, companies can benefit from actual, useful improvements. Size and current maturity levels define the time it takes to implement successive maturity models in an organization : it takes 1-2 years to implement level 2 and around 2-3 years for the following levels. </w:t>
      </w:r>
    </w:p>
    <w:p w:rsidR="000E223B" w:rsidRPr="000E223B" w:rsidRDefault="000E223B" w:rsidP="000E223B">
      <w:pPr>
        <w:tabs>
          <w:tab w:val="left" w:pos="720"/>
          <w:tab w:val="left" w:pos="1170"/>
        </w:tabs>
        <w:spacing w:line="360" w:lineRule="auto"/>
        <w:jc w:val="both"/>
        <w:rPr>
          <w:rFonts w:ascii="Verdana" w:hAnsi="Verdana" w:cs="Times New Roman"/>
          <w:sz w:val="20"/>
          <w:szCs w:val="20"/>
          <w:lang w:val="en-US"/>
        </w:rPr>
      </w:pPr>
    </w:p>
    <w:p w:rsidR="000E223B" w:rsidRPr="00FB5C1D" w:rsidRDefault="000E223B" w:rsidP="000E223B">
      <w:pPr>
        <w:pStyle w:val="Heading2"/>
        <w:spacing w:line="360" w:lineRule="auto"/>
        <w:jc w:val="both"/>
        <w:rPr>
          <w:rFonts w:ascii="Verdana" w:hAnsi="Verdana" w:cs="Times New Roman"/>
          <w:sz w:val="20"/>
          <w:szCs w:val="20"/>
        </w:rPr>
      </w:pPr>
      <w:bookmarkStart w:id="59" w:name="_Toc423597519"/>
      <w:r w:rsidRPr="00FB5C1D">
        <w:rPr>
          <w:rFonts w:ascii="Verdana" w:hAnsi="Verdana" w:cs="Times New Roman"/>
          <w:sz w:val="20"/>
          <w:szCs w:val="20"/>
        </w:rPr>
        <w:t>3.3.6 Domain applications for CMM’s</w:t>
      </w:r>
      <w:bookmarkEnd w:id="59"/>
    </w:p>
    <w:p w:rsidR="000E223B" w:rsidRPr="000E223B" w:rsidRDefault="000E223B" w:rsidP="000E223B">
      <w:pPr>
        <w:tabs>
          <w:tab w:val="left" w:pos="720"/>
          <w:tab w:val="left" w:pos="1170"/>
        </w:tabs>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According to </w:t>
      </w:r>
      <w:r w:rsidR="00D00FE6">
        <w:rPr>
          <w:rFonts w:ascii="Verdana" w:hAnsi="Verdana" w:cs="Times New Roman"/>
          <w:sz w:val="20"/>
          <w:szCs w:val="20"/>
          <w:lang w:val="en-US"/>
        </w:rPr>
        <w:t>O’Regan</w:t>
      </w:r>
      <w:r w:rsidRPr="000E223B">
        <w:rPr>
          <w:rFonts w:ascii="Verdana" w:hAnsi="Verdana" w:cs="Times New Roman"/>
          <w:sz w:val="20"/>
          <w:szCs w:val="20"/>
          <w:lang w:val="en-US"/>
        </w:rPr>
        <w:t xml:space="preserve"> (2011) the success of the software CMM led to the development of other process maturity models such as the systems engineering capability maturity model (CMM/SE) which is concerned with maturing systems engineering practices or the people capability maturity model (P-CMM) which is concerned with improving the ability </w:t>
      </w:r>
      <w:r w:rsidRPr="000E223B">
        <w:rPr>
          <w:rFonts w:ascii="Verdana" w:hAnsi="Verdana" w:cs="Times New Roman"/>
          <w:sz w:val="20"/>
          <w:szCs w:val="20"/>
          <w:lang w:val="en-US"/>
        </w:rPr>
        <w:lastRenderedPageBreak/>
        <w:t xml:space="preserve">of the software organizations to attract, develop and retain talented software engineering professionals. </w:t>
      </w:r>
    </w:p>
    <w:p w:rsidR="000E223B" w:rsidRPr="000E223B" w:rsidRDefault="000E223B" w:rsidP="000E223B">
      <w:pPr>
        <w:tabs>
          <w:tab w:val="left" w:pos="720"/>
          <w:tab w:val="left" w:pos="1170"/>
        </w:tabs>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Even in domains outside of systems engineering, capability maturity models are popular because they enable the organization to identify key lifecycle concepts and measurements which impact the successful implementation of business processes. Thamir and Theodoulidis (2013) mention an array of CMM models used in areas such as business intelligence, data warehousing; analytical capabilities or infrastructure optimization. </w:t>
      </w:r>
    </w:p>
    <w:p w:rsidR="000E223B" w:rsidRPr="000E223B" w:rsidRDefault="000E223B" w:rsidP="000E223B">
      <w:pPr>
        <w:tabs>
          <w:tab w:val="left" w:pos="720"/>
          <w:tab w:val="left" w:pos="1170"/>
        </w:tabs>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Curley (2008) has developed an IT capability maturity framework in which he identified 4 axis of management, called ‘macro-processes’: managing the IT budget, managing the IT capability, managing for IT business value and managing IT like a business. Curley describes each of the 4 identified key processes from a maturity level point of view : each dimension is characterized on five levels which address different perspectives of capabilities management for IT. For example, managing IT like a budget involves the existence of a sustainable economic model at level 5 while managing the IT capability pairs up with developing a technical expertise at level 3. Curley’s research tested whether the level of process maturity is correlated to a value outcome. Based on the developed model, the average maturities of the 4 macro-processes turned out to be fairly good predictors of value, especially managing IT like a business proved to be the best predicator of value. </w:t>
      </w:r>
    </w:p>
    <w:p w:rsidR="000E223B" w:rsidRPr="000E223B" w:rsidRDefault="000E223B" w:rsidP="000E223B">
      <w:pPr>
        <w:tabs>
          <w:tab w:val="left" w:pos="720"/>
          <w:tab w:val="left" w:pos="1170"/>
        </w:tabs>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Another research in the domain of IT governance and maturity levels is AlAgha(2013) which suggests that increasing the level of IT governance maturity is best done by monitoring how IT performance is measured. He also mentions elements such as evaluation of value delivery, alignment of business and IT, monitoring of IT resources, risk and management. He continues by adding that increasing the effectiveness of IT governance is best done by appointing an IT steering committee and developing a web portal where activities related to governance are communicated as well as the existence of an IT strategy committee proved to be very helpful. </w:t>
      </w:r>
    </w:p>
    <w:p w:rsidR="000E223B" w:rsidRPr="000E223B" w:rsidRDefault="000E223B" w:rsidP="000E223B">
      <w:pPr>
        <w:pStyle w:val="Heading1"/>
        <w:spacing w:line="360" w:lineRule="auto"/>
        <w:jc w:val="both"/>
        <w:rPr>
          <w:rFonts w:ascii="Verdana" w:hAnsi="Verdana" w:cs="Times New Roman"/>
          <w:sz w:val="20"/>
          <w:szCs w:val="20"/>
          <w:lang w:val="en-US"/>
        </w:rPr>
      </w:pPr>
      <w:bookmarkStart w:id="60" w:name="_Toc423597520"/>
      <w:r w:rsidRPr="000E223B">
        <w:rPr>
          <w:rFonts w:ascii="Verdana" w:hAnsi="Verdana" w:cs="Times New Roman"/>
          <w:sz w:val="20"/>
          <w:szCs w:val="20"/>
          <w:lang w:val="en-US"/>
        </w:rPr>
        <w:t>3.4 Chapter conclusion</w:t>
      </w:r>
      <w:bookmarkEnd w:id="60"/>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Capability maturity models have a large applications in domains other than software development because of their methodic, efficient and organized structures which allow for a deep drill in an organizations inner working processes. Judging maturity by performance, capability and processes allows for a thorough evaluation of how well an organization is performing versus how much better an organization could be performing. </w:t>
      </w:r>
    </w:p>
    <w:p w:rsidR="000E223B" w:rsidRPr="00FB5C1D" w:rsidRDefault="000E223B" w:rsidP="000E223B">
      <w:pPr>
        <w:pStyle w:val="ListParagraph"/>
        <w:tabs>
          <w:tab w:val="left" w:pos="720"/>
          <w:tab w:val="left" w:pos="1170"/>
        </w:tabs>
        <w:spacing w:line="360" w:lineRule="auto"/>
        <w:ind w:left="0"/>
        <w:jc w:val="both"/>
        <w:rPr>
          <w:rFonts w:ascii="Verdana" w:hAnsi="Verdana" w:cs="Times New Roman"/>
          <w:sz w:val="20"/>
          <w:szCs w:val="20"/>
        </w:rPr>
      </w:pPr>
      <w:r w:rsidRPr="00FB5C1D">
        <w:rPr>
          <w:rFonts w:ascii="Verdana" w:hAnsi="Verdana" w:cs="Times New Roman"/>
          <w:sz w:val="20"/>
          <w:szCs w:val="20"/>
        </w:rPr>
        <w:lastRenderedPageBreak/>
        <w:t xml:space="preserve">After having presented the inner workings of a capability maturity model in its original environment which is software development processes, we plan on transferring these models to other areas of an organization and building upon their original logic to construct models applicable to the problem at hand. The main objective of such a model remains to firmly ground them in an attempt to move an organization to a higher level of maturity while creating a strong, long-term competitive advantage which constitutes the basis for further improvements, advancement and progress. In the following chapters, we will show how to use capability maturity model to create strong, efficient and improved processes. </w:t>
      </w:r>
    </w:p>
    <w:p w:rsidR="00820B38" w:rsidRDefault="00820B38" w:rsidP="000E223B">
      <w:pPr>
        <w:spacing w:line="360" w:lineRule="auto"/>
        <w:jc w:val="both"/>
        <w:rPr>
          <w:rFonts w:ascii="Verdana" w:hAnsi="Verdana" w:cs="Times New Roman"/>
          <w:b/>
          <w:sz w:val="20"/>
          <w:szCs w:val="20"/>
          <w:lang w:val="en-US"/>
        </w:rPr>
        <w:sectPr w:rsidR="00820B38" w:rsidSect="00820B38">
          <w:type w:val="oddPage"/>
          <w:pgSz w:w="11906" w:h="16838"/>
          <w:pgMar w:top="1440" w:right="1440" w:bottom="1440" w:left="1440" w:header="708" w:footer="708" w:gutter="0"/>
          <w:cols w:space="708"/>
          <w:docGrid w:linePitch="360"/>
        </w:sectPr>
      </w:pPr>
    </w:p>
    <w:p w:rsidR="000E223B" w:rsidRPr="000E223B" w:rsidRDefault="000E223B" w:rsidP="000E223B">
      <w:pPr>
        <w:spacing w:line="360" w:lineRule="auto"/>
        <w:jc w:val="both"/>
        <w:rPr>
          <w:rFonts w:ascii="Verdana" w:hAnsi="Verdana" w:cs="Times New Roman"/>
          <w:b/>
          <w:sz w:val="20"/>
          <w:szCs w:val="20"/>
          <w:lang w:val="en-US"/>
        </w:rPr>
      </w:pPr>
    </w:p>
    <w:p w:rsidR="000E223B" w:rsidRPr="000E223B" w:rsidRDefault="000E223B" w:rsidP="000E223B">
      <w:pPr>
        <w:pStyle w:val="Heading1"/>
        <w:rPr>
          <w:b w:val="0"/>
          <w:lang w:val="en-US"/>
        </w:rPr>
      </w:pPr>
      <w:bookmarkStart w:id="61" w:name="_Toc423597521"/>
      <w:r w:rsidRPr="000E223B">
        <w:rPr>
          <w:rStyle w:val="Strong"/>
          <w:rFonts w:ascii="Verdana" w:hAnsi="Verdana" w:cs="Times New Roman"/>
          <w:b/>
          <w:sz w:val="20"/>
          <w:szCs w:val="20"/>
          <w:lang w:val="en-US"/>
        </w:rPr>
        <w:t>4. DATA GOVERNANCE</w:t>
      </w:r>
      <w:bookmarkEnd w:id="61"/>
    </w:p>
    <w:p w:rsidR="000E223B" w:rsidRPr="000E223B" w:rsidRDefault="000E223B" w:rsidP="000E223B">
      <w:pPr>
        <w:pStyle w:val="Heading1"/>
        <w:spacing w:line="360" w:lineRule="auto"/>
        <w:jc w:val="both"/>
        <w:rPr>
          <w:rFonts w:ascii="Verdana" w:hAnsi="Verdana" w:cs="Times New Roman"/>
          <w:sz w:val="20"/>
          <w:szCs w:val="20"/>
          <w:lang w:val="en-US"/>
        </w:rPr>
      </w:pPr>
      <w:bookmarkStart w:id="62" w:name="_Toc423597522"/>
      <w:r w:rsidRPr="000E223B">
        <w:rPr>
          <w:rFonts w:ascii="Verdana" w:hAnsi="Verdana" w:cs="Times New Roman"/>
          <w:sz w:val="20"/>
          <w:szCs w:val="20"/>
          <w:lang w:val="en-US"/>
        </w:rPr>
        <w:t>4.1 About this chapter</w:t>
      </w:r>
      <w:bookmarkEnd w:id="62"/>
    </w:p>
    <w:p w:rsidR="000E223B" w:rsidRPr="00FB5C1D" w:rsidRDefault="000E223B" w:rsidP="000E223B">
      <w:pPr>
        <w:pStyle w:val="ListParagraph"/>
        <w:spacing w:line="360" w:lineRule="auto"/>
        <w:ind w:left="0"/>
        <w:jc w:val="both"/>
        <w:rPr>
          <w:rFonts w:ascii="Verdana" w:hAnsi="Verdana" w:cs="Times New Roman"/>
          <w:i/>
          <w:sz w:val="20"/>
          <w:szCs w:val="20"/>
        </w:rPr>
      </w:pPr>
      <w:r w:rsidRPr="00FB5C1D">
        <w:rPr>
          <w:rFonts w:ascii="Verdana" w:hAnsi="Verdana" w:cs="Times New Roman"/>
          <w:i/>
          <w:sz w:val="20"/>
          <w:szCs w:val="20"/>
        </w:rPr>
        <w:t>Data governance research is ambiguous in the scientific community today, mostly due to the differences existing between the concepts which form the building blocks of a governance program : data and information, governance and management, IT and business labels,…</w:t>
      </w:r>
      <w:r>
        <w:rPr>
          <w:rFonts w:ascii="Verdana" w:hAnsi="Verdana" w:cs="Times New Roman"/>
          <w:i/>
          <w:sz w:val="20"/>
          <w:szCs w:val="20"/>
        </w:rPr>
        <w:t xml:space="preserve"> </w:t>
      </w:r>
      <w:r w:rsidRPr="00FB5C1D">
        <w:rPr>
          <w:rFonts w:ascii="Verdana" w:hAnsi="Verdana" w:cs="Times New Roman"/>
          <w:i/>
          <w:sz w:val="20"/>
          <w:szCs w:val="20"/>
        </w:rPr>
        <w:t xml:space="preserve">Defining and differentiating these concepts is important in understanding where a data governance structure is positioned and what the use of this term refers to. Whether these programs should be defined under IT sponsorship or loosely from such an authority is mainly determined by the contingency factors contributing to positioning an organization in both internal and external environments. For this positioning to take place, specifying a common data governance definition nevertheless proves to be crucial in determining and isolating the different elements which constitute the backbone of such programs. Identifying, defining and explaining the process layers, responsibilities and decision-making structures that come together and interact in governance topics allows for prioritizing and ranking the elements of a data governance program. These layers allow in return for tailoring to specific needs and requirements such as integration of new concepts and phenomena like big data technologies. </w:t>
      </w:r>
    </w:p>
    <w:p w:rsidR="000E223B" w:rsidRPr="00FB5C1D" w:rsidRDefault="000E223B" w:rsidP="000E223B">
      <w:pPr>
        <w:pStyle w:val="ListParagraph"/>
        <w:spacing w:line="360" w:lineRule="auto"/>
        <w:ind w:left="0"/>
        <w:jc w:val="both"/>
        <w:rPr>
          <w:rFonts w:ascii="Verdana" w:hAnsi="Verdana" w:cs="Times New Roman"/>
          <w:b/>
          <w:sz w:val="20"/>
          <w:szCs w:val="20"/>
        </w:rPr>
      </w:pPr>
    </w:p>
    <w:p w:rsidR="000E223B" w:rsidRPr="000E223B" w:rsidRDefault="000E223B" w:rsidP="000E223B">
      <w:pPr>
        <w:pStyle w:val="Heading1"/>
        <w:spacing w:line="360" w:lineRule="auto"/>
        <w:jc w:val="both"/>
        <w:rPr>
          <w:rStyle w:val="Strong"/>
          <w:rFonts w:ascii="Verdana" w:hAnsi="Verdana" w:cs="Times New Roman"/>
          <w:b/>
          <w:bCs/>
          <w:sz w:val="20"/>
          <w:szCs w:val="20"/>
          <w:lang w:val="en-US"/>
        </w:rPr>
      </w:pPr>
      <w:bookmarkStart w:id="63" w:name="_Toc423597523"/>
      <w:r w:rsidRPr="000E223B">
        <w:rPr>
          <w:rStyle w:val="Strong"/>
          <w:rFonts w:ascii="Verdana" w:hAnsi="Verdana" w:cs="Times New Roman"/>
          <w:b/>
          <w:bCs/>
          <w:sz w:val="20"/>
          <w:szCs w:val="20"/>
          <w:lang w:val="en-US"/>
        </w:rPr>
        <w:t>4.2. Concepts and theories</w:t>
      </w:r>
      <w:bookmarkEnd w:id="63"/>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This chapter explains the different concepts used in data governance as well as the models and ideas used to theorize it.  </w:t>
      </w:r>
    </w:p>
    <w:p w:rsidR="000E223B" w:rsidRPr="00753959" w:rsidRDefault="000E223B" w:rsidP="000E223B">
      <w:pPr>
        <w:pStyle w:val="Heading2"/>
        <w:spacing w:line="360" w:lineRule="auto"/>
        <w:jc w:val="both"/>
        <w:rPr>
          <w:rFonts w:ascii="Verdana" w:hAnsi="Verdana" w:cs="Times New Roman"/>
          <w:sz w:val="20"/>
          <w:szCs w:val="20"/>
          <w:lang w:val="fr-BE"/>
        </w:rPr>
      </w:pPr>
      <w:bookmarkStart w:id="64" w:name="_Toc423597524"/>
      <w:r w:rsidRPr="00753959">
        <w:rPr>
          <w:rFonts w:ascii="Verdana" w:hAnsi="Verdana" w:cs="Times New Roman"/>
          <w:sz w:val="20"/>
          <w:szCs w:val="20"/>
          <w:lang w:val="fr-BE"/>
        </w:rPr>
        <w:t>4.2.1 Data and information</w:t>
      </w:r>
      <w:bookmarkEnd w:id="64"/>
    </w:p>
    <w:p w:rsidR="000E223B" w:rsidRPr="00FB5C1D" w:rsidRDefault="000E223B" w:rsidP="000E223B">
      <w:pPr>
        <w:pStyle w:val="ListParagraph"/>
        <w:spacing w:line="360" w:lineRule="auto"/>
        <w:ind w:left="0"/>
        <w:jc w:val="both"/>
        <w:rPr>
          <w:rFonts w:ascii="Verdana" w:hAnsi="Verdana" w:cs="Times New Roman"/>
          <w:sz w:val="20"/>
          <w:szCs w:val="20"/>
        </w:rPr>
      </w:pPr>
      <w:r w:rsidRPr="00753959">
        <w:rPr>
          <w:rFonts w:ascii="Verdana" w:hAnsi="Verdana" w:cs="Times New Roman"/>
          <w:sz w:val="20"/>
          <w:szCs w:val="20"/>
          <w:lang w:val="fr-BE"/>
        </w:rPr>
        <w:t>De Abreu Faria</w:t>
      </w:r>
      <w:r w:rsidR="00AC1BC4" w:rsidRPr="00753959">
        <w:rPr>
          <w:rFonts w:ascii="Verdana" w:hAnsi="Verdana" w:cs="Times New Roman"/>
          <w:sz w:val="20"/>
          <w:szCs w:val="20"/>
          <w:lang w:val="fr-BE"/>
        </w:rPr>
        <w:t xml:space="preserve"> et al.</w:t>
      </w:r>
      <w:r w:rsidRPr="00753959">
        <w:rPr>
          <w:rFonts w:ascii="Verdana" w:hAnsi="Verdana" w:cs="Times New Roman"/>
          <w:sz w:val="20"/>
          <w:szCs w:val="20"/>
          <w:lang w:val="fr-BE"/>
        </w:rPr>
        <w:t xml:space="preserve"> </w:t>
      </w:r>
      <w:r w:rsidRPr="00FB5C1D">
        <w:rPr>
          <w:rFonts w:ascii="Verdana" w:hAnsi="Verdana" w:cs="Times New Roman"/>
          <w:sz w:val="20"/>
          <w:szCs w:val="20"/>
        </w:rPr>
        <w:t xml:space="preserve">(2013) begin their research by first differentiating between </w:t>
      </w:r>
      <w:r w:rsidRPr="00FB5C1D">
        <w:rPr>
          <w:rFonts w:ascii="Verdana" w:hAnsi="Verdana" w:cs="Times New Roman"/>
          <w:i/>
          <w:sz w:val="20"/>
          <w:szCs w:val="20"/>
        </w:rPr>
        <w:t>data</w:t>
      </w:r>
      <w:r w:rsidRPr="00FB5C1D">
        <w:rPr>
          <w:rFonts w:ascii="Verdana" w:hAnsi="Verdana" w:cs="Times New Roman"/>
          <w:sz w:val="20"/>
          <w:szCs w:val="20"/>
        </w:rPr>
        <w:t xml:space="preserve"> and </w:t>
      </w:r>
      <w:r w:rsidRPr="00FB5C1D">
        <w:rPr>
          <w:rFonts w:ascii="Verdana" w:hAnsi="Verdana" w:cs="Times New Roman"/>
          <w:i/>
          <w:sz w:val="20"/>
          <w:szCs w:val="20"/>
        </w:rPr>
        <w:t>information</w:t>
      </w:r>
      <w:r w:rsidRPr="00FB5C1D">
        <w:rPr>
          <w:rFonts w:ascii="Verdana" w:hAnsi="Verdana" w:cs="Times New Roman"/>
          <w:sz w:val="20"/>
          <w:szCs w:val="20"/>
        </w:rPr>
        <w:t xml:space="preserve">. </w:t>
      </w:r>
      <w:r w:rsidRPr="00FB5C1D">
        <w:rPr>
          <w:rFonts w:ascii="Verdana" w:hAnsi="Verdana" w:cs="Times New Roman"/>
          <w:sz w:val="20"/>
          <w:szCs w:val="20"/>
          <w:u w:val="single"/>
        </w:rPr>
        <w:t>Data</w:t>
      </w:r>
      <w:r w:rsidRPr="00FB5C1D">
        <w:rPr>
          <w:rFonts w:ascii="Verdana" w:hAnsi="Verdana" w:cs="Times New Roman"/>
          <w:sz w:val="20"/>
          <w:szCs w:val="20"/>
        </w:rPr>
        <w:t xml:space="preserve"> (pp.4437) is “</w:t>
      </w:r>
      <w:r w:rsidRPr="00FB5C1D">
        <w:rPr>
          <w:rFonts w:ascii="Verdana" w:hAnsi="Verdana" w:cs="Times New Roman"/>
          <w:i/>
          <w:sz w:val="20"/>
          <w:szCs w:val="20"/>
        </w:rPr>
        <w:t>a set of symbols representing perceptions of empirical raw material</w:t>
      </w:r>
      <w:r w:rsidRPr="00FB5C1D">
        <w:rPr>
          <w:rFonts w:ascii="Verdana" w:hAnsi="Verdana" w:cs="Times New Roman"/>
          <w:sz w:val="20"/>
          <w:szCs w:val="20"/>
        </w:rPr>
        <w:t xml:space="preserve">” while </w:t>
      </w:r>
      <w:r w:rsidRPr="00FB5C1D">
        <w:rPr>
          <w:rFonts w:ascii="Verdana" w:hAnsi="Verdana" w:cs="Times New Roman"/>
          <w:sz w:val="20"/>
          <w:szCs w:val="20"/>
          <w:u w:val="single"/>
        </w:rPr>
        <w:t>information</w:t>
      </w:r>
      <w:r w:rsidRPr="00FB5C1D">
        <w:rPr>
          <w:rFonts w:ascii="Verdana" w:hAnsi="Verdana" w:cs="Times New Roman"/>
          <w:sz w:val="20"/>
          <w:szCs w:val="20"/>
        </w:rPr>
        <w:t xml:space="preserve"> (pp.4437) is “</w:t>
      </w:r>
      <w:r w:rsidRPr="00FB5C1D">
        <w:rPr>
          <w:rFonts w:ascii="Verdana" w:hAnsi="Verdana" w:cs="Times New Roman"/>
          <w:i/>
          <w:sz w:val="20"/>
          <w:szCs w:val="20"/>
        </w:rPr>
        <w:t>set of symbols representing empirical knowledge, it incorporates assignment of meanings</w:t>
      </w:r>
      <w:r w:rsidRPr="00FB5C1D">
        <w:rPr>
          <w:rFonts w:ascii="Verdana" w:hAnsi="Verdana" w:cs="Times New Roman"/>
          <w:sz w:val="20"/>
          <w:szCs w:val="20"/>
        </w:rPr>
        <w:t xml:space="preserve">”. They point out that, in IT, these terms are used interchangeably so it is not uncommon to refer to data governance when talking about information governance. In their study, the authors opt for the latter but they explain that the choice behind using either data or information is made because the latter comprises all structured and unstructured data, as well as all kinds of data formats (video, email, documents) so one includes data governance in information governance. </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lastRenderedPageBreak/>
        <w:t>Information as a concept is explained by the 3 authors by first using the resource based view (RBV) which addresses a firms competitive advantage and explains how to maintain it over time: differences in resources and capabilities between firms explain the difference in performance as not all are valued and used proportionately across the same industry; in this sense, information is considered to be such a resource. From the dynamic capabilities perspective, a competitive advantage arises not only from possession of a key resource but from correctly exploiting that resource.</w:t>
      </w:r>
    </w:p>
    <w:p w:rsidR="000E223B" w:rsidRPr="00FB5C1D" w:rsidRDefault="000E223B" w:rsidP="000E223B">
      <w:pPr>
        <w:pStyle w:val="Heading2"/>
        <w:spacing w:line="360" w:lineRule="auto"/>
        <w:jc w:val="both"/>
        <w:rPr>
          <w:rFonts w:ascii="Verdana" w:hAnsi="Verdana" w:cs="Times New Roman"/>
          <w:sz w:val="20"/>
          <w:szCs w:val="20"/>
        </w:rPr>
      </w:pPr>
      <w:bookmarkStart w:id="65" w:name="_Toc423597525"/>
      <w:r w:rsidRPr="00FB5C1D">
        <w:rPr>
          <w:rFonts w:ascii="Verdana" w:hAnsi="Verdana" w:cs="Times New Roman"/>
          <w:sz w:val="20"/>
          <w:szCs w:val="20"/>
        </w:rPr>
        <w:t>4.2.2 Information and IT governance</w:t>
      </w:r>
      <w:bookmarkEnd w:id="65"/>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Information governance has been acknowledged as a new concept by Van Grembergen and </w:t>
      </w:r>
      <w:r w:rsidR="007149CF">
        <w:rPr>
          <w:rFonts w:ascii="Verdana" w:hAnsi="Verdana" w:cs="Times New Roman"/>
          <w:sz w:val="20"/>
          <w:szCs w:val="20"/>
          <w:lang w:val="en-US"/>
        </w:rPr>
        <w:t>De Hae</w:t>
      </w:r>
      <w:r w:rsidRPr="000E223B">
        <w:rPr>
          <w:rFonts w:ascii="Verdana" w:hAnsi="Verdana" w:cs="Times New Roman"/>
          <w:sz w:val="20"/>
          <w:szCs w:val="20"/>
          <w:lang w:val="en-US"/>
        </w:rPr>
        <w:t xml:space="preserve">s (2009) in the Mae’s 3X3 matrix model of alignment between business and IT (Maes, 1999): more often than not, most information and communication processes are not IT dependent. Information governance in this sense, addresses the increasing importance of transforming data into information regardless of the IT-related aspects of it. Donaldson and Walker first introduced information governance at the National Health Society (De Abreu Faria et al., 2013) in 2014 for security and confidentiality arrangements in electronic information services. </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Weber et al. (2009) position information or </w:t>
      </w:r>
      <w:r w:rsidRPr="000E223B">
        <w:rPr>
          <w:rFonts w:ascii="Verdana" w:hAnsi="Verdana" w:cs="Times New Roman"/>
          <w:sz w:val="20"/>
          <w:szCs w:val="20"/>
          <w:u w:val="single"/>
          <w:lang w:val="en-US"/>
        </w:rPr>
        <w:t>data governance</w:t>
      </w:r>
      <w:r w:rsidRPr="000E223B">
        <w:rPr>
          <w:rFonts w:ascii="Verdana" w:hAnsi="Verdana" w:cs="Times New Roman"/>
          <w:sz w:val="20"/>
          <w:szCs w:val="20"/>
          <w:lang w:val="en-US"/>
        </w:rPr>
        <w:t xml:space="preserve"> as part of IT governance or comprising a part of it, while Hagmann (2013) distinguishes between the two: information governance is (pp.8) “</w:t>
      </w:r>
      <w:r w:rsidRPr="000E223B">
        <w:rPr>
          <w:rFonts w:ascii="Verdana" w:hAnsi="Verdana" w:cs="Times New Roman"/>
          <w:i/>
          <w:sz w:val="20"/>
          <w:szCs w:val="20"/>
          <w:lang w:val="en-US"/>
        </w:rPr>
        <w:t>concerned with the way information is created, used and disposed of in order to add value to a business</w:t>
      </w:r>
      <w:r w:rsidRPr="000E223B">
        <w:rPr>
          <w:rFonts w:ascii="Verdana" w:hAnsi="Verdana" w:cs="Times New Roman"/>
          <w:sz w:val="20"/>
          <w:szCs w:val="20"/>
          <w:lang w:val="en-US"/>
        </w:rPr>
        <w:t>” while IT governance (pp.8) “</w:t>
      </w:r>
      <w:r w:rsidRPr="000E223B">
        <w:rPr>
          <w:rFonts w:ascii="Verdana" w:hAnsi="Verdana" w:cs="Times New Roman"/>
          <w:i/>
          <w:sz w:val="20"/>
          <w:szCs w:val="20"/>
          <w:lang w:val="en-US"/>
        </w:rPr>
        <w:t>ensures risk and compliance with IT architecture, systems and infrastructure</w:t>
      </w:r>
      <w:r w:rsidRPr="000E223B">
        <w:rPr>
          <w:rFonts w:ascii="Verdana" w:hAnsi="Verdana" w:cs="Times New Roman"/>
          <w:sz w:val="20"/>
          <w:szCs w:val="20"/>
          <w:lang w:val="en-US"/>
        </w:rPr>
        <w:t xml:space="preserve">”. Van Grembergen and </w:t>
      </w:r>
      <w:r w:rsidR="007149CF">
        <w:rPr>
          <w:rFonts w:ascii="Verdana" w:hAnsi="Verdana" w:cs="Times New Roman"/>
          <w:sz w:val="20"/>
          <w:szCs w:val="20"/>
          <w:lang w:val="en-US"/>
        </w:rPr>
        <w:t>De Haes</w:t>
      </w:r>
      <w:r w:rsidRPr="000E223B">
        <w:rPr>
          <w:rFonts w:ascii="Verdana" w:hAnsi="Verdana" w:cs="Times New Roman"/>
          <w:sz w:val="20"/>
          <w:szCs w:val="20"/>
          <w:lang w:val="en-US"/>
        </w:rPr>
        <w:t xml:space="preserve"> (2009) also consider information governance as different from IT governance where there is a major bias on technology aspects. </w:t>
      </w:r>
    </w:p>
    <w:p w:rsidR="000E223B" w:rsidRPr="00FB5C1D" w:rsidRDefault="000E223B" w:rsidP="000E223B">
      <w:pPr>
        <w:pStyle w:val="Heading2"/>
        <w:spacing w:line="360" w:lineRule="auto"/>
        <w:jc w:val="both"/>
        <w:rPr>
          <w:rFonts w:ascii="Verdana" w:hAnsi="Verdana" w:cs="Times New Roman"/>
          <w:sz w:val="20"/>
          <w:szCs w:val="20"/>
        </w:rPr>
      </w:pPr>
      <w:bookmarkStart w:id="66" w:name="_Toc423597526"/>
      <w:r w:rsidRPr="00FB5C1D">
        <w:rPr>
          <w:rFonts w:ascii="Verdana" w:hAnsi="Verdana" w:cs="Times New Roman"/>
          <w:sz w:val="20"/>
          <w:szCs w:val="20"/>
        </w:rPr>
        <w:t>4.2.3 The contingency theory</w:t>
      </w:r>
      <w:bookmarkEnd w:id="66"/>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Despite the difficulty of positioning a data governance program inside or outside of IT governance ones, different authors have used the same contingency theory used in IT governance design (Otto, 2011, Weber et al., 2009) to design data governance strategies by considering internal and external specific enterprise parameters. The contingency approach is fit for use in the context of data governance because it respects the fact that each company requires a specific data governance configuration that emulates on a set of context factors. Contingencies determine which configuration is best fit for a company: by following and respecting the business goals of a company, one makes sure that data governance is not just an end in itself but that it contributes accordingly (Weber et al., 2009).</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When talking about governance models, Weber et al. (2009) advises to take into account the fact that there is no data governance model that fits all companies alike and each </w:t>
      </w:r>
      <w:r w:rsidRPr="000E223B">
        <w:rPr>
          <w:rFonts w:ascii="Verdana" w:hAnsi="Verdana" w:cs="Times New Roman"/>
          <w:sz w:val="20"/>
          <w:szCs w:val="20"/>
          <w:lang w:val="en-US"/>
        </w:rPr>
        <w:lastRenderedPageBreak/>
        <w:t xml:space="preserve">factor of the model should be adapted to the characteristics and specificities of an organization. This is known as the contingency theory (Weber et al., 2009) : this theory states that contingencies (e.g: size, structure,…) determine the relationship between some characteristic of the organization and its effectiveness. Figure 4.1 presents the contingency model as a variation model where contingencies are considered to be co-variation effects. </w:t>
      </w:r>
    </w:p>
    <w:p w:rsidR="000E223B" w:rsidRPr="000E223B" w:rsidRDefault="000E223B" w:rsidP="000E223B">
      <w:pPr>
        <w:spacing w:line="360" w:lineRule="auto"/>
        <w:jc w:val="both"/>
        <w:rPr>
          <w:rFonts w:ascii="Verdana" w:hAnsi="Verdana" w:cs="Times New Roman"/>
          <w:sz w:val="20"/>
          <w:szCs w:val="20"/>
          <w:lang w:val="en-US"/>
        </w:rPr>
      </w:pPr>
      <w:r w:rsidRPr="00FB5C1D">
        <w:rPr>
          <w:rFonts w:ascii="Verdana" w:hAnsi="Verdana" w:cs="Times New Roman"/>
          <w:noProof/>
          <w:sz w:val="20"/>
          <w:szCs w:val="20"/>
          <w:lang w:val="en-GB" w:eastAsia="en-GB"/>
        </w:rPr>
        <w:drawing>
          <wp:anchor distT="0" distB="0" distL="114300" distR="114300" simplePos="0" relativeHeight="251643392" behindDoc="1" locked="0" layoutInCell="1" allowOverlap="1" wp14:anchorId="7E0934D9" wp14:editId="423D6FA1">
            <wp:simplePos x="0" y="0"/>
            <wp:positionH relativeFrom="margin">
              <wp:posOffset>914400</wp:posOffset>
            </wp:positionH>
            <wp:positionV relativeFrom="paragraph">
              <wp:posOffset>61595</wp:posOffset>
            </wp:positionV>
            <wp:extent cx="3676650" cy="2212340"/>
            <wp:effectExtent l="19050" t="19050" r="19050" b="16510"/>
            <wp:wrapTight wrapText="bothSides">
              <wp:wrapPolygon edited="0">
                <wp:start x="-112" y="-186"/>
                <wp:lineTo x="-112" y="21575"/>
                <wp:lineTo x="21600" y="21575"/>
                <wp:lineTo x="21600" y="-186"/>
                <wp:lineTo x="-112" y="-186"/>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1" r="-182" b="7388"/>
                    <a:stretch/>
                  </pic:blipFill>
                  <pic:spPr bwMode="auto">
                    <a:xfrm>
                      <a:off x="0" y="0"/>
                      <a:ext cx="3676650" cy="2212340"/>
                    </a:xfrm>
                    <a:prstGeom prst="rect">
                      <a:avLst/>
                    </a:prstGeom>
                    <a:ln>
                      <a:solidFill>
                        <a:schemeClr val="tx1">
                          <a:lumMod val="95000"/>
                          <a:lumOff val="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223B" w:rsidRPr="000E223B" w:rsidRDefault="000E223B" w:rsidP="000E223B">
      <w:pPr>
        <w:spacing w:line="360" w:lineRule="auto"/>
        <w:jc w:val="both"/>
        <w:rPr>
          <w:rFonts w:ascii="Verdana" w:hAnsi="Verdana" w:cs="Times New Roman"/>
          <w:sz w:val="20"/>
          <w:szCs w:val="20"/>
          <w:lang w:val="en-US"/>
        </w:rPr>
      </w:pPr>
    </w:p>
    <w:p w:rsidR="000E223B" w:rsidRPr="000E223B" w:rsidRDefault="000E223B" w:rsidP="000E223B">
      <w:pPr>
        <w:spacing w:line="360" w:lineRule="auto"/>
        <w:jc w:val="both"/>
        <w:rPr>
          <w:rFonts w:ascii="Verdana" w:hAnsi="Verdana" w:cs="Times New Roman"/>
          <w:sz w:val="20"/>
          <w:szCs w:val="20"/>
          <w:lang w:val="en-US"/>
        </w:rPr>
      </w:pPr>
    </w:p>
    <w:p w:rsidR="000E223B" w:rsidRPr="000E223B" w:rsidRDefault="000E223B" w:rsidP="000E223B">
      <w:pPr>
        <w:spacing w:line="360" w:lineRule="auto"/>
        <w:jc w:val="both"/>
        <w:rPr>
          <w:rFonts w:ascii="Verdana" w:hAnsi="Verdana" w:cs="Times New Roman"/>
          <w:sz w:val="20"/>
          <w:szCs w:val="20"/>
          <w:lang w:val="en-US"/>
        </w:rPr>
      </w:pPr>
    </w:p>
    <w:p w:rsidR="000E223B" w:rsidRPr="000E223B" w:rsidRDefault="000E223B" w:rsidP="000E223B">
      <w:pPr>
        <w:spacing w:line="360" w:lineRule="auto"/>
        <w:jc w:val="both"/>
        <w:rPr>
          <w:rFonts w:ascii="Verdana" w:hAnsi="Verdana" w:cs="Times New Roman"/>
          <w:sz w:val="20"/>
          <w:szCs w:val="20"/>
          <w:lang w:val="en-US"/>
        </w:rPr>
      </w:pPr>
    </w:p>
    <w:p w:rsidR="000E223B" w:rsidRPr="000E223B" w:rsidRDefault="000E223B" w:rsidP="000E223B">
      <w:pPr>
        <w:spacing w:line="360" w:lineRule="auto"/>
        <w:jc w:val="both"/>
        <w:rPr>
          <w:rFonts w:ascii="Verdana" w:hAnsi="Verdana" w:cs="Times New Roman"/>
          <w:sz w:val="20"/>
          <w:szCs w:val="20"/>
          <w:lang w:val="en-US"/>
        </w:rPr>
      </w:pPr>
    </w:p>
    <w:p w:rsidR="000E223B" w:rsidRPr="000E223B" w:rsidRDefault="000E223B" w:rsidP="000E223B">
      <w:pPr>
        <w:spacing w:line="360" w:lineRule="auto"/>
        <w:jc w:val="center"/>
        <w:rPr>
          <w:rFonts w:ascii="Verdana" w:hAnsi="Verdana" w:cs="Times New Roman"/>
          <w:sz w:val="20"/>
          <w:szCs w:val="20"/>
          <w:lang w:val="en-US"/>
        </w:rPr>
      </w:pPr>
    </w:p>
    <w:p w:rsidR="000E223B" w:rsidRPr="00753959" w:rsidRDefault="000E223B" w:rsidP="000E223B">
      <w:pPr>
        <w:spacing w:line="360" w:lineRule="auto"/>
        <w:jc w:val="center"/>
        <w:rPr>
          <w:rFonts w:ascii="Verdana" w:hAnsi="Verdana" w:cs="Times New Roman"/>
          <w:sz w:val="18"/>
          <w:szCs w:val="18"/>
          <w:lang w:val="en-US"/>
        </w:rPr>
      </w:pPr>
      <w:r w:rsidRPr="00753959">
        <w:rPr>
          <w:rFonts w:ascii="Verdana" w:hAnsi="Verdana" w:cs="Times New Roman"/>
          <w:sz w:val="18"/>
          <w:szCs w:val="18"/>
          <w:lang w:val="en-US"/>
        </w:rPr>
        <w:t>Figure 4.1 Contingencies in data governance programs (Weber et al., 2009, pp 4:16)</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In the top part of the figure, we find the 7 contingency factors which contribute to the success of, in this context, a data quality management (concept which will be explained later in this chapter) program when designing organizational decision-making structures. We can notice that these contingency factors are quite diverse and differentiate between internal and external factors to a data governance model. Factors such as performance, processes and decision-making style refer to intrinsic characteristics of an organization while market regulation and competitive strategy point out to extraneous elements which could influence the way a company goes about modeling and designing for governance structures. </w:t>
      </w:r>
    </w:p>
    <w:p w:rsidR="000E223B" w:rsidRPr="00FB5C1D" w:rsidRDefault="000E223B" w:rsidP="000E223B">
      <w:pPr>
        <w:pStyle w:val="Heading2"/>
        <w:spacing w:line="360" w:lineRule="auto"/>
        <w:jc w:val="both"/>
        <w:rPr>
          <w:rFonts w:ascii="Verdana" w:hAnsi="Verdana" w:cs="Times New Roman"/>
          <w:sz w:val="20"/>
          <w:szCs w:val="20"/>
        </w:rPr>
      </w:pPr>
      <w:bookmarkStart w:id="67" w:name="_Toc423597527"/>
      <w:r w:rsidRPr="00FB5C1D">
        <w:rPr>
          <w:rFonts w:ascii="Verdana" w:hAnsi="Verdana" w:cs="Times New Roman"/>
          <w:sz w:val="20"/>
          <w:szCs w:val="20"/>
        </w:rPr>
        <w:t>4.2.4 Governance and management</w:t>
      </w:r>
      <w:bookmarkEnd w:id="67"/>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In literature most authors make a distinction between </w:t>
      </w:r>
      <w:r w:rsidRPr="00FB5C1D">
        <w:rPr>
          <w:rFonts w:ascii="Verdana" w:hAnsi="Verdana" w:cs="Times New Roman"/>
          <w:sz w:val="20"/>
          <w:szCs w:val="20"/>
          <w:u w:val="single"/>
        </w:rPr>
        <w:t>data governance</w:t>
      </w:r>
      <w:r w:rsidRPr="00FB5C1D">
        <w:rPr>
          <w:rFonts w:ascii="Verdana" w:hAnsi="Verdana" w:cs="Times New Roman"/>
          <w:sz w:val="20"/>
          <w:szCs w:val="20"/>
        </w:rPr>
        <w:t xml:space="preserve"> and </w:t>
      </w:r>
      <w:r w:rsidRPr="00FB5C1D">
        <w:rPr>
          <w:rFonts w:ascii="Verdana" w:hAnsi="Verdana" w:cs="Times New Roman"/>
          <w:sz w:val="20"/>
          <w:szCs w:val="20"/>
          <w:u w:val="single"/>
        </w:rPr>
        <w:t xml:space="preserve">data management </w:t>
      </w:r>
      <w:r w:rsidRPr="00FB5C1D">
        <w:rPr>
          <w:rFonts w:ascii="Verdana" w:hAnsi="Verdana" w:cs="Times New Roman"/>
          <w:sz w:val="20"/>
          <w:szCs w:val="20"/>
        </w:rPr>
        <w:t xml:space="preserve">but  it is not uncommon to use the 2 terms interchangeably. </w:t>
      </w: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Weber et al. (2009) point out to the distinction made by ISO/IEC in 2008 between the two as governance being the domain which answers the </w:t>
      </w:r>
      <w:r w:rsidRPr="00FB5C1D">
        <w:rPr>
          <w:rFonts w:ascii="Verdana" w:hAnsi="Verdana" w:cs="Times New Roman"/>
          <w:i/>
          <w:sz w:val="20"/>
          <w:szCs w:val="20"/>
        </w:rPr>
        <w:t>who</w:t>
      </w:r>
      <w:r w:rsidRPr="00FB5C1D">
        <w:rPr>
          <w:rFonts w:ascii="Verdana" w:hAnsi="Verdana" w:cs="Times New Roman"/>
          <w:sz w:val="20"/>
          <w:szCs w:val="20"/>
        </w:rPr>
        <w:t xml:space="preserve"> and </w:t>
      </w:r>
      <w:r w:rsidRPr="00FB5C1D">
        <w:rPr>
          <w:rFonts w:ascii="Verdana" w:hAnsi="Verdana" w:cs="Times New Roman"/>
          <w:i/>
          <w:sz w:val="20"/>
          <w:szCs w:val="20"/>
        </w:rPr>
        <w:t>what</w:t>
      </w:r>
      <w:r w:rsidRPr="00FB5C1D">
        <w:rPr>
          <w:rFonts w:ascii="Verdana" w:hAnsi="Verdana" w:cs="Times New Roman"/>
          <w:sz w:val="20"/>
          <w:szCs w:val="20"/>
        </w:rPr>
        <w:t xml:space="preserve"> questions regarding data management decision-areas while data management establishes </w:t>
      </w:r>
      <w:r w:rsidRPr="00FB5C1D">
        <w:rPr>
          <w:rFonts w:ascii="Verdana" w:hAnsi="Verdana" w:cs="Times New Roman"/>
          <w:i/>
          <w:sz w:val="20"/>
          <w:szCs w:val="20"/>
        </w:rPr>
        <w:t>how</w:t>
      </w:r>
      <w:r w:rsidRPr="00FB5C1D">
        <w:rPr>
          <w:rFonts w:ascii="Verdana" w:hAnsi="Verdana" w:cs="Times New Roman"/>
          <w:sz w:val="20"/>
          <w:szCs w:val="20"/>
        </w:rPr>
        <w:t xml:space="preserve"> these decision will actually be implemented in practice. </w:t>
      </w: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Another distinction between the two is made by Khatri and Brown (2010, pp.148) : governance “</w:t>
      </w:r>
      <w:r w:rsidRPr="00FB5C1D">
        <w:rPr>
          <w:rFonts w:ascii="Verdana" w:hAnsi="Verdana" w:cs="Times New Roman"/>
          <w:i/>
          <w:sz w:val="20"/>
          <w:szCs w:val="20"/>
        </w:rPr>
        <w:t>refers to what decisions must be made to ensure effective management and use of IT […] and who makes the decisions […]</w:t>
      </w:r>
      <w:r w:rsidRPr="00FB5C1D">
        <w:rPr>
          <w:rFonts w:ascii="Verdana" w:hAnsi="Verdana" w:cs="Times New Roman"/>
          <w:sz w:val="20"/>
          <w:szCs w:val="20"/>
        </w:rPr>
        <w:t>” while management “</w:t>
      </w:r>
      <w:r w:rsidRPr="00FB5C1D">
        <w:rPr>
          <w:rFonts w:ascii="Verdana" w:hAnsi="Verdana" w:cs="Times New Roman"/>
          <w:i/>
          <w:sz w:val="20"/>
          <w:szCs w:val="20"/>
        </w:rPr>
        <w:t xml:space="preserve">involves making </w:t>
      </w:r>
      <w:r w:rsidRPr="00FB5C1D">
        <w:rPr>
          <w:rFonts w:ascii="Verdana" w:hAnsi="Verdana" w:cs="Times New Roman"/>
          <w:i/>
          <w:sz w:val="20"/>
          <w:szCs w:val="20"/>
        </w:rPr>
        <w:lastRenderedPageBreak/>
        <w:t>and implementing decisions</w:t>
      </w:r>
      <w:r w:rsidRPr="00FB5C1D">
        <w:rPr>
          <w:rFonts w:ascii="Verdana" w:hAnsi="Verdana" w:cs="Times New Roman"/>
          <w:sz w:val="20"/>
          <w:szCs w:val="20"/>
        </w:rPr>
        <w:t xml:space="preserve">”. Ladley (2012) states that managers ensure the procedures and policies are followed and adhered to while governance identifies these controls, policies, procedures, rules and guidelines. </w:t>
      </w: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Aiken, Allen, Parker and Mattia (2007) point out that data management has only been recognized as a discipline in the 1970’s and as such, it helps transforming organizational information needs in specific data requirements. However, in his paper he includes areas such as data program coordination (which includes vision, goals, policies, and metrics) or data stewardship as data management processes which comes in contradiction with what data governance should encompass definition-wise. </w:t>
      </w: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We have thus chosen to include some of the processes mentioned by Aiken et al. (2007) in a data governance model as processes for which a data governance program should specify the decision-making rights and responsibilities and also because a data management program cannot exist in theory without proper governance structures. We agree that while governance specifies who will be in charge of a data management program for example, it also specifies what the elements of such a program should be. For this reason, we have included all references to data management programs in the building of our data governance model.</w:t>
      </w: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To support the rationale behind our choice, figure 4.2  illustrates concepts such as data governance, data management and data quality and their relations to each other for a better understanding of the differences between data governance and data management.</w:t>
      </w: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noProof/>
          <w:sz w:val="20"/>
          <w:szCs w:val="20"/>
          <w:lang w:val="en-GB" w:eastAsia="en-GB"/>
        </w:rPr>
        <w:drawing>
          <wp:anchor distT="0" distB="0" distL="114300" distR="114300" simplePos="0" relativeHeight="251664896" behindDoc="1" locked="0" layoutInCell="1" allowOverlap="1" wp14:anchorId="49F044A3" wp14:editId="2185F031">
            <wp:simplePos x="0" y="0"/>
            <wp:positionH relativeFrom="column">
              <wp:posOffset>781050</wp:posOffset>
            </wp:positionH>
            <wp:positionV relativeFrom="paragraph">
              <wp:posOffset>142875</wp:posOffset>
            </wp:positionV>
            <wp:extent cx="3933825" cy="2127250"/>
            <wp:effectExtent l="19050" t="19050" r="28575" b="25400"/>
            <wp:wrapTight wrapText="bothSides">
              <wp:wrapPolygon edited="0">
                <wp:start x="-105" y="-193"/>
                <wp:lineTo x="-105" y="21664"/>
                <wp:lineTo x="21652" y="21664"/>
                <wp:lineTo x="21652" y="-193"/>
                <wp:lineTo x="-105" y="-193"/>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933825" cy="2127250"/>
                    </a:xfrm>
                    <a:prstGeom prst="rect">
                      <a:avLst/>
                    </a:prstGeom>
                    <a:ln>
                      <a:solidFill>
                        <a:schemeClr val="tx1">
                          <a:lumMod val="95000"/>
                          <a:lumOff val="5000"/>
                        </a:schemeClr>
                      </a:solidFill>
                    </a:ln>
                  </pic:spPr>
                </pic:pic>
              </a:graphicData>
            </a:graphic>
            <wp14:sizeRelH relativeFrom="page">
              <wp14:pctWidth>0</wp14:pctWidth>
            </wp14:sizeRelH>
            <wp14:sizeRelV relativeFrom="page">
              <wp14:pctHeight>0</wp14:pctHeight>
            </wp14:sizeRelV>
          </wp:anchor>
        </w:drawing>
      </w:r>
    </w:p>
    <w:p w:rsidR="000E223B" w:rsidRPr="000E223B" w:rsidRDefault="000E223B" w:rsidP="000E223B">
      <w:pPr>
        <w:spacing w:line="360" w:lineRule="auto"/>
        <w:jc w:val="both"/>
        <w:rPr>
          <w:rFonts w:ascii="Verdana" w:hAnsi="Verdana" w:cs="Times New Roman"/>
          <w:sz w:val="20"/>
          <w:szCs w:val="20"/>
          <w:lang w:val="en-US"/>
        </w:rPr>
      </w:pPr>
    </w:p>
    <w:p w:rsidR="000E223B" w:rsidRPr="000E223B" w:rsidRDefault="000E223B" w:rsidP="000E223B">
      <w:pPr>
        <w:spacing w:line="360" w:lineRule="auto"/>
        <w:jc w:val="both"/>
        <w:rPr>
          <w:rFonts w:ascii="Verdana" w:hAnsi="Verdana" w:cs="Times New Roman"/>
          <w:sz w:val="20"/>
          <w:szCs w:val="20"/>
          <w:lang w:val="en-US"/>
        </w:rPr>
      </w:pPr>
    </w:p>
    <w:p w:rsidR="000E223B" w:rsidRPr="000E223B" w:rsidRDefault="000E223B" w:rsidP="000E223B">
      <w:pPr>
        <w:spacing w:line="360" w:lineRule="auto"/>
        <w:jc w:val="both"/>
        <w:rPr>
          <w:rFonts w:ascii="Verdana" w:hAnsi="Verdana" w:cs="Times New Roman"/>
          <w:sz w:val="20"/>
          <w:szCs w:val="20"/>
          <w:lang w:val="en-US"/>
        </w:rPr>
      </w:pPr>
    </w:p>
    <w:p w:rsidR="000E223B" w:rsidRPr="000E223B" w:rsidRDefault="000E223B" w:rsidP="000E223B">
      <w:pPr>
        <w:spacing w:line="360" w:lineRule="auto"/>
        <w:jc w:val="both"/>
        <w:rPr>
          <w:rFonts w:ascii="Verdana" w:hAnsi="Verdana" w:cs="Times New Roman"/>
          <w:sz w:val="20"/>
          <w:szCs w:val="20"/>
          <w:lang w:val="en-US"/>
        </w:rPr>
      </w:pPr>
    </w:p>
    <w:p w:rsidR="000E223B" w:rsidRPr="000E223B" w:rsidRDefault="000E223B" w:rsidP="000E223B">
      <w:pPr>
        <w:spacing w:line="360" w:lineRule="auto"/>
        <w:jc w:val="both"/>
        <w:rPr>
          <w:rFonts w:ascii="Verdana" w:hAnsi="Verdana" w:cs="Times New Roman"/>
          <w:sz w:val="20"/>
          <w:szCs w:val="20"/>
          <w:lang w:val="en-US"/>
        </w:rPr>
      </w:pPr>
    </w:p>
    <w:p w:rsidR="000E223B" w:rsidRPr="00753959" w:rsidRDefault="000E223B" w:rsidP="000E223B">
      <w:pPr>
        <w:spacing w:line="360" w:lineRule="auto"/>
        <w:jc w:val="both"/>
        <w:rPr>
          <w:rFonts w:ascii="Verdana" w:hAnsi="Verdana" w:cs="Times New Roman"/>
          <w:sz w:val="18"/>
          <w:szCs w:val="18"/>
          <w:lang w:val="en-US"/>
        </w:rPr>
      </w:pPr>
    </w:p>
    <w:p w:rsidR="000E223B" w:rsidRPr="00753959" w:rsidRDefault="000E223B" w:rsidP="000E223B">
      <w:pPr>
        <w:spacing w:line="360" w:lineRule="auto"/>
        <w:jc w:val="center"/>
        <w:rPr>
          <w:rFonts w:ascii="Verdana" w:hAnsi="Verdana" w:cs="Times New Roman"/>
          <w:sz w:val="18"/>
          <w:szCs w:val="18"/>
          <w:lang w:val="en-US"/>
        </w:rPr>
      </w:pPr>
      <w:r w:rsidRPr="00753959">
        <w:rPr>
          <w:rFonts w:ascii="Verdana" w:hAnsi="Verdana" w:cs="Times New Roman"/>
          <w:sz w:val="18"/>
          <w:szCs w:val="18"/>
          <w:lang w:val="en-US"/>
        </w:rPr>
        <w:t>Figure 4.2 Differences in data governance and data management (Otto, 2013, pp.242)</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From it we infer that data assets are addressed on 3 layers : governance, management and quality. Correctly steering and managing these data assets needs to connect each of them with a business objective, in this case, a goal : maximizing data value and maximizing data quality. Maximizing data quality is supported by data quality management (DQM) which according to Weber et al.(2009, pp. 4:2), </w:t>
      </w:r>
      <w:r w:rsidRPr="000E223B">
        <w:rPr>
          <w:rFonts w:ascii="Verdana" w:hAnsi="Verdana" w:cs="Times New Roman"/>
          <w:color w:val="000000" w:themeColor="text1"/>
          <w:sz w:val="20"/>
          <w:szCs w:val="20"/>
          <w:lang w:val="en-US"/>
        </w:rPr>
        <w:t>“</w:t>
      </w:r>
      <w:r w:rsidRPr="000E223B">
        <w:rPr>
          <w:rFonts w:ascii="Verdana" w:hAnsi="Verdana" w:cs="Times New Roman"/>
          <w:i/>
          <w:color w:val="000000" w:themeColor="text1"/>
          <w:sz w:val="20"/>
          <w:szCs w:val="20"/>
          <w:lang w:val="en-US"/>
        </w:rPr>
        <w:t xml:space="preserve">focuses on the </w:t>
      </w:r>
      <w:r w:rsidRPr="000E223B">
        <w:rPr>
          <w:rFonts w:ascii="Verdana" w:hAnsi="Verdana" w:cs="Times New Roman"/>
          <w:i/>
          <w:color w:val="000000" w:themeColor="text1"/>
          <w:sz w:val="20"/>
          <w:szCs w:val="20"/>
          <w:lang w:val="en-US"/>
        </w:rPr>
        <w:lastRenderedPageBreak/>
        <w:t>planning, provisioning, organization, usage and disposal of high-quality data</w:t>
      </w:r>
      <w:r w:rsidRPr="000E223B">
        <w:rPr>
          <w:rFonts w:ascii="Verdana" w:hAnsi="Verdana" w:cs="Times New Roman"/>
          <w:color w:val="000000" w:themeColor="text1"/>
          <w:sz w:val="20"/>
          <w:szCs w:val="20"/>
          <w:lang w:val="en-US"/>
        </w:rPr>
        <w:t xml:space="preserve">”. As such, DQM is one part of a data management program which in turn, is led by a proper data governance policy which aims at maximizing the value of data as an asset across the enterprise. </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For the rest of this paper, we will use the distinction made between data governance and data management. However, we have included some processes deemed as data management processes in a data governance program because we distinguish between designing policies for these processes and actually implementing them. </w:t>
      </w:r>
    </w:p>
    <w:p w:rsidR="000E223B" w:rsidRPr="000E223B" w:rsidRDefault="000E223B" w:rsidP="000E223B">
      <w:pPr>
        <w:pStyle w:val="Heading1"/>
        <w:spacing w:line="360" w:lineRule="auto"/>
        <w:jc w:val="both"/>
        <w:rPr>
          <w:rStyle w:val="Strong"/>
          <w:rFonts w:ascii="Verdana" w:hAnsi="Verdana" w:cs="Times New Roman"/>
          <w:b/>
          <w:bCs/>
          <w:sz w:val="20"/>
          <w:szCs w:val="20"/>
          <w:lang w:val="en-US"/>
        </w:rPr>
      </w:pPr>
      <w:bookmarkStart w:id="68" w:name="_Toc423597528"/>
      <w:r w:rsidRPr="000E223B">
        <w:rPr>
          <w:rStyle w:val="Strong"/>
          <w:rFonts w:ascii="Verdana" w:hAnsi="Verdana" w:cs="Times New Roman"/>
          <w:b/>
          <w:bCs/>
          <w:sz w:val="20"/>
          <w:szCs w:val="20"/>
          <w:lang w:val="en-US"/>
        </w:rPr>
        <w:t>4.3 Defining data governance</w:t>
      </w:r>
      <w:bookmarkEnd w:id="68"/>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This chapter presents the methodology we used researching for a common definition as well as the findings associated with it.</w:t>
      </w:r>
    </w:p>
    <w:p w:rsidR="000E223B" w:rsidRPr="00FB5C1D" w:rsidRDefault="000E223B" w:rsidP="000E223B">
      <w:pPr>
        <w:pStyle w:val="Heading2"/>
        <w:spacing w:line="360" w:lineRule="auto"/>
        <w:jc w:val="both"/>
        <w:rPr>
          <w:rFonts w:ascii="Verdana" w:hAnsi="Verdana" w:cs="Times New Roman"/>
          <w:sz w:val="20"/>
          <w:szCs w:val="20"/>
        </w:rPr>
      </w:pPr>
      <w:bookmarkStart w:id="69" w:name="_Toc423597529"/>
      <w:r w:rsidRPr="00FB5C1D">
        <w:rPr>
          <w:rFonts w:ascii="Verdana" w:hAnsi="Verdana" w:cs="Times New Roman"/>
          <w:sz w:val="20"/>
          <w:szCs w:val="20"/>
        </w:rPr>
        <w:t>4.3.1 Methodology of research part 1</w:t>
      </w:r>
      <w:bookmarkEnd w:id="69"/>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Weber et al.(2009) notes that there is no standard definition nor in research nor practitioner community when it comes to data governance. There exist however, some definitions which are commonly shared across the scientific community and to this matter, we wanted to investigate which of these definitions comes the closest to a generally accepted (in this case, used) one cross literature. </w:t>
      </w: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To check for this,  we conducted a literature review on data governance article, reports or conference proceedings, taking into account some borrowed elements from articles on IT governance or information governance as well as articles on data or information management. The databases we used were in particular IEEE Xplore Digital Library, the ACM digital library, Elsevier Science Direct and EBSCO host online research databases. The specific terms we searched for have varied with the findings of the research. In a first step, we searched for terms such as “</w:t>
      </w:r>
      <w:r w:rsidRPr="00FB5C1D">
        <w:rPr>
          <w:rFonts w:ascii="Verdana" w:hAnsi="Verdana" w:cs="Times New Roman"/>
          <w:i/>
          <w:sz w:val="20"/>
          <w:szCs w:val="20"/>
        </w:rPr>
        <w:t>data governance</w:t>
      </w:r>
      <w:r w:rsidRPr="00FB5C1D">
        <w:rPr>
          <w:rFonts w:ascii="Verdana" w:hAnsi="Verdana" w:cs="Times New Roman"/>
          <w:sz w:val="20"/>
          <w:szCs w:val="20"/>
        </w:rPr>
        <w:t>”, “</w:t>
      </w:r>
      <w:r w:rsidRPr="00FB5C1D">
        <w:rPr>
          <w:rFonts w:ascii="Verdana" w:hAnsi="Verdana" w:cs="Times New Roman"/>
          <w:i/>
          <w:sz w:val="20"/>
          <w:szCs w:val="20"/>
        </w:rPr>
        <w:t>information governance</w:t>
      </w:r>
      <w:r w:rsidRPr="00FB5C1D">
        <w:rPr>
          <w:rFonts w:ascii="Verdana" w:hAnsi="Verdana" w:cs="Times New Roman"/>
          <w:sz w:val="20"/>
          <w:szCs w:val="20"/>
        </w:rPr>
        <w:t>”, “</w:t>
      </w:r>
      <w:r w:rsidRPr="00FB5C1D">
        <w:rPr>
          <w:rFonts w:ascii="Verdana" w:hAnsi="Verdana" w:cs="Times New Roman"/>
          <w:i/>
          <w:sz w:val="20"/>
          <w:szCs w:val="20"/>
        </w:rPr>
        <w:t>data management</w:t>
      </w:r>
      <w:r w:rsidRPr="00FB5C1D">
        <w:rPr>
          <w:rFonts w:ascii="Verdana" w:hAnsi="Verdana" w:cs="Times New Roman"/>
          <w:sz w:val="20"/>
          <w:szCs w:val="20"/>
        </w:rPr>
        <w:t>” and “</w:t>
      </w:r>
      <w:r w:rsidRPr="00FB5C1D">
        <w:rPr>
          <w:rFonts w:ascii="Verdana" w:hAnsi="Verdana" w:cs="Times New Roman"/>
          <w:i/>
          <w:sz w:val="20"/>
          <w:szCs w:val="20"/>
        </w:rPr>
        <w:t>information management</w:t>
      </w:r>
      <w:r w:rsidRPr="00FB5C1D">
        <w:rPr>
          <w:rFonts w:ascii="Verdana" w:hAnsi="Verdana" w:cs="Times New Roman"/>
          <w:sz w:val="20"/>
          <w:szCs w:val="20"/>
        </w:rPr>
        <w:t>”. Further, based on the findings which pointed to data governance as being part of IT governance programs, we continued the search for terms such as “</w:t>
      </w:r>
      <w:r w:rsidRPr="00FB5C1D">
        <w:rPr>
          <w:rFonts w:ascii="Verdana" w:hAnsi="Verdana" w:cs="Times New Roman"/>
          <w:i/>
          <w:sz w:val="20"/>
          <w:szCs w:val="20"/>
        </w:rPr>
        <w:t>IT governance</w:t>
      </w:r>
      <w:r w:rsidRPr="00FB5C1D">
        <w:rPr>
          <w:rFonts w:ascii="Verdana" w:hAnsi="Verdana" w:cs="Times New Roman"/>
          <w:sz w:val="20"/>
          <w:szCs w:val="20"/>
        </w:rPr>
        <w:t>” and “</w:t>
      </w:r>
      <w:r w:rsidRPr="00FB5C1D">
        <w:rPr>
          <w:rFonts w:ascii="Verdana" w:hAnsi="Verdana" w:cs="Times New Roman"/>
          <w:i/>
          <w:sz w:val="20"/>
          <w:szCs w:val="20"/>
        </w:rPr>
        <w:t>IT data governance</w:t>
      </w:r>
      <w:r w:rsidRPr="00FB5C1D">
        <w:rPr>
          <w:rFonts w:ascii="Verdana" w:hAnsi="Verdana" w:cs="Times New Roman"/>
          <w:sz w:val="20"/>
          <w:szCs w:val="20"/>
        </w:rPr>
        <w:t>” as well. Further, as we identified more and more elements pertaining to data governance programs, we expanded the search to include “</w:t>
      </w:r>
      <w:r w:rsidRPr="00FB5C1D">
        <w:rPr>
          <w:rFonts w:ascii="Verdana" w:hAnsi="Verdana" w:cs="Times New Roman"/>
          <w:i/>
          <w:sz w:val="20"/>
          <w:szCs w:val="20"/>
        </w:rPr>
        <w:t>data quality management</w:t>
      </w:r>
      <w:r w:rsidRPr="00FB5C1D">
        <w:rPr>
          <w:rFonts w:ascii="Verdana" w:hAnsi="Verdana" w:cs="Times New Roman"/>
          <w:sz w:val="20"/>
          <w:szCs w:val="20"/>
        </w:rPr>
        <w:t>” or “</w:t>
      </w:r>
      <w:r w:rsidRPr="00FB5C1D">
        <w:rPr>
          <w:rFonts w:ascii="Verdana" w:hAnsi="Verdana" w:cs="Times New Roman"/>
          <w:i/>
          <w:sz w:val="20"/>
          <w:szCs w:val="20"/>
        </w:rPr>
        <w:t>total data quality management</w:t>
      </w:r>
      <w:r w:rsidRPr="00FB5C1D">
        <w:rPr>
          <w:rFonts w:ascii="Verdana" w:hAnsi="Verdana" w:cs="Times New Roman"/>
          <w:sz w:val="20"/>
          <w:szCs w:val="20"/>
        </w:rPr>
        <w:t>” as well. We focused our research on both scientific and practitioner articles, the richness of the databases used allowed us to pick the kind of articles we wanted. While the research was focused on : 1) finding a common definition and, 2) deriving components of data governance programs, we will tackle only the first point (for the time being) in the next section.</w:t>
      </w:r>
    </w:p>
    <w:p w:rsidR="000E223B" w:rsidRPr="00FB5C1D" w:rsidRDefault="000E223B" w:rsidP="000E223B">
      <w:pPr>
        <w:pStyle w:val="Heading2"/>
        <w:spacing w:line="360" w:lineRule="auto"/>
        <w:jc w:val="both"/>
        <w:rPr>
          <w:rFonts w:ascii="Verdana" w:hAnsi="Verdana" w:cs="Times New Roman"/>
          <w:sz w:val="20"/>
          <w:szCs w:val="20"/>
        </w:rPr>
      </w:pPr>
      <w:bookmarkStart w:id="70" w:name="_Toc423597530"/>
      <w:r w:rsidRPr="00FB5C1D">
        <w:rPr>
          <w:rFonts w:ascii="Verdana" w:hAnsi="Verdana" w:cs="Times New Roman"/>
          <w:sz w:val="20"/>
          <w:szCs w:val="20"/>
        </w:rPr>
        <w:lastRenderedPageBreak/>
        <w:t>4.3.2 Data Governance Definitions</w:t>
      </w:r>
      <w:bookmarkEnd w:id="70"/>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Table 4.1 presents the compiled definitions coming from both scientific and practitioner communities divided by Author, Definition and Focus of data governance definition. The Author references the source(s) while the focus of definition is a constructed field which points out to the central point expressed in the definition. </w:t>
      </w:r>
    </w:p>
    <w:p w:rsidR="000E223B" w:rsidRPr="00FB5C1D" w:rsidRDefault="000E223B" w:rsidP="000E223B">
      <w:pPr>
        <w:pStyle w:val="ListParagraph"/>
        <w:spacing w:line="360" w:lineRule="auto"/>
        <w:ind w:left="0"/>
        <w:jc w:val="both"/>
        <w:rPr>
          <w:rFonts w:ascii="Verdana" w:hAnsi="Verdana" w:cs="Times New Roman"/>
          <w:sz w:val="20"/>
          <w:szCs w:val="20"/>
        </w:rPr>
      </w:pPr>
    </w:p>
    <w:tbl>
      <w:tblPr>
        <w:tblStyle w:val="LightShading-Accent2"/>
        <w:tblW w:w="5000" w:type="pct"/>
        <w:tblLook w:val="04A0" w:firstRow="1" w:lastRow="0" w:firstColumn="1" w:lastColumn="0" w:noHBand="0" w:noVBand="1"/>
      </w:tblPr>
      <w:tblGrid>
        <w:gridCol w:w="2104"/>
        <w:gridCol w:w="3569"/>
        <w:gridCol w:w="3569"/>
      </w:tblGrid>
      <w:tr w:rsidR="000E223B" w:rsidRPr="00D46DD3" w:rsidTr="001106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pct"/>
          </w:tcPr>
          <w:p w:rsidR="000E223B" w:rsidRPr="00D46DD3" w:rsidRDefault="000E223B" w:rsidP="001106BD">
            <w:pPr>
              <w:jc w:val="both"/>
              <w:rPr>
                <w:rFonts w:ascii="Verdana" w:hAnsi="Verdana" w:cs="Times New Roman"/>
                <w:b w:val="0"/>
                <w:sz w:val="16"/>
                <w:szCs w:val="16"/>
              </w:rPr>
            </w:pPr>
            <w:r w:rsidRPr="00D46DD3">
              <w:rPr>
                <w:rFonts w:ascii="Verdana" w:hAnsi="Verdana" w:cs="Times New Roman"/>
                <w:sz w:val="16"/>
                <w:szCs w:val="16"/>
              </w:rPr>
              <w:t>Author</w:t>
            </w:r>
          </w:p>
        </w:tc>
        <w:tc>
          <w:tcPr>
            <w:tcW w:w="1931" w:type="pct"/>
          </w:tcPr>
          <w:p w:rsidR="000E223B" w:rsidRPr="00D46DD3" w:rsidRDefault="000E223B" w:rsidP="001106BD">
            <w:pPr>
              <w:jc w:val="both"/>
              <w:cnfStyle w:val="100000000000" w:firstRow="1" w:lastRow="0" w:firstColumn="0" w:lastColumn="0" w:oddVBand="0" w:evenVBand="0" w:oddHBand="0" w:evenHBand="0" w:firstRowFirstColumn="0" w:firstRowLastColumn="0" w:lastRowFirstColumn="0" w:lastRowLastColumn="0"/>
              <w:rPr>
                <w:rFonts w:ascii="Verdana" w:hAnsi="Verdana" w:cs="Times New Roman"/>
                <w:b w:val="0"/>
                <w:sz w:val="16"/>
                <w:szCs w:val="16"/>
              </w:rPr>
            </w:pPr>
            <w:r w:rsidRPr="00D46DD3">
              <w:rPr>
                <w:rFonts w:ascii="Verdana" w:hAnsi="Verdana" w:cs="Times New Roman"/>
                <w:sz w:val="16"/>
                <w:szCs w:val="16"/>
              </w:rPr>
              <w:t>Definition</w:t>
            </w:r>
          </w:p>
        </w:tc>
        <w:tc>
          <w:tcPr>
            <w:tcW w:w="1931" w:type="pct"/>
          </w:tcPr>
          <w:p w:rsidR="000E223B" w:rsidRPr="00D46DD3" w:rsidRDefault="000E223B" w:rsidP="001106BD">
            <w:pPr>
              <w:jc w:val="both"/>
              <w:cnfStyle w:val="100000000000" w:firstRow="1" w:lastRow="0" w:firstColumn="0" w:lastColumn="0" w:oddVBand="0" w:evenVBand="0" w:oddHBand="0" w:evenHBand="0" w:firstRowFirstColumn="0" w:firstRowLastColumn="0" w:lastRowFirstColumn="0" w:lastRowLastColumn="0"/>
              <w:rPr>
                <w:rFonts w:ascii="Verdana" w:hAnsi="Verdana" w:cs="Times New Roman"/>
                <w:b w:val="0"/>
                <w:sz w:val="16"/>
                <w:szCs w:val="16"/>
              </w:rPr>
            </w:pPr>
            <w:r w:rsidRPr="00D46DD3">
              <w:rPr>
                <w:rFonts w:ascii="Verdana" w:hAnsi="Verdana" w:cs="Times New Roman"/>
                <w:sz w:val="16"/>
                <w:szCs w:val="16"/>
              </w:rPr>
              <w:t>Focus of definition</w:t>
            </w:r>
          </w:p>
        </w:tc>
      </w:tr>
      <w:tr w:rsidR="000E223B" w:rsidRPr="00D46DD3" w:rsidTr="001106BD">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138" w:type="pct"/>
          </w:tcPr>
          <w:p w:rsidR="000E223B" w:rsidRPr="00D46DD3" w:rsidRDefault="000E223B" w:rsidP="001106BD">
            <w:pPr>
              <w:jc w:val="both"/>
              <w:rPr>
                <w:rFonts w:ascii="Verdana" w:hAnsi="Verdana" w:cs="Times New Roman"/>
                <w:sz w:val="16"/>
                <w:szCs w:val="16"/>
              </w:rPr>
            </w:pPr>
            <w:r w:rsidRPr="00D46DD3">
              <w:rPr>
                <w:rFonts w:ascii="Verdana" w:hAnsi="Verdana" w:cs="Times New Roman"/>
                <w:sz w:val="16"/>
                <w:szCs w:val="16"/>
              </w:rPr>
              <w:t>Mohanty, Jagadeesh, Srivatsa (2013)</w:t>
            </w:r>
          </w:p>
        </w:tc>
        <w:tc>
          <w:tcPr>
            <w:tcW w:w="1931" w:type="pct"/>
          </w:tcPr>
          <w:p w:rsidR="000E223B" w:rsidRPr="000E223B"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lang w:val="en-US"/>
              </w:rPr>
            </w:pPr>
            <w:r w:rsidRPr="000E223B">
              <w:rPr>
                <w:rFonts w:ascii="Verdana" w:hAnsi="Verdana" w:cs="Times New Roman"/>
                <w:sz w:val="16"/>
                <w:szCs w:val="16"/>
                <w:lang w:val="en-US"/>
              </w:rPr>
              <w:t>Foundational components and appropriate policies to deliver the right data at the right place at the right time to the right users</w:t>
            </w:r>
          </w:p>
          <w:p w:rsidR="000E223B" w:rsidRPr="000E223B"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lang w:val="en-US"/>
              </w:rPr>
            </w:pPr>
          </w:p>
        </w:tc>
        <w:tc>
          <w:tcPr>
            <w:tcW w:w="1931" w:type="pct"/>
          </w:tcPr>
          <w:p w:rsidR="000E223B" w:rsidRPr="00D46DD3"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D46DD3">
              <w:rPr>
                <w:rFonts w:ascii="Verdana" w:hAnsi="Verdana" w:cs="Times New Roman"/>
                <w:sz w:val="16"/>
                <w:szCs w:val="16"/>
              </w:rPr>
              <w:t>Policies, components</w:t>
            </w:r>
          </w:p>
        </w:tc>
      </w:tr>
      <w:tr w:rsidR="000E223B" w:rsidRPr="00D46DD3" w:rsidTr="001106BD">
        <w:trPr>
          <w:trHeight w:val="1134"/>
        </w:trPr>
        <w:tc>
          <w:tcPr>
            <w:cnfStyle w:val="001000000000" w:firstRow="0" w:lastRow="0" w:firstColumn="1" w:lastColumn="0" w:oddVBand="0" w:evenVBand="0" w:oddHBand="0" w:evenHBand="0" w:firstRowFirstColumn="0" w:firstRowLastColumn="0" w:lastRowFirstColumn="0" w:lastRowLastColumn="0"/>
            <w:tcW w:w="1138" w:type="pct"/>
          </w:tcPr>
          <w:p w:rsidR="000E223B" w:rsidRPr="00D46DD3" w:rsidRDefault="000E223B" w:rsidP="001106BD">
            <w:pPr>
              <w:jc w:val="both"/>
              <w:rPr>
                <w:rFonts w:ascii="Verdana" w:hAnsi="Verdana" w:cs="Times New Roman"/>
                <w:sz w:val="16"/>
                <w:szCs w:val="16"/>
              </w:rPr>
            </w:pPr>
            <w:r w:rsidRPr="00D46DD3">
              <w:rPr>
                <w:rFonts w:ascii="Verdana" w:hAnsi="Verdana" w:cs="Times New Roman"/>
                <w:sz w:val="16"/>
                <w:szCs w:val="16"/>
              </w:rPr>
              <w:t>Tallon (2013)</w:t>
            </w:r>
          </w:p>
        </w:tc>
        <w:tc>
          <w:tcPr>
            <w:tcW w:w="1931" w:type="pct"/>
          </w:tcPr>
          <w:p w:rsidR="000E223B" w:rsidRPr="000E223B"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lang w:val="en-US"/>
              </w:rPr>
            </w:pPr>
            <w:r w:rsidRPr="000E223B">
              <w:rPr>
                <w:rFonts w:ascii="Verdana" w:hAnsi="Verdana" w:cs="Times New Roman"/>
                <w:sz w:val="16"/>
                <w:szCs w:val="16"/>
                <w:lang w:val="en-US"/>
              </w:rPr>
              <w:t>Organizational policies or procedures that describe how data should be managed through its useful economic lifecycle</w:t>
            </w:r>
          </w:p>
          <w:p w:rsidR="000E223B" w:rsidRPr="000E223B"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lang w:val="en-US"/>
              </w:rPr>
            </w:pPr>
          </w:p>
        </w:tc>
        <w:tc>
          <w:tcPr>
            <w:tcW w:w="1931" w:type="pct"/>
          </w:tcPr>
          <w:p w:rsidR="000E223B" w:rsidRPr="00D46DD3"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D46DD3">
              <w:rPr>
                <w:rFonts w:ascii="Verdana" w:hAnsi="Verdana" w:cs="Times New Roman"/>
                <w:sz w:val="16"/>
                <w:szCs w:val="16"/>
              </w:rPr>
              <w:t>Policies, procedures</w:t>
            </w:r>
          </w:p>
        </w:tc>
      </w:tr>
      <w:tr w:rsidR="000E223B" w:rsidRPr="00D46DD3" w:rsidTr="001106BD">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138" w:type="pct"/>
          </w:tcPr>
          <w:p w:rsidR="000E223B" w:rsidRPr="00D46DD3" w:rsidRDefault="000E223B" w:rsidP="001106BD">
            <w:pPr>
              <w:jc w:val="both"/>
              <w:rPr>
                <w:rFonts w:ascii="Verdana" w:hAnsi="Verdana" w:cs="Times New Roman"/>
                <w:sz w:val="16"/>
                <w:szCs w:val="16"/>
              </w:rPr>
            </w:pPr>
            <w:r w:rsidRPr="00D46DD3">
              <w:rPr>
                <w:rFonts w:ascii="Verdana" w:hAnsi="Verdana" w:cs="Times New Roman"/>
                <w:sz w:val="16"/>
                <w:szCs w:val="16"/>
              </w:rPr>
              <w:t>Otto (2011)</w:t>
            </w:r>
          </w:p>
        </w:tc>
        <w:tc>
          <w:tcPr>
            <w:tcW w:w="1931" w:type="pct"/>
          </w:tcPr>
          <w:p w:rsidR="000E223B" w:rsidRPr="000E223B"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lang w:val="en-US"/>
              </w:rPr>
            </w:pPr>
            <w:r w:rsidRPr="000E223B">
              <w:rPr>
                <w:rFonts w:ascii="Verdana" w:hAnsi="Verdana" w:cs="Times New Roman"/>
                <w:sz w:val="16"/>
                <w:szCs w:val="16"/>
                <w:lang w:val="en-US"/>
              </w:rPr>
              <w:t>Refers to the allocation of decision-making rights &amp; responsibilities regarding the use of data in enterprise</w:t>
            </w:r>
          </w:p>
          <w:p w:rsidR="000E223B" w:rsidRPr="000E223B"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lang w:val="en-US"/>
              </w:rPr>
            </w:pPr>
          </w:p>
        </w:tc>
        <w:tc>
          <w:tcPr>
            <w:tcW w:w="1931" w:type="pct"/>
          </w:tcPr>
          <w:p w:rsidR="000E223B" w:rsidRPr="00D46DD3"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D46DD3">
              <w:rPr>
                <w:rFonts w:ascii="Verdana" w:hAnsi="Verdana" w:cs="Times New Roman"/>
                <w:sz w:val="16"/>
                <w:szCs w:val="16"/>
              </w:rPr>
              <w:t>Decision-making rights,</w:t>
            </w:r>
          </w:p>
          <w:p w:rsidR="000E223B" w:rsidRPr="00D46DD3"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D46DD3">
              <w:rPr>
                <w:rFonts w:ascii="Verdana" w:hAnsi="Verdana" w:cs="Times New Roman"/>
                <w:sz w:val="16"/>
                <w:szCs w:val="16"/>
              </w:rPr>
              <w:t>responsibilities</w:t>
            </w:r>
          </w:p>
        </w:tc>
      </w:tr>
      <w:tr w:rsidR="000E223B" w:rsidRPr="00D46DD3" w:rsidTr="001106BD">
        <w:trPr>
          <w:trHeight w:val="1134"/>
        </w:trPr>
        <w:tc>
          <w:tcPr>
            <w:cnfStyle w:val="001000000000" w:firstRow="0" w:lastRow="0" w:firstColumn="1" w:lastColumn="0" w:oddVBand="0" w:evenVBand="0" w:oddHBand="0" w:evenHBand="0" w:firstRowFirstColumn="0" w:firstRowLastColumn="0" w:lastRowFirstColumn="0" w:lastRowLastColumn="0"/>
            <w:tcW w:w="1138" w:type="pct"/>
          </w:tcPr>
          <w:p w:rsidR="000E223B" w:rsidRPr="00D46DD3" w:rsidRDefault="000E223B" w:rsidP="001106BD">
            <w:pPr>
              <w:jc w:val="both"/>
              <w:rPr>
                <w:rFonts w:ascii="Verdana" w:hAnsi="Verdana" w:cs="Times New Roman"/>
                <w:sz w:val="16"/>
                <w:szCs w:val="16"/>
              </w:rPr>
            </w:pPr>
            <w:r w:rsidRPr="00D46DD3">
              <w:rPr>
                <w:rFonts w:ascii="Verdana" w:hAnsi="Verdana" w:cs="Times New Roman"/>
                <w:sz w:val="16"/>
                <w:szCs w:val="16"/>
              </w:rPr>
              <w:t>Weber, Otto, Osterle (2009)</w:t>
            </w:r>
          </w:p>
        </w:tc>
        <w:tc>
          <w:tcPr>
            <w:tcW w:w="1931" w:type="pct"/>
          </w:tcPr>
          <w:p w:rsidR="000E223B" w:rsidRPr="000E223B"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lang w:val="en-US"/>
              </w:rPr>
            </w:pPr>
            <w:r w:rsidRPr="000E223B">
              <w:rPr>
                <w:rFonts w:ascii="Verdana" w:hAnsi="Verdana" w:cs="Times New Roman"/>
                <w:sz w:val="16"/>
                <w:szCs w:val="16"/>
                <w:lang w:val="en-US"/>
              </w:rPr>
              <w:t>Specifies the decision rights &amp; accountabilities to encourage desirable behavior in the use of data</w:t>
            </w:r>
          </w:p>
          <w:p w:rsidR="000E223B" w:rsidRPr="000E223B"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lang w:val="en-US"/>
              </w:rPr>
            </w:pPr>
          </w:p>
        </w:tc>
        <w:tc>
          <w:tcPr>
            <w:tcW w:w="1931" w:type="pct"/>
          </w:tcPr>
          <w:p w:rsidR="000E223B" w:rsidRPr="00D46DD3"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D46DD3">
              <w:rPr>
                <w:rFonts w:ascii="Verdana" w:hAnsi="Verdana" w:cs="Times New Roman"/>
                <w:sz w:val="16"/>
                <w:szCs w:val="16"/>
              </w:rPr>
              <w:t>Decision rights, accountabilities</w:t>
            </w:r>
          </w:p>
        </w:tc>
      </w:tr>
      <w:tr w:rsidR="000E223B" w:rsidRPr="00D46DD3" w:rsidTr="001106BD">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138" w:type="pct"/>
          </w:tcPr>
          <w:p w:rsidR="000E223B" w:rsidRPr="00D46DD3" w:rsidRDefault="000E223B" w:rsidP="001106BD">
            <w:pPr>
              <w:jc w:val="both"/>
              <w:rPr>
                <w:rFonts w:ascii="Verdana" w:hAnsi="Verdana" w:cs="Times New Roman"/>
                <w:sz w:val="16"/>
                <w:szCs w:val="16"/>
              </w:rPr>
            </w:pPr>
            <w:r w:rsidRPr="00D46DD3">
              <w:rPr>
                <w:rFonts w:ascii="Verdana" w:hAnsi="Verdana" w:cs="Times New Roman"/>
                <w:sz w:val="16"/>
                <w:szCs w:val="16"/>
              </w:rPr>
              <w:t>Khatri &amp; Brown (2010)</w:t>
            </w:r>
          </w:p>
        </w:tc>
        <w:tc>
          <w:tcPr>
            <w:tcW w:w="1931" w:type="pct"/>
          </w:tcPr>
          <w:p w:rsidR="000E223B" w:rsidRPr="000E223B"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lang w:val="en-US"/>
              </w:rPr>
            </w:pPr>
            <w:r w:rsidRPr="000E223B">
              <w:rPr>
                <w:rFonts w:ascii="Verdana" w:hAnsi="Verdana" w:cs="Times New Roman"/>
                <w:sz w:val="16"/>
                <w:szCs w:val="16"/>
                <w:lang w:val="en-US"/>
              </w:rPr>
              <w:t xml:space="preserve">Refers to what decisions must be made to ensure effective management &amp; use (…)(decision domains) and who makes the decision (locus of accountability for decision-making) </w:t>
            </w:r>
          </w:p>
        </w:tc>
        <w:tc>
          <w:tcPr>
            <w:tcW w:w="1931" w:type="pct"/>
          </w:tcPr>
          <w:p w:rsidR="000E223B" w:rsidRPr="00D46DD3"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D46DD3">
              <w:rPr>
                <w:rFonts w:ascii="Verdana" w:hAnsi="Verdana" w:cs="Times New Roman"/>
                <w:sz w:val="16"/>
                <w:szCs w:val="16"/>
              </w:rPr>
              <w:t>Decision domains, accountability</w:t>
            </w:r>
          </w:p>
        </w:tc>
      </w:tr>
      <w:tr w:rsidR="000E223B" w:rsidRPr="00D46DD3" w:rsidTr="001106BD">
        <w:trPr>
          <w:trHeight w:val="1814"/>
        </w:trPr>
        <w:tc>
          <w:tcPr>
            <w:cnfStyle w:val="001000000000" w:firstRow="0" w:lastRow="0" w:firstColumn="1" w:lastColumn="0" w:oddVBand="0" w:evenVBand="0" w:oddHBand="0" w:evenHBand="0" w:firstRowFirstColumn="0" w:firstRowLastColumn="0" w:lastRowFirstColumn="0" w:lastRowLastColumn="0"/>
            <w:tcW w:w="1138" w:type="pct"/>
          </w:tcPr>
          <w:p w:rsidR="000E223B" w:rsidRPr="00D46DD3" w:rsidRDefault="000E223B" w:rsidP="001106BD">
            <w:pPr>
              <w:jc w:val="both"/>
              <w:rPr>
                <w:rFonts w:ascii="Verdana" w:hAnsi="Verdana" w:cs="Times New Roman"/>
                <w:sz w:val="16"/>
                <w:szCs w:val="16"/>
              </w:rPr>
            </w:pPr>
            <w:r w:rsidRPr="00D46DD3">
              <w:rPr>
                <w:rFonts w:ascii="Verdana" w:hAnsi="Verdana" w:cs="Times New Roman"/>
                <w:sz w:val="16"/>
                <w:szCs w:val="16"/>
              </w:rPr>
              <w:t>Waddington (2008)</w:t>
            </w:r>
          </w:p>
        </w:tc>
        <w:tc>
          <w:tcPr>
            <w:tcW w:w="1931" w:type="pct"/>
          </w:tcPr>
          <w:p w:rsidR="000E223B" w:rsidRPr="000E223B"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lang w:val="en-US"/>
              </w:rPr>
            </w:pPr>
            <w:r w:rsidRPr="000E223B">
              <w:rPr>
                <w:rFonts w:ascii="Verdana" w:hAnsi="Verdana" w:cs="Times New Roman"/>
                <w:sz w:val="16"/>
                <w:szCs w:val="16"/>
                <w:lang w:val="en-US"/>
              </w:rPr>
              <w:t>Data governance is the process of</w:t>
            </w:r>
          </w:p>
          <w:p w:rsidR="000E223B" w:rsidRPr="000E223B"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lang w:val="en-US"/>
              </w:rPr>
            </w:pPr>
            <w:r w:rsidRPr="000E223B">
              <w:rPr>
                <w:rFonts w:ascii="Verdana" w:hAnsi="Verdana" w:cs="Times New Roman"/>
                <w:sz w:val="16"/>
                <w:szCs w:val="16"/>
                <w:lang w:val="en-US"/>
              </w:rPr>
              <w:t>establishing and maintaining cooperation between lines of business to establish standards for how common business data and metrics will be defined, propagated, owned and enforced throughout the organization</w:t>
            </w:r>
          </w:p>
        </w:tc>
        <w:tc>
          <w:tcPr>
            <w:tcW w:w="1931" w:type="pct"/>
          </w:tcPr>
          <w:p w:rsidR="000E223B" w:rsidRPr="00D46DD3"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D46DD3">
              <w:rPr>
                <w:rFonts w:ascii="Verdana" w:hAnsi="Verdana" w:cs="Times New Roman"/>
                <w:sz w:val="16"/>
                <w:szCs w:val="16"/>
              </w:rPr>
              <w:t>Process, cooperation, standards, metrics</w:t>
            </w:r>
          </w:p>
        </w:tc>
      </w:tr>
      <w:tr w:rsidR="000E223B" w:rsidRPr="00D46DD3" w:rsidTr="00110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pct"/>
          </w:tcPr>
          <w:p w:rsidR="000E223B" w:rsidRPr="00D46DD3" w:rsidRDefault="000E223B" w:rsidP="001106BD">
            <w:pPr>
              <w:jc w:val="both"/>
              <w:rPr>
                <w:rFonts w:ascii="Verdana" w:hAnsi="Verdana" w:cs="Times New Roman"/>
                <w:sz w:val="16"/>
                <w:szCs w:val="16"/>
              </w:rPr>
            </w:pPr>
            <w:r w:rsidRPr="00D46DD3">
              <w:rPr>
                <w:rFonts w:ascii="Verdana" w:hAnsi="Verdana" w:cs="Times New Roman"/>
                <w:sz w:val="16"/>
                <w:szCs w:val="16"/>
              </w:rPr>
              <w:t>McGilvray (2007)</w:t>
            </w:r>
          </w:p>
        </w:tc>
        <w:tc>
          <w:tcPr>
            <w:tcW w:w="1931" w:type="pct"/>
          </w:tcPr>
          <w:p w:rsidR="000E223B" w:rsidRPr="000E223B"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lang w:val="en-US"/>
              </w:rPr>
            </w:pPr>
            <w:r w:rsidRPr="000E223B">
              <w:rPr>
                <w:rFonts w:ascii="Verdana" w:hAnsi="Verdana" w:cs="Times New Roman"/>
                <w:sz w:val="16"/>
                <w:szCs w:val="16"/>
                <w:lang w:val="en-US"/>
              </w:rPr>
              <w:t>A process and a structure for formally managing information as a resource</w:t>
            </w:r>
          </w:p>
          <w:p w:rsidR="000E223B" w:rsidRPr="000E223B"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lang w:val="en-US"/>
              </w:rPr>
            </w:pPr>
          </w:p>
        </w:tc>
        <w:tc>
          <w:tcPr>
            <w:tcW w:w="1931" w:type="pct"/>
          </w:tcPr>
          <w:p w:rsidR="000E223B" w:rsidRPr="00D46DD3"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D46DD3">
              <w:rPr>
                <w:rFonts w:ascii="Verdana" w:hAnsi="Verdana" w:cs="Times New Roman"/>
                <w:sz w:val="16"/>
                <w:szCs w:val="16"/>
              </w:rPr>
              <w:t>Process, structure</w:t>
            </w:r>
          </w:p>
        </w:tc>
      </w:tr>
      <w:tr w:rsidR="000E223B" w:rsidRPr="00D46DD3" w:rsidTr="001106BD">
        <w:trPr>
          <w:trHeight w:val="1080"/>
        </w:trPr>
        <w:tc>
          <w:tcPr>
            <w:cnfStyle w:val="001000000000" w:firstRow="0" w:lastRow="0" w:firstColumn="1" w:lastColumn="0" w:oddVBand="0" w:evenVBand="0" w:oddHBand="0" w:evenHBand="0" w:firstRowFirstColumn="0" w:firstRowLastColumn="0" w:lastRowFirstColumn="0" w:lastRowLastColumn="0"/>
            <w:tcW w:w="1138" w:type="pct"/>
          </w:tcPr>
          <w:p w:rsidR="000E223B" w:rsidRPr="00D46DD3" w:rsidRDefault="000E223B" w:rsidP="001106BD">
            <w:pPr>
              <w:jc w:val="both"/>
              <w:rPr>
                <w:rFonts w:ascii="Verdana" w:hAnsi="Verdana" w:cs="Times New Roman"/>
                <w:sz w:val="16"/>
                <w:szCs w:val="16"/>
              </w:rPr>
            </w:pPr>
            <w:r w:rsidRPr="00D46DD3">
              <w:rPr>
                <w:rFonts w:ascii="Verdana" w:hAnsi="Verdana" w:cs="Times New Roman"/>
                <w:sz w:val="16"/>
                <w:szCs w:val="16"/>
              </w:rPr>
              <w:t>Griffin (2005)</w:t>
            </w:r>
          </w:p>
        </w:tc>
        <w:tc>
          <w:tcPr>
            <w:tcW w:w="1931" w:type="pct"/>
          </w:tcPr>
          <w:p w:rsidR="000E223B" w:rsidRPr="000E223B"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lang w:val="en-US"/>
              </w:rPr>
            </w:pPr>
            <w:r w:rsidRPr="000E223B">
              <w:rPr>
                <w:rFonts w:ascii="Verdana" w:hAnsi="Verdana" w:cs="Times New Roman"/>
                <w:sz w:val="16"/>
                <w:szCs w:val="16"/>
                <w:lang w:val="en-US"/>
              </w:rPr>
              <w:t>The process by which you manage the quality, consistency, usability, security and availability of your organization's data</w:t>
            </w:r>
          </w:p>
          <w:p w:rsidR="000E223B" w:rsidRPr="000E223B"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lang w:val="en-US"/>
              </w:rPr>
            </w:pPr>
          </w:p>
        </w:tc>
        <w:tc>
          <w:tcPr>
            <w:tcW w:w="1931" w:type="pct"/>
          </w:tcPr>
          <w:p w:rsidR="000E223B" w:rsidRPr="00D46DD3"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D46DD3">
              <w:rPr>
                <w:rFonts w:ascii="Verdana" w:hAnsi="Verdana" w:cs="Times New Roman"/>
                <w:sz w:val="16"/>
                <w:szCs w:val="16"/>
              </w:rPr>
              <w:t>Process</w:t>
            </w:r>
          </w:p>
        </w:tc>
      </w:tr>
      <w:tr w:rsidR="000E223B" w:rsidRPr="00D46DD3" w:rsidTr="001106BD">
        <w:trPr>
          <w:cnfStyle w:val="000000100000" w:firstRow="0" w:lastRow="0" w:firstColumn="0" w:lastColumn="0" w:oddVBand="0" w:evenVBand="0" w:oddHBand="1" w:evenHBand="0" w:firstRowFirstColumn="0" w:firstRowLastColumn="0" w:lastRowFirstColumn="0" w:lastRowLastColumn="0"/>
          <w:trHeight w:val="1349"/>
        </w:trPr>
        <w:tc>
          <w:tcPr>
            <w:cnfStyle w:val="001000000000" w:firstRow="0" w:lastRow="0" w:firstColumn="1" w:lastColumn="0" w:oddVBand="0" w:evenVBand="0" w:oddHBand="0" w:evenHBand="0" w:firstRowFirstColumn="0" w:firstRowLastColumn="0" w:lastRowFirstColumn="0" w:lastRowLastColumn="0"/>
            <w:tcW w:w="1138" w:type="pct"/>
          </w:tcPr>
          <w:p w:rsidR="000E223B" w:rsidRPr="00D46DD3" w:rsidRDefault="000E223B" w:rsidP="001106BD">
            <w:pPr>
              <w:jc w:val="both"/>
              <w:rPr>
                <w:rFonts w:ascii="Verdana" w:hAnsi="Verdana" w:cs="Times New Roman"/>
                <w:sz w:val="16"/>
                <w:szCs w:val="16"/>
              </w:rPr>
            </w:pPr>
            <w:r w:rsidRPr="00D46DD3">
              <w:rPr>
                <w:rFonts w:ascii="Verdana" w:hAnsi="Verdana" w:cs="Times New Roman"/>
                <w:sz w:val="16"/>
                <w:szCs w:val="16"/>
              </w:rPr>
              <w:t>Fernandes, O'Connor (2009)</w:t>
            </w:r>
          </w:p>
        </w:tc>
        <w:tc>
          <w:tcPr>
            <w:tcW w:w="1931" w:type="pct"/>
          </w:tcPr>
          <w:p w:rsidR="000E223B" w:rsidRPr="000E223B"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lang w:val="en-US"/>
              </w:rPr>
            </w:pPr>
            <w:r w:rsidRPr="000E223B">
              <w:rPr>
                <w:rFonts w:ascii="Verdana" w:hAnsi="Verdana" w:cs="Times New Roman"/>
                <w:sz w:val="16"/>
                <w:szCs w:val="16"/>
                <w:lang w:val="en-US"/>
              </w:rPr>
              <w:t>The high-level, corporate, or enterprise policies or strategies that define the purpose for collecting data, ownership of data, and intended use of data</w:t>
            </w:r>
          </w:p>
          <w:p w:rsidR="000E223B" w:rsidRPr="000E223B"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lang w:val="en-US"/>
              </w:rPr>
            </w:pPr>
          </w:p>
        </w:tc>
        <w:tc>
          <w:tcPr>
            <w:tcW w:w="1931" w:type="pct"/>
          </w:tcPr>
          <w:p w:rsidR="000E223B" w:rsidRPr="00D46DD3"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D46DD3">
              <w:rPr>
                <w:rFonts w:ascii="Verdana" w:hAnsi="Verdana" w:cs="Times New Roman"/>
                <w:sz w:val="16"/>
                <w:szCs w:val="16"/>
              </w:rPr>
              <w:t>Policies, strategies</w:t>
            </w:r>
          </w:p>
        </w:tc>
      </w:tr>
      <w:tr w:rsidR="000E223B" w:rsidRPr="00D46DD3" w:rsidTr="001106BD">
        <w:tc>
          <w:tcPr>
            <w:cnfStyle w:val="001000000000" w:firstRow="0" w:lastRow="0" w:firstColumn="1" w:lastColumn="0" w:oddVBand="0" w:evenVBand="0" w:oddHBand="0" w:evenHBand="0" w:firstRowFirstColumn="0" w:firstRowLastColumn="0" w:lastRowFirstColumn="0" w:lastRowLastColumn="0"/>
            <w:tcW w:w="1138" w:type="pct"/>
          </w:tcPr>
          <w:p w:rsidR="000E223B" w:rsidRPr="00D46DD3" w:rsidRDefault="000E223B" w:rsidP="001106BD">
            <w:pPr>
              <w:jc w:val="both"/>
              <w:rPr>
                <w:rFonts w:ascii="Verdana" w:hAnsi="Verdana" w:cs="Times New Roman"/>
                <w:sz w:val="16"/>
                <w:szCs w:val="16"/>
              </w:rPr>
            </w:pPr>
            <w:r w:rsidRPr="00D46DD3">
              <w:rPr>
                <w:rFonts w:ascii="Verdana" w:hAnsi="Verdana" w:cs="Times New Roman"/>
                <w:sz w:val="16"/>
                <w:szCs w:val="16"/>
              </w:rPr>
              <w:t>Griffin (2008)</w:t>
            </w:r>
          </w:p>
        </w:tc>
        <w:tc>
          <w:tcPr>
            <w:tcW w:w="1931" w:type="pct"/>
          </w:tcPr>
          <w:p w:rsidR="000E223B" w:rsidRPr="000E223B"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lang w:val="en-US"/>
              </w:rPr>
            </w:pPr>
            <w:r w:rsidRPr="000E223B">
              <w:rPr>
                <w:rFonts w:ascii="Verdana" w:hAnsi="Verdana" w:cs="Times New Roman"/>
                <w:sz w:val="16"/>
                <w:szCs w:val="16"/>
                <w:lang w:val="en-US"/>
              </w:rPr>
              <w:t>The ability to use IT to standardize data policies across the enterprise so you can gain a reliable view of the data and make better decisions</w:t>
            </w:r>
          </w:p>
          <w:p w:rsidR="000E223B" w:rsidRPr="000E223B"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lang w:val="en-US"/>
              </w:rPr>
            </w:pPr>
          </w:p>
        </w:tc>
        <w:tc>
          <w:tcPr>
            <w:tcW w:w="1931" w:type="pct"/>
          </w:tcPr>
          <w:p w:rsidR="000E223B" w:rsidRPr="00D46DD3"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D46DD3">
              <w:rPr>
                <w:rFonts w:ascii="Verdana" w:hAnsi="Verdana" w:cs="Times New Roman"/>
                <w:sz w:val="16"/>
                <w:szCs w:val="16"/>
              </w:rPr>
              <w:lastRenderedPageBreak/>
              <w:t>Policies</w:t>
            </w:r>
          </w:p>
        </w:tc>
      </w:tr>
      <w:tr w:rsidR="000E223B" w:rsidRPr="00D46DD3" w:rsidTr="00110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pct"/>
          </w:tcPr>
          <w:p w:rsidR="000E223B" w:rsidRPr="00D46DD3" w:rsidRDefault="000E223B" w:rsidP="001106BD">
            <w:pPr>
              <w:jc w:val="both"/>
              <w:rPr>
                <w:rFonts w:ascii="Verdana" w:hAnsi="Verdana" w:cs="Times New Roman"/>
                <w:sz w:val="16"/>
                <w:szCs w:val="16"/>
              </w:rPr>
            </w:pPr>
            <w:r w:rsidRPr="00D46DD3">
              <w:rPr>
                <w:rFonts w:ascii="Verdana" w:hAnsi="Verdana" w:cs="Times New Roman"/>
                <w:sz w:val="16"/>
                <w:szCs w:val="16"/>
              </w:rPr>
              <w:lastRenderedPageBreak/>
              <w:t>Soares (2011)</w:t>
            </w:r>
          </w:p>
        </w:tc>
        <w:tc>
          <w:tcPr>
            <w:tcW w:w="1931" w:type="pct"/>
          </w:tcPr>
          <w:p w:rsidR="000E223B" w:rsidRPr="000E223B"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lang w:val="en-US"/>
              </w:rPr>
            </w:pPr>
            <w:r w:rsidRPr="000E223B">
              <w:rPr>
                <w:rFonts w:ascii="Verdana" w:hAnsi="Verdana" w:cs="Times New Roman"/>
                <w:sz w:val="16"/>
                <w:szCs w:val="16"/>
                <w:lang w:val="en-US"/>
              </w:rPr>
              <w:t>The formulation of policy to optimize; secure, and leverage information as an enterprise asset by aligning the objectives of multiple functions</w:t>
            </w:r>
          </w:p>
        </w:tc>
        <w:tc>
          <w:tcPr>
            <w:tcW w:w="1931" w:type="pct"/>
          </w:tcPr>
          <w:p w:rsidR="000E223B" w:rsidRPr="00D46DD3"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D46DD3">
              <w:rPr>
                <w:rFonts w:ascii="Verdana" w:hAnsi="Verdana" w:cs="Times New Roman"/>
                <w:sz w:val="16"/>
                <w:szCs w:val="16"/>
              </w:rPr>
              <w:t>Policies, objectives</w:t>
            </w:r>
          </w:p>
        </w:tc>
      </w:tr>
      <w:tr w:rsidR="000E223B" w:rsidRPr="001A0FAF" w:rsidTr="001106BD">
        <w:tc>
          <w:tcPr>
            <w:cnfStyle w:val="001000000000" w:firstRow="0" w:lastRow="0" w:firstColumn="1" w:lastColumn="0" w:oddVBand="0" w:evenVBand="0" w:oddHBand="0" w:evenHBand="0" w:firstRowFirstColumn="0" w:firstRowLastColumn="0" w:lastRowFirstColumn="0" w:lastRowLastColumn="0"/>
            <w:tcW w:w="1138" w:type="pct"/>
          </w:tcPr>
          <w:p w:rsidR="000E223B" w:rsidRPr="00D46DD3" w:rsidRDefault="000E223B" w:rsidP="001106BD">
            <w:pPr>
              <w:jc w:val="both"/>
              <w:rPr>
                <w:rFonts w:ascii="Verdana" w:hAnsi="Verdana" w:cs="Times New Roman"/>
                <w:sz w:val="16"/>
                <w:szCs w:val="16"/>
              </w:rPr>
            </w:pPr>
            <w:r w:rsidRPr="00D46DD3">
              <w:rPr>
                <w:rFonts w:ascii="Verdana" w:hAnsi="Verdana" w:cs="Times New Roman"/>
                <w:sz w:val="16"/>
                <w:szCs w:val="16"/>
              </w:rPr>
              <w:t>Kooper, Maes, Lindgreen (2009)</w:t>
            </w:r>
          </w:p>
        </w:tc>
        <w:tc>
          <w:tcPr>
            <w:tcW w:w="1931" w:type="pct"/>
          </w:tcPr>
          <w:p w:rsidR="000E223B" w:rsidRPr="000E223B"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lang w:val="en-US"/>
              </w:rPr>
            </w:pPr>
            <w:r w:rsidRPr="000E223B">
              <w:rPr>
                <w:rFonts w:ascii="Verdana" w:hAnsi="Verdana" w:cs="Times New Roman"/>
                <w:sz w:val="16"/>
                <w:szCs w:val="16"/>
                <w:lang w:val="en-US"/>
              </w:rPr>
              <w:t>Involves establishing an environment of opportunities, rules and decision-making rights for the valuation, creation, collection, analysis, distribution, storage, use and control of information</w:t>
            </w:r>
          </w:p>
        </w:tc>
        <w:tc>
          <w:tcPr>
            <w:tcW w:w="1931" w:type="pct"/>
          </w:tcPr>
          <w:p w:rsidR="000E223B" w:rsidRPr="000E223B"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lang w:val="en-US"/>
              </w:rPr>
            </w:pPr>
            <w:r w:rsidRPr="000E223B">
              <w:rPr>
                <w:rFonts w:ascii="Verdana" w:hAnsi="Verdana" w:cs="Times New Roman"/>
                <w:sz w:val="16"/>
                <w:szCs w:val="16"/>
                <w:lang w:val="en-US"/>
              </w:rPr>
              <w:t>Rules, opportunities, decision-making rights</w:t>
            </w:r>
          </w:p>
        </w:tc>
      </w:tr>
      <w:tr w:rsidR="000E223B" w:rsidRPr="00D46DD3" w:rsidTr="00110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pct"/>
          </w:tcPr>
          <w:p w:rsidR="000E223B" w:rsidRPr="00D46DD3" w:rsidRDefault="000E223B" w:rsidP="001106BD">
            <w:pPr>
              <w:jc w:val="both"/>
              <w:rPr>
                <w:rFonts w:ascii="Verdana" w:hAnsi="Verdana" w:cs="Times New Roman"/>
                <w:sz w:val="16"/>
                <w:szCs w:val="16"/>
              </w:rPr>
            </w:pPr>
            <w:r w:rsidRPr="00D46DD3">
              <w:rPr>
                <w:rFonts w:ascii="Verdana" w:hAnsi="Verdana" w:cs="Times New Roman"/>
                <w:sz w:val="16"/>
                <w:szCs w:val="16"/>
              </w:rPr>
              <w:t>Sucha (2014)</w:t>
            </w:r>
          </w:p>
        </w:tc>
        <w:tc>
          <w:tcPr>
            <w:tcW w:w="1931" w:type="pct"/>
          </w:tcPr>
          <w:p w:rsidR="000E223B" w:rsidRPr="000E223B"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lang w:val="en-US"/>
              </w:rPr>
            </w:pPr>
            <w:r w:rsidRPr="000E223B">
              <w:rPr>
                <w:rFonts w:ascii="Verdana" w:hAnsi="Verdana" w:cs="Times New Roman"/>
                <w:sz w:val="16"/>
                <w:szCs w:val="16"/>
                <w:lang w:val="en-US"/>
              </w:rPr>
              <w:t>The organization &amp; implementation of accountabilities for managing data. Data governance includes the roles for managing data as well as the plans, policies, and procedures that control-in essence govern-data</w:t>
            </w:r>
          </w:p>
          <w:p w:rsidR="000E223B" w:rsidRPr="000E223B"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lang w:val="en-US"/>
              </w:rPr>
            </w:pPr>
          </w:p>
        </w:tc>
        <w:tc>
          <w:tcPr>
            <w:tcW w:w="1931" w:type="pct"/>
          </w:tcPr>
          <w:p w:rsidR="000E223B" w:rsidRPr="00D46DD3"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D46DD3">
              <w:rPr>
                <w:rFonts w:ascii="Verdana" w:hAnsi="Verdana" w:cs="Times New Roman"/>
                <w:sz w:val="16"/>
                <w:szCs w:val="16"/>
              </w:rPr>
              <w:t>Accountabilities, procedures</w:t>
            </w:r>
          </w:p>
        </w:tc>
      </w:tr>
      <w:tr w:rsidR="000E223B" w:rsidRPr="00D46DD3" w:rsidTr="001106BD">
        <w:tc>
          <w:tcPr>
            <w:cnfStyle w:val="001000000000" w:firstRow="0" w:lastRow="0" w:firstColumn="1" w:lastColumn="0" w:oddVBand="0" w:evenVBand="0" w:oddHBand="0" w:evenHBand="0" w:firstRowFirstColumn="0" w:firstRowLastColumn="0" w:lastRowFirstColumn="0" w:lastRowLastColumn="0"/>
            <w:tcW w:w="1138" w:type="pct"/>
          </w:tcPr>
          <w:p w:rsidR="000E223B" w:rsidRPr="00D46DD3" w:rsidRDefault="000E223B" w:rsidP="001106BD">
            <w:pPr>
              <w:jc w:val="both"/>
              <w:rPr>
                <w:rFonts w:ascii="Verdana" w:hAnsi="Verdana" w:cs="Times New Roman"/>
                <w:sz w:val="16"/>
                <w:szCs w:val="16"/>
                <w:lang w:val="es-ES"/>
              </w:rPr>
            </w:pPr>
            <w:r w:rsidRPr="00D46DD3">
              <w:rPr>
                <w:rFonts w:ascii="Verdana" w:hAnsi="Verdana" w:cs="Times New Roman"/>
                <w:sz w:val="16"/>
                <w:szCs w:val="16"/>
                <w:lang w:val="es-ES"/>
              </w:rPr>
              <w:t xml:space="preserve">Alves </w:t>
            </w:r>
            <w:r w:rsidR="00BC1F27" w:rsidRPr="00753959">
              <w:rPr>
                <w:rStyle w:val="byline3"/>
                <w:rFonts w:ascii="Verdana" w:hAnsi="Verdana" w:cs="Times New Roman"/>
                <w:sz w:val="20"/>
                <w:szCs w:val="20"/>
                <w:lang w:val="fr-BE"/>
              </w:rPr>
              <w:t>Bahjat</w:t>
            </w:r>
            <w:r w:rsidRPr="00D46DD3">
              <w:rPr>
                <w:rFonts w:ascii="Verdana" w:hAnsi="Verdana" w:cs="Times New Roman"/>
                <w:sz w:val="16"/>
                <w:szCs w:val="16"/>
                <w:lang w:val="es-ES"/>
              </w:rPr>
              <w:t>, Senra Michel, Gronovicz, Rodrigues (2013)</w:t>
            </w:r>
          </w:p>
        </w:tc>
        <w:tc>
          <w:tcPr>
            <w:tcW w:w="1931" w:type="pct"/>
          </w:tcPr>
          <w:p w:rsidR="000E223B" w:rsidRPr="000E223B"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lang w:val="en-US"/>
              </w:rPr>
            </w:pPr>
            <w:r w:rsidRPr="000E223B">
              <w:rPr>
                <w:rFonts w:ascii="Verdana" w:hAnsi="Verdana" w:cs="Times New Roman"/>
                <w:sz w:val="16"/>
                <w:szCs w:val="16"/>
                <w:lang w:val="en-US"/>
              </w:rPr>
              <w:t>Information governance is a program that aims to orchestrate people, processes and technology so as to identify roles &amp; responsibilities regarding a company's critical data inventory and, at the same time, to confer the required quality</w:t>
            </w:r>
          </w:p>
          <w:p w:rsidR="000E223B" w:rsidRPr="000E223B"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lang w:val="en-US"/>
              </w:rPr>
            </w:pPr>
          </w:p>
        </w:tc>
        <w:tc>
          <w:tcPr>
            <w:tcW w:w="1931" w:type="pct"/>
          </w:tcPr>
          <w:p w:rsidR="000E223B" w:rsidRPr="00D46DD3"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D46DD3">
              <w:rPr>
                <w:rFonts w:ascii="Verdana" w:hAnsi="Verdana" w:cs="Times New Roman"/>
                <w:sz w:val="16"/>
                <w:szCs w:val="16"/>
              </w:rPr>
              <w:t>Program, responsibilities</w:t>
            </w:r>
          </w:p>
        </w:tc>
      </w:tr>
    </w:tbl>
    <w:p w:rsidR="000E223B" w:rsidRPr="00753959" w:rsidRDefault="000E223B" w:rsidP="000E223B">
      <w:pPr>
        <w:spacing w:line="360" w:lineRule="auto"/>
        <w:jc w:val="center"/>
        <w:rPr>
          <w:rFonts w:ascii="Verdana" w:hAnsi="Verdana" w:cs="Times New Roman"/>
          <w:sz w:val="18"/>
          <w:szCs w:val="18"/>
        </w:rPr>
      </w:pPr>
      <w:r w:rsidRPr="00753959">
        <w:rPr>
          <w:rFonts w:ascii="Verdana" w:hAnsi="Verdana" w:cs="Times New Roman"/>
          <w:sz w:val="18"/>
          <w:szCs w:val="18"/>
        </w:rPr>
        <w:t>Table 4.1 Definitions of data governance</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After having analyzed each definition and based on the focus of approach on data governance of each definition, we aggregated each element by frequency of occurrence and noted that most definitions come down to 4 elements, distributed more or less equally (we chose to exclude elements which were mentioned only once or twice and group together similar elements like processes, components and structures into processes and accountabilities into responsibilities) : </w:t>
      </w:r>
      <w:r w:rsidRPr="000E223B">
        <w:rPr>
          <w:rFonts w:ascii="Verdana" w:hAnsi="Verdana" w:cs="Times New Roman"/>
          <w:sz w:val="20"/>
          <w:szCs w:val="20"/>
          <w:u w:val="single"/>
          <w:lang w:val="en-US"/>
        </w:rPr>
        <w:t>policies</w:t>
      </w:r>
      <w:r w:rsidRPr="000E223B">
        <w:rPr>
          <w:rFonts w:ascii="Verdana" w:hAnsi="Verdana" w:cs="Times New Roman"/>
          <w:sz w:val="20"/>
          <w:szCs w:val="20"/>
          <w:lang w:val="en-US"/>
        </w:rPr>
        <w:t xml:space="preserve"> is the most mentioned element in a definition, followed by </w:t>
      </w:r>
      <w:r w:rsidRPr="000E223B">
        <w:rPr>
          <w:rFonts w:ascii="Verdana" w:hAnsi="Verdana" w:cs="Times New Roman"/>
          <w:i/>
          <w:sz w:val="20"/>
          <w:szCs w:val="20"/>
          <w:u w:val="single"/>
          <w:lang w:val="en-US"/>
        </w:rPr>
        <w:t>decision-making rights</w:t>
      </w:r>
      <w:r w:rsidRPr="000E223B">
        <w:rPr>
          <w:rFonts w:ascii="Verdana" w:hAnsi="Verdana" w:cs="Times New Roman"/>
          <w:sz w:val="20"/>
          <w:szCs w:val="20"/>
          <w:lang w:val="en-US"/>
        </w:rPr>
        <w:t>,</w:t>
      </w:r>
      <w:r w:rsidRPr="000E223B">
        <w:rPr>
          <w:rFonts w:ascii="Verdana" w:hAnsi="Verdana" w:cs="Times New Roman"/>
          <w:i/>
          <w:sz w:val="20"/>
          <w:szCs w:val="20"/>
          <w:lang w:val="en-US"/>
        </w:rPr>
        <w:t xml:space="preserve"> </w:t>
      </w:r>
      <w:r w:rsidRPr="000E223B">
        <w:rPr>
          <w:rFonts w:ascii="Verdana" w:hAnsi="Verdana" w:cs="Times New Roman"/>
          <w:i/>
          <w:sz w:val="20"/>
          <w:szCs w:val="20"/>
          <w:u w:val="single"/>
          <w:lang w:val="en-US"/>
        </w:rPr>
        <w:t>responsibilities</w:t>
      </w:r>
      <w:r w:rsidRPr="000E223B">
        <w:rPr>
          <w:rFonts w:ascii="Verdana" w:hAnsi="Verdana" w:cs="Times New Roman"/>
          <w:sz w:val="20"/>
          <w:szCs w:val="20"/>
          <w:lang w:val="en-US"/>
        </w:rPr>
        <w:t xml:space="preserve"> and </w:t>
      </w:r>
      <w:r w:rsidRPr="000E223B">
        <w:rPr>
          <w:rFonts w:ascii="Verdana" w:hAnsi="Verdana" w:cs="Times New Roman"/>
          <w:i/>
          <w:sz w:val="20"/>
          <w:szCs w:val="20"/>
          <w:u w:val="single"/>
          <w:lang w:val="en-US"/>
        </w:rPr>
        <w:t>processes</w:t>
      </w:r>
      <w:r w:rsidRPr="000E223B">
        <w:rPr>
          <w:rFonts w:ascii="Verdana" w:hAnsi="Verdana" w:cs="Times New Roman"/>
          <w:sz w:val="20"/>
          <w:szCs w:val="20"/>
          <w:lang w:val="en-US"/>
        </w:rPr>
        <w:t xml:space="preserve">. </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By adapting the different definitions from the table above, we have derived the following general definition for data governance : </w:t>
      </w:r>
      <w:r w:rsidRPr="000E223B">
        <w:rPr>
          <w:rFonts w:ascii="Verdana" w:hAnsi="Verdana" w:cs="Times New Roman"/>
          <w:i/>
          <w:sz w:val="20"/>
          <w:szCs w:val="20"/>
          <w:lang w:val="en-US"/>
        </w:rPr>
        <w:t>“Data Governance encompasses the enterprise policies and processes which specify the decision-making rights and responsibilities regarding the intended use of data across the enterprise”</w:t>
      </w:r>
      <w:r w:rsidRPr="000E223B">
        <w:rPr>
          <w:rFonts w:ascii="Verdana" w:hAnsi="Verdana" w:cs="Times New Roman"/>
          <w:sz w:val="20"/>
          <w:szCs w:val="20"/>
          <w:lang w:val="en-US"/>
        </w:rPr>
        <w:t>.</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This definition is in line with what Otto (2011) defines as being the 3 data governance crucial questions one must ask before designing a data governance program :</w:t>
      </w:r>
    </w:p>
    <w:p w:rsidR="000E223B" w:rsidRPr="00FB5C1D" w:rsidRDefault="000E223B" w:rsidP="000E223B">
      <w:pPr>
        <w:pStyle w:val="ListParagraph"/>
        <w:numPr>
          <w:ilvl w:val="0"/>
          <w:numId w:val="9"/>
        </w:numPr>
        <w:spacing w:line="360" w:lineRule="auto"/>
        <w:ind w:left="0" w:firstLine="567"/>
        <w:jc w:val="both"/>
        <w:rPr>
          <w:rFonts w:ascii="Verdana" w:hAnsi="Verdana" w:cs="Times New Roman"/>
          <w:color w:val="000000" w:themeColor="text1"/>
          <w:sz w:val="20"/>
          <w:szCs w:val="20"/>
        </w:rPr>
      </w:pPr>
      <w:r w:rsidRPr="00FB5C1D">
        <w:rPr>
          <w:rFonts w:ascii="Verdana" w:hAnsi="Verdana" w:cs="Times New Roman"/>
          <w:i/>
          <w:color w:val="000000" w:themeColor="text1"/>
          <w:sz w:val="20"/>
          <w:szCs w:val="20"/>
        </w:rPr>
        <w:t>What decisions need to be made regarding corporate data</w:t>
      </w:r>
      <w:r w:rsidRPr="00FB5C1D">
        <w:rPr>
          <w:rFonts w:ascii="Verdana" w:hAnsi="Verdana" w:cs="Times New Roman"/>
          <w:color w:val="000000" w:themeColor="text1"/>
          <w:sz w:val="20"/>
          <w:szCs w:val="20"/>
        </w:rPr>
        <w:t xml:space="preserve"> ? (policies and processes)</w:t>
      </w:r>
    </w:p>
    <w:p w:rsidR="000E223B" w:rsidRPr="00FB5C1D" w:rsidRDefault="000E223B" w:rsidP="000E223B">
      <w:pPr>
        <w:pStyle w:val="ListParagraph"/>
        <w:numPr>
          <w:ilvl w:val="0"/>
          <w:numId w:val="9"/>
        </w:numPr>
        <w:spacing w:line="360" w:lineRule="auto"/>
        <w:ind w:left="0" w:firstLine="567"/>
        <w:jc w:val="both"/>
        <w:rPr>
          <w:rFonts w:ascii="Verdana" w:hAnsi="Verdana" w:cs="Times New Roman"/>
          <w:color w:val="000000" w:themeColor="text1"/>
          <w:sz w:val="20"/>
          <w:szCs w:val="20"/>
        </w:rPr>
      </w:pPr>
      <w:r w:rsidRPr="00FB5C1D">
        <w:rPr>
          <w:rFonts w:ascii="Verdana" w:hAnsi="Verdana" w:cs="Times New Roman"/>
          <w:i/>
          <w:color w:val="000000" w:themeColor="text1"/>
          <w:sz w:val="20"/>
          <w:szCs w:val="20"/>
        </w:rPr>
        <w:t>Which roles are responsible</w:t>
      </w:r>
      <w:r w:rsidRPr="00FB5C1D">
        <w:rPr>
          <w:rFonts w:ascii="Verdana" w:hAnsi="Verdana" w:cs="Times New Roman"/>
          <w:color w:val="000000" w:themeColor="text1"/>
          <w:sz w:val="20"/>
          <w:szCs w:val="20"/>
        </w:rPr>
        <w:t xml:space="preserve"> ? (responsibilities)</w:t>
      </w:r>
    </w:p>
    <w:p w:rsidR="000E223B" w:rsidRPr="00FB5C1D" w:rsidRDefault="000E223B" w:rsidP="000E223B">
      <w:pPr>
        <w:pStyle w:val="ListParagraph"/>
        <w:numPr>
          <w:ilvl w:val="0"/>
          <w:numId w:val="9"/>
        </w:numPr>
        <w:spacing w:line="360" w:lineRule="auto"/>
        <w:ind w:left="0" w:firstLine="567"/>
        <w:jc w:val="both"/>
        <w:rPr>
          <w:rFonts w:ascii="Verdana" w:hAnsi="Verdana" w:cs="Times New Roman"/>
          <w:color w:val="000000" w:themeColor="text1"/>
          <w:sz w:val="20"/>
          <w:szCs w:val="20"/>
        </w:rPr>
      </w:pPr>
      <w:r w:rsidRPr="00FB5C1D">
        <w:rPr>
          <w:rFonts w:ascii="Verdana" w:hAnsi="Verdana" w:cs="Times New Roman"/>
          <w:i/>
          <w:color w:val="000000" w:themeColor="text1"/>
          <w:sz w:val="20"/>
          <w:szCs w:val="20"/>
        </w:rPr>
        <w:t>How are these roles involved in the process of decision-making</w:t>
      </w:r>
      <w:r w:rsidRPr="00FB5C1D">
        <w:rPr>
          <w:rFonts w:ascii="Verdana" w:hAnsi="Verdana" w:cs="Times New Roman"/>
          <w:color w:val="000000" w:themeColor="text1"/>
          <w:sz w:val="20"/>
          <w:szCs w:val="20"/>
        </w:rPr>
        <w:t xml:space="preserve"> ? (decision-making rights)</w:t>
      </w:r>
    </w:p>
    <w:p w:rsidR="000E223B" w:rsidRPr="00FB5C1D" w:rsidRDefault="000E223B" w:rsidP="000E223B">
      <w:pPr>
        <w:pStyle w:val="ListParagraph"/>
        <w:spacing w:line="360" w:lineRule="auto"/>
        <w:ind w:left="0"/>
        <w:jc w:val="both"/>
        <w:rPr>
          <w:rFonts w:ascii="Verdana" w:hAnsi="Verdana" w:cs="Times New Roman"/>
          <w:sz w:val="20"/>
          <w:szCs w:val="20"/>
        </w:rPr>
      </w:pP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We will address each of these questions separately later in this chapter. </w:t>
      </w:r>
    </w:p>
    <w:p w:rsidR="000E223B" w:rsidRPr="000E223B" w:rsidRDefault="000E223B" w:rsidP="000E223B">
      <w:pPr>
        <w:spacing w:line="360" w:lineRule="auto"/>
        <w:jc w:val="both"/>
        <w:rPr>
          <w:rFonts w:ascii="Verdana" w:hAnsi="Verdana" w:cs="Times New Roman"/>
          <w:sz w:val="20"/>
          <w:szCs w:val="20"/>
          <w:lang w:val="en-US"/>
        </w:rPr>
      </w:pPr>
    </w:p>
    <w:p w:rsidR="000E223B" w:rsidRPr="000E223B" w:rsidRDefault="000E223B" w:rsidP="000E223B">
      <w:pPr>
        <w:pStyle w:val="Heading1"/>
        <w:spacing w:line="360" w:lineRule="auto"/>
        <w:jc w:val="both"/>
        <w:rPr>
          <w:rStyle w:val="Strong"/>
          <w:rFonts w:ascii="Verdana" w:hAnsi="Verdana" w:cs="Times New Roman"/>
          <w:b/>
          <w:bCs/>
          <w:sz w:val="20"/>
          <w:szCs w:val="20"/>
          <w:lang w:val="en-US"/>
        </w:rPr>
      </w:pPr>
      <w:bookmarkStart w:id="71" w:name="_Toc423597531"/>
      <w:r w:rsidRPr="000E223B">
        <w:rPr>
          <w:rStyle w:val="Strong"/>
          <w:rFonts w:ascii="Verdana" w:hAnsi="Verdana" w:cs="Times New Roman"/>
          <w:b/>
          <w:bCs/>
          <w:sz w:val="20"/>
          <w:szCs w:val="20"/>
          <w:lang w:val="en-US"/>
        </w:rPr>
        <w:t>4.4 Data governance classifications</w:t>
      </w:r>
      <w:bookmarkEnd w:id="71"/>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This chapter presents the layers, practices, segments and principles associated with the practice of data governance. </w:t>
      </w:r>
    </w:p>
    <w:p w:rsidR="000E223B" w:rsidRPr="00FB5C1D" w:rsidRDefault="000E223B" w:rsidP="000E223B">
      <w:pPr>
        <w:pStyle w:val="Heading2"/>
        <w:spacing w:line="360" w:lineRule="auto"/>
        <w:jc w:val="both"/>
        <w:rPr>
          <w:rFonts w:ascii="Verdana" w:hAnsi="Verdana" w:cs="Times New Roman"/>
          <w:sz w:val="20"/>
          <w:szCs w:val="20"/>
        </w:rPr>
      </w:pPr>
      <w:bookmarkStart w:id="72" w:name="_Toc423597532"/>
      <w:r w:rsidRPr="00FB5C1D">
        <w:rPr>
          <w:rFonts w:ascii="Verdana" w:hAnsi="Verdana" w:cs="Times New Roman"/>
          <w:sz w:val="20"/>
          <w:szCs w:val="20"/>
        </w:rPr>
        <w:t>4.4.1 Data quality management</w:t>
      </w:r>
      <w:bookmarkEnd w:id="72"/>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Weber et al. (2009) addressed data governance from a data quality management (DQM) perspective because data governance goes hand in hand with data quality : it is not enough to have the data, this has to be high-quality in order to satisfy it’s “fitness for use”. Quality in this context means accuracy, completeness, consistency, relevancy and timeliness. The model they build addresses DQM on 3 layers : </w:t>
      </w:r>
      <w:r w:rsidRPr="00FB5C1D">
        <w:rPr>
          <w:rFonts w:ascii="Verdana" w:hAnsi="Verdana" w:cs="Times New Roman"/>
          <w:i/>
          <w:sz w:val="20"/>
          <w:szCs w:val="20"/>
        </w:rPr>
        <w:t>strategy</w:t>
      </w:r>
      <w:r w:rsidRPr="00FB5C1D">
        <w:rPr>
          <w:rFonts w:ascii="Verdana" w:hAnsi="Verdana" w:cs="Times New Roman"/>
          <w:sz w:val="20"/>
          <w:szCs w:val="20"/>
        </w:rPr>
        <w:t xml:space="preserve">, </w:t>
      </w:r>
      <w:r w:rsidRPr="00FB5C1D">
        <w:rPr>
          <w:rFonts w:ascii="Verdana" w:hAnsi="Verdana" w:cs="Times New Roman"/>
          <w:i/>
          <w:sz w:val="20"/>
          <w:szCs w:val="20"/>
        </w:rPr>
        <w:t>organization</w:t>
      </w:r>
      <w:r w:rsidRPr="00FB5C1D">
        <w:rPr>
          <w:rFonts w:ascii="Verdana" w:hAnsi="Verdana" w:cs="Times New Roman"/>
          <w:sz w:val="20"/>
          <w:szCs w:val="20"/>
        </w:rPr>
        <w:t xml:space="preserve"> and </w:t>
      </w:r>
      <w:r w:rsidRPr="00FB5C1D">
        <w:rPr>
          <w:rFonts w:ascii="Verdana" w:hAnsi="Verdana" w:cs="Times New Roman"/>
          <w:i/>
          <w:sz w:val="20"/>
          <w:szCs w:val="20"/>
        </w:rPr>
        <w:t>information systems</w:t>
      </w:r>
      <w:r w:rsidRPr="00FB5C1D">
        <w:rPr>
          <w:rFonts w:ascii="Verdana" w:hAnsi="Verdana" w:cs="Times New Roman"/>
          <w:sz w:val="20"/>
          <w:szCs w:val="20"/>
        </w:rPr>
        <w:t>.</w:t>
      </w: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u w:val="single"/>
        </w:rPr>
        <w:t>Strategy</w:t>
      </w:r>
      <w:r w:rsidRPr="00FB5C1D">
        <w:rPr>
          <w:rFonts w:ascii="Verdana" w:hAnsi="Verdana" w:cs="Times New Roman"/>
          <w:sz w:val="20"/>
          <w:szCs w:val="20"/>
        </w:rPr>
        <w:t xml:space="preserve"> is concerned with the practical definition of a business case for data management as well as setting up a maturity assessment.</w:t>
      </w: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u w:val="single"/>
        </w:rPr>
        <w:t>Organization</w:t>
      </w:r>
      <w:r w:rsidRPr="00FB5C1D">
        <w:rPr>
          <w:rFonts w:ascii="Verdana" w:hAnsi="Verdana" w:cs="Times New Roman"/>
          <w:sz w:val="20"/>
          <w:szCs w:val="20"/>
        </w:rPr>
        <w:t xml:space="preserve"> is concerned with the actual implementation and monitoring of DQM initiatives. To this regards, the authors advise to take into account two design parameters : </w:t>
      </w:r>
      <w:r w:rsidRPr="00FB5C1D">
        <w:rPr>
          <w:rFonts w:ascii="Verdana" w:hAnsi="Verdana" w:cs="Times New Roman"/>
          <w:color w:val="000000" w:themeColor="text1"/>
          <w:sz w:val="20"/>
          <w:szCs w:val="20"/>
        </w:rPr>
        <w:t xml:space="preserve">organizational structuring and coordination of decision-making. </w:t>
      </w:r>
      <w:r w:rsidRPr="00FB5C1D">
        <w:rPr>
          <w:rFonts w:ascii="Verdana" w:hAnsi="Verdana" w:cs="Times New Roman"/>
          <w:sz w:val="20"/>
          <w:szCs w:val="20"/>
        </w:rPr>
        <w:t xml:space="preserve">Organizational structuring is taken from IT governance research and refers to whether the IT governance design is centralized or decentralized. The centralized one places final authority to one central IT department while in the decentralized one this authority is distributed across individual business units. The coordination of decision-making structures as a second design parameter proposes two elements : </w:t>
      </w:r>
    </w:p>
    <w:p w:rsidR="000E223B" w:rsidRPr="00FB5C1D" w:rsidRDefault="000E223B" w:rsidP="000E223B">
      <w:pPr>
        <w:pStyle w:val="ListParagraph"/>
        <w:numPr>
          <w:ilvl w:val="0"/>
          <w:numId w:val="21"/>
        </w:numPr>
        <w:spacing w:line="360" w:lineRule="auto"/>
        <w:ind w:left="0" w:firstLine="567"/>
        <w:jc w:val="both"/>
        <w:rPr>
          <w:rFonts w:ascii="Verdana" w:hAnsi="Verdana" w:cs="Times New Roman"/>
          <w:sz w:val="20"/>
          <w:szCs w:val="20"/>
        </w:rPr>
      </w:pPr>
      <w:r w:rsidRPr="00FB5C1D">
        <w:rPr>
          <w:rFonts w:ascii="Verdana" w:hAnsi="Verdana" w:cs="Times New Roman"/>
          <w:sz w:val="20"/>
          <w:szCs w:val="20"/>
        </w:rPr>
        <w:t>Hierarchical models are characterized by a top-down approach where tasks are merely delegated and not discussed;</w:t>
      </w:r>
    </w:p>
    <w:p w:rsidR="000E223B" w:rsidRPr="00FB5C1D" w:rsidRDefault="000E223B" w:rsidP="000E223B">
      <w:pPr>
        <w:pStyle w:val="ListParagraph"/>
        <w:numPr>
          <w:ilvl w:val="0"/>
          <w:numId w:val="21"/>
        </w:numPr>
        <w:spacing w:line="360" w:lineRule="auto"/>
        <w:ind w:left="0" w:firstLine="567"/>
        <w:jc w:val="both"/>
        <w:rPr>
          <w:rFonts w:ascii="Verdana" w:hAnsi="Verdana" w:cs="Times New Roman"/>
          <w:sz w:val="20"/>
          <w:szCs w:val="20"/>
        </w:rPr>
      </w:pPr>
      <w:r w:rsidRPr="00FB5C1D">
        <w:rPr>
          <w:rFonts w:ascii="Verdana" w:hAnsi="Verdana" w:cs="Times New Roman"/>
          <w:sz w:val="20"/>
          <w:szCs w:val="20"/>
        </w:rPr>
        <w:t>Cooperative models on the other hand imply working in groups and making collective decisions through formal and informal coordination mechanisms.  Organizational factors are also mentioned in Tallon (2013) as one of the enablers or inhibitors in determining whether data governance is a success or failure.</w:t>
      </w: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u w:val="single"/>
        </w:rPr>
        <w:t>The information systems</w:t>
      </w:r>
      <w:r w:rsidRPr="00FB5C1D">
        <w:rPr>
          <w:rFonts w:ascii="Verdana" w:hAnsi="Verdana" w:cs="Times New Roman"/>
          <w:sz w:val="20"/>
          <w:szCs w:val="20"/>
        </w:rPr>
        <w:t xml:space="preserve"> layer addresses the development (logical) of a corporate data model along with the architectural design of this model and defining system support.</w:t>
      </w:r>
    </w:p>
    <w:p w:rsidR="000E223B" w:rsidRPr="00FB5C1D" w:rsidRDefault="000E223B" w:rsidP="000E223B">
      <w:pPr>
        <w:pStyle w:val="ListParagraph"/>
        <w:spacing w:line="360" w:lineRule="auto"/>
        <w:ind w:left="0"/>
        <w:jc w:val="both"/>
        <w:rPr>
          <w:rFonts w:ascii="Verdana" w:hAnsi="Verdana" w:cs="Times New Roman"/>
          <w:sz w:val="20"/>
          <w:szCs w:val="20"/>
        </w:rPr>
      </w:pPr>
    </w:p>
    <w:p w:rsidR="000E223B" w:rsidRPr="00FB5C1D" w:rsidRDefault="000E223B" w:rsidP="000E223B">
      <w:pPr>
        <w:pStyle w:val="Heading2"/>
        <w:spacing w:line="360" w:lineRule="auto"/>
        <w:jc w:val="both"/>
        <w:rPr>
          <w:rFonts w:ascii="Verdana" w:hAnsi="Verdana" w:cs="Times New Roman"/>
          <w:sz w:val="20"/>
          <w:szCs w:val="20"/>
        </w:rPr>
      </w:pPr>
      <w:bookmarkStart w:id="73" w:name="_Toc423597533"/>
      <w:r w:rsidRPr="00FB5C1D">
        <w:rPr>
          <w:rFonts w:ascii="Verdana" w:hAnsi="Verdana" w:cs="Times New Roman"/>
          <w:sz w:val="20"/>
          <w:szCs w:val="20"/>
        </w:rPr>
        <w:t>4.4.2 Structures, operations and relations</w:t>
      </w:r>
      <w:bookmarkEnd w:id="73"/>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Other authors (Tallon, 2013) distinguish between 3 governance practices:</w:t>
      </w:r>
    </w:p>
    <w:p w:rsidR="000E223B" w:rsidRPr="00FB5C1D" w:rsidRDefault="000E223B" w:rsidP="000E223B">
      <w:pPr>
        <w:pStyle w:val="ListParagraph"/>
        <w:numPr>
          <w:ilvl w:val="0"/>
          <w:numId w:val="22"/>
        </w:numPr>
        <w:spacing w:line="360" w:lineRule="auto"/>
        <w:ind w:left="0" w:firstLine="567"/>
        <w:jc w:val="both"/>
        <w:rPr>
          <w:rFonts w:ascii="Verdana" w:hAnsi="Verdana" w:cs="Times New Roman"/>
          <w:sz w:val="20"/>
          <w:szCs w:val="20"/>
        </w:rPr>
      </w:pPr>
      <w:r w:rsidRPr="00FB5C1D">
        <w:rPr>
          <w:rFonts w:ascii="Verdana" w:hAnsi="Verdana" w:cs="Times New Roman"/>
          <w:sz w:val="20"/>
          <w:szCs w:val="20"/>
          <w:u w:val="single"/>
        </w:rPr>
        <w:t>Structural</w:t>
      </w:r>
      <w:r w:rsidRPr="00FB5C1D">
        <w:rPr>
          <w:rFonts w:ascii="Verdana" w:hAnsi="Verdana" w:cs="Times New Roman"/>
          <w:sz w:val="20"/>
          <w:szCs w:val="20"/>
        </w:rPr>
        <w:t xml:space="preserve"> practices refer to IT and non-IT decision-making regarding data ownership, value analysis and cost management; </w:t>
      </w:r>
    </w:p>
    <w:p w:rsidR="000E223B" w:rsidRPr="00FB5C1D" w:rsidRDefault="000E223B" w:rsidP="000E223B">
      <w:pPr>
        <w:pStyle w:val="ListParagraph"/>
        <w:numPr>
          <w:ilvl w:val="0"/>
          <w:numId w:val="22"/>
        </w:numPr>
        <w:spacing w:line="360" w:lineRule="auto"/>
        <w:ind w:left="0" w:firstLine="567"/>
        <w:jc w:val="both"/>
        <w:rPr>
          <w:rFonts w:ascii="Verdana" w:hAnsi="Verdana" w:cs="Times New Roman"/>
          <w:sz w:val="20"/>
          <w:szCs w:val="20"/>
        </w:rPr>
      </w:pPr>
      <w:r w:rsidRPr="00FB5C1D">
        <w:rPr>
          <w:rFonts w:ascii="Verdana" w:hAnsi="Verdana" w:cs="Times New Roman"/>
          <w:sz w:val="20"/>
          <w:szCs w:val="20"/>
          <w:u w:val="single"/>
        </w:rPr>
        <w:t>Operational</w:t>
      </w:r>
      <w:r w:rsidRPr="00FB5C1D">
        <w:rPr>
          <w:rFonts w:ascii="Verdana" w:hAnsi="Verdana" w:cs="Times New Roman"/>
          <w:sz w:val="20"/>
          <w:szCs w:val="20"/>
        </w:rPr>
        <w:t xml:space="preserve"> practices regard the actual execution of the data governance policy and they imply activities such as : enforcing retention/archiving policies, setting up </w:t>
      </w:r>
      <w:r w:rsidRPr="00FB5C1D">
        <w:rPr>
          <w:rFonts w:ascii="Verdana" w:hAnsi="Verdana" w:cs="Times New Roman"/>
          <w:sz w:val="20"/>
          <w:szCs w:val="20"/>
        </w:rPr>
        <w:lastRenderedPageBreak/>
        <w:t xml:space="preserve">backup and recovery practices, access rights management, risk monitoring, storage provisioning; </w:t>
      </w:r>
    </w:p>
    <w:p w:rsidR="000E223B" w:rsidRPr="00FB5C1D" w:rsidRDefault="000E223B" w:rsidP="000E223B">
      <w:pPr>
        <w:pStyle w:val="ListParagraph"/>
        <w:numPr>
          <w:ilvl w:val="0"/>
          <w:numId w:val="22"/>
        </w:numPr>
        <w:spacing w:line="360" w:lineRule="auto"/>
        <w:ind w:left="0" w:firstLine="567"/>
        <w:jc w:val="both"/>
        <w:rPr>
          <w:rFonts w:ascii="Verdana" w:hAnsi="Verdana" w:cs="Times New Roman"/>
          <w:sz w:val="20"/>
          <w:szCs w:val="20"/>
        </w:rPr>
      </w:pPr>
      <w:r w:rsidRPr="00FB5C1D">
        <w:rPr>
          <w:rFonts w:ascii="Verdana" w:hAnsi="Verdana" w:cs="Times New Roman"/>
          <w:sz w:val="20"/>
          <w:szCs w:val="20"/>
          <w:u w:val="single"/>
        </w:rPr>
        <w:t>Relational</w:t>
      </w:r>
      <w:r w:rsidRPr="00FB5C1D">
        <w:rPr>
          <w:rFonts w:ascii="Verdana" w:hAnsi="Verdana" w:cs="Times New Roman"/>
          <w:sz w:val="20"/>
          <w:szCs w:val="20"/>
        </w:rPr>
        <w:t xml:space="preserve"> practices refer to the formal/informal information flow throughout the business line regarding knowledge sharing, training, education,…</w:t>
      </w:r>
    </w:p>
    <w:p w:rsidR="000E223B" w:rsidRPr="00FB5C1D" w:rsidRDefault="000E223B" w:rsidP="000E223B">
      <w:pPr>
        <w:pStyle w:val="ListParagraph"/>
        <w:spacing w:line="360" w:lineRule="auto"/>
        <w:ind w:left="0" w:firstLine="567"/>
        <w:jc w:val="both"/>
        <w:rPr>
          <w:rFonts w:ascii="Verdana" w:hAnsi="Verdana" w:cs="Times New Roman"/>
          <w:sz w:val="20"/>
          <w:szCs w:val="20"/>
        </w:rPr>
      </w:pPr>
    </w:p>
    <w:p w:rsidR="000E223B" w:rsidRPr="00FB5C1D" w:rsidRDefault="000E223B" w:rsidP="000E223B">
      <w:pPr>
        <w:pStyle w:val="Heading2"/>
        <w:spacing w:line="360" w:lineRule="auto"/>
        <w:jc w:val="both"/>
        <w:rPr>
          <w:rFonts w:ascii="Verdana" w:hAnsi="Verdana" w:cs="Times New Roman"/>
          <w:sz w:val="20"/>
          <w:szCs w:val="20"/>
        </w:rPr>
      </w:pPr>
      <w:bookmarkStart w:id="74" w:name="_Toc423597534"/>
      <w:r w:rsidRPr="00FB5C1D">
        <w:rPr>
          <w:rFonts w:ascii="Verdana" w:hAnsi="Verdana" w:cs="Times New Roman"/>
          <w:sz w:val="20"/>
          <w:szCs w:val="20"/>
        </w:rPr>
        <w:t>4.4.3 Outcomes, enablers, core and support disciplines</w:t>
      </w:r>
      <w:bookmarkEnd w:id="74"/>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From the practitioner community, IBM (2014) proposes 4 different governance segments: outcomes, enablers, core disciplines and support disciplines. </w:t>
      </w:r>
      <w:r w:rsidRPr="00FB5C1D">
        <w:rPr>
          <w:rFonts w:ascii="Verdana" w:hAnsi="Verdana" w:cs="Times New Roman"/>
          <w:sz w:val="20"/>
          <w:szCs w:val="20"/>
          <w:u w:val="single"/>
        </w:rPr>
        <w:t>Outcomes</w:t>
      </w:r>
      <w:r w:rsidRPr="00FB5C1D">
        <w:rPr>
          <w:rFonts w:ascii="Verdana" w:hAnsi="Verdana" w:cs="Times New Roman"/>
          <w:sz w:val="20"/>
          <w:szCs w:val="20"/>
        </w:rPr>
        <w:t xml:space="preserve"> explain and present where we want to go and what we want to achieve with data governance. </w:t>
      </w:r>
      <w:r w:rsidRPr="00FB5C1D">
        <w:rPr>
          <w:rFonts w:ascii="Verdana" w:hAnsi="Verdana" w:cs="Times New Roman"/>
          <w:sz w:val="20"/>
          <w:szCs w:val="20"/>
          <w:u w:val="single"/>
        </w:rPr>
        <w:t>Enablers</w:t>
      </w:r>
      <w:r w:rsidRPr="00FB5C1D">
        <w:rPr>
          <w:rFonts w:ascii="Verdana" w:hAnsi="Verdana" w:cs="Times New Roman"/>
          <w:sz w:val="20"/>
          <w:szCs w:val="20"/>
        </w:rPr>
        <w:t xml:space="preserve"> refer to the organizational structures and design in place to support policies and stewardship for the governance program. </w:t>
      </w:r>
      <w:r w:rsidRPr="00FB5C1D">
        <w:rPr>
          <w:rFonts w:ascii="Verdana" w:hAnsi="Verdana" w:cs="Times New Roman"/>
          <w:sz w:val="20"/>
          <w:szCs w:val="20"/>
          <w:u w:val="single"/>
        </w:rPr>
        <w:t>Core disciplines</w:t>
      </w:r>
      <w:r w:rsidRPr="00FB5C1D">
        <w:rPr>
          <w:rFonts w:ascii="Verdana" w:hAnsi="Verdana" w:cs="Times New Roman"/>
          <w:sz w:val="20"/>
          <w:szCs w:val="20"/>
        </w:rPr>
        <w:t xml:space="preserve"> refer to issues such as quality, security or lifecycle management. We will go over these elements later when building a data governance model. </w:t>
      </w:r>
      <w:r w:rsidRPr="00FB5C1D">
        <w:rPr>
          <w:rFonts w:ascii="Verdana" w:hAnsi="Verdana" w:cs="Times New Roman"/>
          <w:sz w:val="20"/>
          <w:szCs w:val="20"/>
          <w:u w:val="single"/>
        </w:rPr>
        <w:t>Supporting disciplines</w:t>
      </w:r>
      <w:r w:rsidRPr="00FB5C1D">
        <w:rPr>
          <w:rFonts w:ascii="Verdana" w:hAnsi="Verdana" w:cs="Times New Roman"/>
          <w:sz w:val="20"/>
          <w:szCs w:val="20"/>
        </w:rPr>
        <w:t xml:space="preserve"> refer to classifications and data auditing activities. </w:t>
      </w:r>
    </w:p>
    <w:p w:rsidR="000E223B" w:rsidRPr="00FB5C1D" w:rsidRDefault="000E223B" w:rsidP="000E223B">
      <w:pPr>
        <w:pStyle w:val="ListParagraph"/>
        <w:spacing w:line="360" w:lineRule="auto"/>
        <w:ind w:left="0"/>
        <w:jc w:val="both"/>
        <w:rPr>
          <w:rFonts w:ascii="Verdana" w:hAnsi="Verdana" w:cs="Times New Roman"/>
          <w:sz w:val="20"/>
          <w:szCs w:val="20"/>
        </w:rPr>
      </w:pPr>
    </w:p>
    <w:p w:rsidR="000E223B" w:rsidRPr="00FB5C1D" w:rsidRDefault="000E223B" w:rsidP="000E223B">
      <w:pPr>
        <w:pStyle w:val="Heading2"/>
        <w:spacing w:line="360" w:lineRule="auto"/>
        <w:jc w:val="both"/>
        <w:rPr>
          <w:rFonts w:ascii="Verdana" w:hAnsi="Verdana" w:cs="Times New Roman"/>
          <w:sz w:val="20"/>
          <w:szCs w:val="20"/>
        </w:rPr>
      </w:pPr>
      <w:bookmarkStart w:id="75" w:name="_Toc423597535"/>
      <w:r w:rsidRPr="00FB5C1D">
        <w:rPr>
          <w:rFonts w:ascii="Verdana" w:hAnsi="Verdana" w:cs="Times New Roman"/>
          <w:sz w:val="20"/>
          <w:szCs w:val="20"/>
        </w:rPr>
        <w:t>4.4.4 Principles of data governance</w:t>
      </w:r>
      <w:bookmarkEnd w:id="75"/>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Griffin (2010b) identifies a number of principles to be taken into consideration when developing data governance strategies : </w:t>
      </w:r>
      <w:r w:rsidRPr="00FB5C1D">
        <w:rPr>
          <w:rFonts w:ascii="Verdana" w:hAnsi="Verdana" w:cs="Times New Roman"/>
          <w:sz w:val="20"/>
          <w:szCs w:val="20"/>
          <w:u w:val="single"/>
        </w:rPr>
        <w:t>clear ownership</w:t>
      </w:r>
      <w:r w:rsidRPr="00FB5C1D">
        <w:rPr>
          <w:rFonts w:ascii="Verdana" w:hAnsi="Verdana" w:cs="Times New Roman"/>
          <w:sz w:val="20"/>
          <w:szCs w:val="20"/>
        </w:rPr>
        <w:t xml:space="preserve"> for governance initiatives like a data governance committee or council which should decide and design data policies, procedures and standards, </w:t>
      </w:r>
      <w:r w:rsidRPr="00FB5C1D">
        <w:rPr>
          <w:rFonts w:ascii="Verdana" w:hAnsi="Verdana" w:cs="Times New Roman"/>
          <w:sz w:val="20"/>
          <w:szCs w:val="20"/>
          <w:u w:val="single"/>
        </w:rPr>
        <w:t xml:space="preserve">value recognition </w:t>
      </w:r>
      <w:r w:rsidRPr="00FB5C1D">
        <w:rPr>
          <w:rFonts w:ascii="Verdana" w:hAnsi="Verdana" w:cs="Times New Roman"/>
          <w:sz w:val="20"/>
          <w:szCs w:val="20"/>
        </w:rPr>
        <w:t xml:space="preserve">of data as an asset in the enterprise all the way to the C-suite level; </w:t>
      </w:r>
      <w:r w:rsidRPr="00FB5C1D">
        <w:rPr>
          <w:rFonts w:ascii="Verdana" w:hAnsi="Verdana" w:cs="Times New Roman"/>
          <w:sz w:val="20"/>
          <w:szCs w:val="20"/>
          <w:u w:val="single"/>
        </w:rPr>
        <w:t>effective data policies and procedures</w:t>
      </w:r>
      <w:r w:rsidRPr="00FB5C1D">
        <w:rPr>
          <w:rFonts w:ascii="Verdana" w:hAnsi="Verdana" w:cs="Times New Roman"/>
          <w:sz w:val="20"/>
          <w:szCs w:val="20"/>
        </w:rPr>
        <w:t xml:space="preserve"> which should be cross functional and cross departmental; </w:t>
      </w:r>
      <w:r w:rsidRPr="00FB5C1D">
        <w:rPr>
          <w:rFonts w:ascii="Verdana" w:hAnsi="Verdana" w:cs="Times New Roman"/>
          <w:sz w:val="20"/>
          <w:szCs w:val="20"/>
          <w:u w:val="single"/>
        </w:rPr>
        <w:t>data quality</w:t>
      </w:r>
      <w:r w:rsidRPr="00FB5C1D">
        <w:rPr>
          <w:rFonts w:ascii="Verdana" w:hAnsi="Verdana" w:cs="Times New Roman"/>
          <w:sz w:val="20"/>
          <w:szCs w:val="20"/>
        </w:rPr>
        <w:t xml:space="preserve">  and trust for the sources of data. Cheong and Chang (2007) also identified a number of critical success factors when making a case for data governance. These success factors address issues such as standards, managerial blind-spot (meaning that a program should be made fit for purpose by aligning it with the corporate strategy), cross divisional issues, partnerships or compliance monitoring. </w:t>
      </w:r>
    </w:p>
    <w:p w:rsidR="000E223B" w:rsidRPr="00561BD1" w:rsidRDefault="000E223B" w:rsidP="000E223B">
      <w:pPr>
        <w:pStyle w:val="ListParagraph"/>
        <w:spacing w:line="360" w:lineRule="auto"/>
        <w:ind w:left="0"/>
        <w:jc w:val="both"/>
        <w:rPr>
          <w:rFonts w:ascii="Verdana" w:eastAsia="Times New Roman" w:hAnsi="Verdana" w:cs="Times New Roman"/>
          <w:color w:val="000000"/>
          <w:sz w:val="20"/>
          <w:szCs w:val="20"/>
          <w:lang w:eastAsia="nl-BE"/>
        </w:rPr>
      </w:pPr>
      <w:r w:rsidRPr="00FB5C1D">
        <w:rPr>
          <w:rFonts w:ascii="Verdana" w:eastAsia="Times New Roman" w:hAnsi="Verdana" w:cs="Times New Roman"/>
          <w:color w:val="000000"/>
          <w:sz w:val="20"/>
          <w:szCs w:val="20"/>
          <w:lang w:eastAsia="nl-BE"/>
        </w:rPr>
        <w:t>The identified principles or success factors in literature are not homogenous and mostly point to the elements a data governance program should encompass rather than control objectives or activities to be conducted when designing such a program. These principles, while far from being generic and applicable to all forms a data governance program may come in, they can be applied on a case-by-case</w:t>
      </w:r>
      <w:r>
        <w:rPr>
          <w:rFonts w:ascii="Verdana" w:eastAsia="Times New Roman" w:hAnsi="Verdana" w:cs="Times New Roman"/>
          <w:color w:val="000000"/>
          <w:sz w:val="20"/>
          <w:szCs w:val="20"/>
          <w:lang w:eastAsia="nl-BE"/>
        </w:rPr>
        <w:t xml:space="preserve"> basis as optional practices.  </w:t>
      </w:r>
    </w:p>
    <w:p w:rsidR="000E223B" w:rsidRPr="000E223B" w:rsidRDefault="000E223B" w:rsidP="000E223B">
      <w:pPr>
        <w:pStyle w:val="Heading1"/>
        <w:spacing w:line="360" w:lineRule="auto"/>
        <w:jc w:val="both"/>
        <w:rPr>
          <w:rStyle w:val="Strong"/>
          <w:rFonts w:ascii="Verdana" w:hAnsi="Verdana" w:cs="Times New Roman"/>
          <w:b/>
          <w:bCs/>
          <w:sz w:val="20"/>
          <w:szCs w:val="20"/>
          <w:lang w:val="en-US"/>
        </w:rPr>
      </w:pPr>
      <w:bookmarkStart w:id="76" w:name="_Toc423597536"/>
      <w:r w:rsidRPr="000E223B">
        <w:rPr>
          <w:rStyle w:val="Strong"/>
          <w:rFonts w:ascii="Verdana" w:hAnsi="Verdana" w:cs="Times New Roman"/>
          <w:b/>
          <w:bCs/>
          <w:sz w:val="20"/>
          <w:szCs w:val="20"/>
          <w:lang w:val="en-US"/>
        </w:rPr>
        <w:t>4.5 Data governance processes</w:t>
      </w:r>
      <w:bookmarkEnd w:id="76"/>
      <w:r w:rsidRPr="000E223B">
        <w:rPr>
          <w:rStyle w:val="Strong"/>
          <w:rFonts w:ascii="Verdana" w:hAnsi="Verdana" w:cs="Times New Roman"/>
          <w:b/>
          <w:bCs/>
          <w:sz w:val="20"/>
          <w:szCs w:val="20"/>
          <w:lang w:val="en-US"/>
        </w:rPr>
        <w:t xml:space="preserve"> </w:t>
      </w: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This chapter presents the key process areas of data governance programs and a theorized version of a data governance model. </w:t>
      </w:r>
    </w:p>
    <w:p w:rsidR="000E223B" w:rsidRPr="00FB5C1D" w:rsidRDefault="000E223B" w:rsidP="000E223B">
      <w:pPr>
        <w:pStyle w:val="ListParagraph"/>
        <w:spacing w:line="360" w:lineRule="auto"/>
        <w:ind w:left="0"/>
        <w:jc w:val="both"/>
        <w:rPr>
          <w:rFonts w:ascii="Verdana" w:hAnsi="Verdana" w:cs="Times New Roman"/>
          <w:sz w:val="20"/>
          <w:szCs w:val="20"/>
        </w:rPr>
      </w:pPr>
    </w:p>
    <w:p w:rsidR="000E223B" w:rsidRPr="00FB5C1D" w:rsidRDefault="000E223B" w:rsidP="000E223B">
      <w:pPr>
        <w:pStyle w:val="Heading2"/>
        <w:spacing w:line="360" w:lineRule="auto"/>
        <w:jc w:val="both"/>
        <w:rPr>
          <w:rFonts w:ascii="Verdana" w:hAnsi="Verdana" w:cs="Times New Roman"/>
          <w:sz w:val="20"/>
          <w:szCs w:val="20"/>
        </w:rPr>
      </w:pPr>
      <w:bookmarkStart w:id="77" w:name="_Toc423597537"/>
      <w:r w:rsidRPr="00FB5C1D">
        <w:rPr>
          <w:rFonts w:ascii="Verdana" w:hAnsi="Verdana" w:cs="Times New Roman"/>
          <w:sz w:val="20"/>
          <w:szCs w:val="20"/>
        </w:rPr>
        <w:lastRenderedPageBreak/>
        <w:t>4.5.1 Methodology of research part 2</w:t>
      </w:r>
      <w:bookmarkEnd w:id="77"/>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Coming back to the distinction made by Otto (2011), this section will focus on answering the first question identified by the author, namely : </w:t>
      </w:r>
      <w:r w:rsidRPr="00FB5C1D">
        <w:rPr>
          <w:rFonts w:ascii="Verdana" w:hAnsi="Verdana" w:cs="Times New Roman"/>
          <w:i/>
          <w:sz w:val="20"/>
          <w:szCs w:val="20"/>
        </w:rPr>
        <w:t>what decisions need to be made regarding corporate data</w:t>
      </w:r>
      <w:r w:rsidRPr="00FB5C1D">
        <w:rPr>
          <w:rFonts w:ascii="Verdana" w:hAnsi="Verdana" w:cs="Times New Roman"/>
          <w:sz w:val="20"/>
          <w:szCs w:val="20"/>
        </w:rPr>
        <w:t xml:space="preserve"> ? More specifically, we researched and identified the areas of decision in data governance programs. </w:t>
      </w: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Using the same methodology described in section 4.3.1 we based our research on the same literature review as previous, for both scientific sources (quite scarce regarding data governance) and practitioner sources (quite a few but less structured). We have then assembled all the different processes mentioned in these sources and based on how frequently one element is mentioned by different authors, a list of processes has been ranked by importance. It is common that the same process is mentioned more than once or in a slightly different denomination. In this case, we have chosen only one denomination for the final model. It is also the case that some processes are similar or have similar applications. In this case, the elements have been grouped together to form one process. If the elements in a group were not homogenous enough to form one process (they referred to different facets of the same general process) then they were considered as sub-processes and categorized as such. The list, along with the corresponding references is included in the Appendix B and Appendix C.</w:t>
      </w:r>
    </w:p>
    <w:p w:rsidR="000E223B" w:rsidRPr="00FB5C1D" w:rsidRDefault="000E223B" w:rsidP="000E223B">
      <w:pPr>
        <w:pStyle w:val="ListParagraph"/>
        <w:spacing w:line="360" w:lineRule="auto"/>
        <w:ind w:left="0"/>
        <w:jc w:val="both"/>
        <w:rPr>
          <w:rFonts w:ascii="Verdana" w:hAnsi="Verdana" w:cs="Times New Roman"/>
          <w:sz w:val="20"/>
          <w:szCs w:val="20"/>
        </w:rPr>
      </w:pPr>
    </w:p>
    <w:p w:rsidR="000E223B" w:rsidRPr="00FB5C1D" w:rsidRDefault="000E223B" w:rsidP="000E223B">
      <w:pPr>
        <w:pStyle w:val="Heading2"/>
        <w:spacing w:line="360" w:lineRule="auto"/>
        <w:jc w:val="both"/>
        <w:rPr>
          <w:rFonts w:ascii="Verdana" w:hAnsi="Verdana" w:cs="Times New Roman"/>
          <w:sz w:val="20"/>
          <w:szCs w:val="20"/>
        </w:rPr>
      </w:pPr>
      <w:bookmarkStart w:id="78" w:name="_Toc423597538"/>
      <w:r w:rsidRPr="00FB5C1D">
        <w:rPr>
          <w:rFonts w:ascii="Verdana" w:hAnsi="Verdana" w:cs="Times New Roman"/>
          <w:sz w:val="20"/>
          <w:szCs w:val="20"/>
        </w:rPr>
        <w:t>4.5.2 Data governance key processes</w:t>
      </w:r>
      <w:bookmarkEnd w:id="78"/>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The elements we have identified as being the most frequently mentioned in data governance program design or initiatives are centralized in table 4.2 (references on how these processes have been aggregated and transformed into homogenous categori</w:t>
      </w:r>
      <w:r>
        <w:rPr>
          <w:rFonts w:ascii="Verdana" w:hAnsi="Verdana" w:cs="Times New Roman"/>
          <w:sz w:val="20"/>
          <w:szCs w:val="20"/>
        </w:rPr>
        <w:t>es are available in the appendic</w:t>
      </w:r>
      <w:r w:rsidRPr="00FB5C1D">
        <w:rPr>
          <w:rFonts w:ascii="Verdana" w:hAnsi="Verdana" w:cs="Times New Roman"/>
          <w:sz w:val="20"/>
          <w:szCs w:val="20"/>
        </w:rPr>
        <w:t>es).</w:t>
      </w:r>
    </w:p>
    <w:p w:rsidR="000E223B" w:rsidRPr="00FB5C1D" w:rsidRDefault="000E223B" w:rsidP="000E223B">
      <w:pPr>
        <w:pStyle w:val="ListParagraph"/>
        <w:spacing w:line="360" w:lineRule="auto"/>
        <w:ind w:left="0"/>
        <w:jc w:val="both"/>
        <w:rPr>
          <w:rFonts w:ascii="Verdana" w:hAnsi="Verdana" w:cs="Times New Roman"/>
          <w:sz w:val="20"/>
          <w:szCs w:val="20"/>
        </w:rPr>
      </w:pPr>
    </w:p>
    <w:tbl>
      <w:tblPr>
        <w:tblStyle w:val="LightShading-Accent2"/>
        <w:tblW w:w="0" w:type="auto"/>
        <w:tblLook w:val="04A0" w:firstRow="1" w:lastRow="0" w:firstColumn="1" w:lastColumn="0" w:noHBand="0" w:noVBand="1"/>
      </w:tblPr>
      <w:tblGrid>
        <w:gridCol w:w="4248"/>
        <w:gridCol w:w="4683"/>
      </w:tblGrid>
      <w:tr w:rsidR="000E223B" w:rsidRPr="00B96519" w:rsidTr="001106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E223B" w:rsidRPr="00B96519" w:rsidRDefault="000E223B" w:rsidP="001106BD">
            <w:pPr>
              <w:pStyle w:val="ListParagraph"/>
              <w:spacing w:line="240" w:lineRule="auto"/>
              <w:ind w:left="0"/>
              <w:jc w:val="both"/>
              <w:rPr>
                <w:rFonts w:ascii="Verdana" w:hAnsi="Verdana" w:cs="Times New Roman"/>
                <w:b w:val="0"/>
                <w:sz w:val="16"/>
                <w:szCs w:val="16"/>
              </w:rPr>
            </w:pPr>
            <w:r w:rsidRPr="00B96519">
              <w:rPr>
                <w:rFonts w:ascii="Verdana" w:hAnsi="Verdana" w:cs="Times New Roman"/>
                <w:sz w:val="16"/>
                <w:szCs w:val="16"/>
              </w:rPr>
              <w:t>Process</w:t>
            </w:r>
          </w:p>
        </w:tc>
        <w:tc>
          <w:tcPr>
            <w:tcW w:w="4683" w:type="dxa"/>
          </w:tcPr>
          <w:p w:rsidR="000E223B" w:rsidRPr="00B96519" w:rsidRDefault="000E223B" w:rsidP="001106BD">
            <w:pPr>
              <w:pStyle w:val="ListParagraph"/>
              <w:spacing w:line="240" w:lineRule="auto"/>
              <w:ind w:left="0"/>
              <w:jc w:val="both"/>
              <w:cnfStyle w:val="100000000000" w:firstRow="1" w:lastRow="0" w:firstColumn="0" w:lastColumn="0" w:oddVBand="0" w:evenVBand="0" w:oddHBand="0" w:evenHBand="0" w:firstRowFirstColumn="0" w:firstRowLastColumn="0" w:lastRowFirstColumn="0" w:lastRowLastColumn="0"/>
              <w:rPr>
                <w:rFonts w:ascii="Verdana" w:hAnsi="Verdana" w:cs="Times New Roman"/>
                <w:b w:val="0"/>
                <w:sz w:val="16"/>
                <w:szCs w:val="16"/>
              </w:rPr>
            </w:pPr>
            <w:r w:rsidRPr="00B96519">
              <w:rPr>
                <w:rFonts w:ascii="Verdana" w:hAnsi="Verdana" w:cs="Times New Roman"/>
                <w:sz w:val="16"/>
                <w:szCs w:val="16"/>
              </w:rPr>
              <w:t xml:space="preserve">        Sub-process</w:t>
            </w:r>
          </w:p>
        </w:tc>
      </w:tr>
      <w:tr w:rsidR="000E223B" w:rsidRPr="00B96519" w:rsidTr="00110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E223B" w:rsidRPr="00B96519" w:rsidRDefault="000E223B" w:rsidP="001106BD">
            <w:pPr>
              <w:pStyle w:val="ListParagraph"/>
              <w:spacing w:line="240" w:lineRule="auto"/>
              <w:ind w:left="0"/>
              <w:jc w:val="both"/>
              <w:rPr>
                <w:rFonts w:ascii="Verdana" w:hAnsi="Verdana" w:cs="Times New Roman"/>
                <w:sz w:val="16"/>
                <w:szCs w:val="16"/>
              </w:rPr>
            </w:pPr>
            <w:r w:rsidRPr="00B96519">
              <w:rPr>
                <w:rFonts w:ascii="Verdana" w:hAnsi="Verdana" w:cs="Times New Roman"/>
                <w:sz w:val="16"/>
                <w:szCs w:val="16"/>
              </w:rPr>
              <w:t>Roles, structures &amp; policies</w:t>
            </w:r>
          </w:p>
        </w:tc>
        <w:tc>
          <w:tcPr>
            <w:tcW w:w="4683" w:type="dxa"/>
          </w:tcPr>
          <w:p w:rsidR="000E223B" w:rsidRPr="00B96519" w:rsidRDefault="000E223B" w:rsidP="000E223B">
            <w:pPr>
              <w:pStyle w:val="ListParagraph"/>
              <w:numPr>
                <w:ilvl w:val="0"/>
                <w:numId w:val="10"/>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Culture and awareness</w:t>
            </w:r>
          </w:p>
          <w:p w:rsidR="000E223B" w:rsidRPr="00B96519" w:rsidRDefault="000E223B" w:rsidP="000E223B">
            <w:pPr>
              <w:pStyle w:val="ListParagraph"/>
              <w:numPr>
                <w:ilvl w:val="0"/>
                <w:numId w:val="10"/>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People</w:t>
            </w:r>
          </w:p>
          <w:p w:rsidR="000E223B" w:rsidRPr="00B96519" w:rsidRDefault="000E223B" w:rsidP="000E223B">
            <w:pPr>
              <w:pStyle w:val="ListParagraph"/>
              <w:numPr>
                <w:ilvl w:val="0"/>
                <w:numId w:val="10"/>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Policies and standards</w:t>
            </w:r>
          </w:p>
          <w:p w:rsidR="000E223B" w:rsidRPr="00B96519" w:rsidRDefault="000E223B" w:rsidP="000E223B">
            <w:pPr>
              <w:pStyle w:val="ListParagraph"/>
              <w:numPr>
                <w:ilvl w:val="0"/>
                <w:numId w:val="10"/>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Business model</w:t>
            </w:r>
          </w:p>
          <w:p w:rsidR="000E223B" w:rsidRPr="00B96519" w:rsidRDefault="000E223B" w:rsidP="000E223B">
            <w:pPr>
              <w:pStyle w:val="ListParagraph"/>
              <w:numPr>
                <w:ilvl w:val="0"/>
                <w:numId w:val="10"/>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Processes &amp; practices</w:t>
            </w:r>
          </w:p>
          <w:p w:rsidR="000E223B" w:rsidRPr="00B96519" w:rsidRDefault="000E223B" w:rsidP="000E223B">
            <w:pPr>
              <w:pStyle w:val="ListParagraph"/>
              <w:numPr>
                <w:ilvl w:val="0"/>
                <w:numId w:val="10"/>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Data stewardship</w:t>
            </w:r>
          </w:p>
        </w:tc>
      </w:tr>
      <w:tr w:rsidR="000E223B" w:rsidRPr="00B96519" w:rsidTr="001106BD">
        <w:tc>
          <w:tcPr>
            <w:cnfStyle w:val="001000000000" w:firstRow="0" w:lastRow="0" w:firstColumn="1" w:lastColumn="0" w:oddVBand="0" w:evenVBand="0" w:oddHBand="0" w:evenHBand="0" w:firstRowFirstColumn="0" w:firstRowLastColumn="0" w:lastRowFirstColumn="0" w:lastRowLastColumn="0"/>
            <w:tcW w:w="4248" w:type="dxa"/>
          </w:tcPr>
          <w:p w:rsidR="000E223B" w:rsidRPr="00B96519" w:rsidRDefault="000E223B" w:rsidP="001106BD">
            <w:pPr>
              <w:pStyle w:val="ListParagraph"/>
              <w:spacing w:line="240" w:lineRule="auto"/>
              <w:ind w:left="0"/>
              <w:jc w:val="both"/>
              <w:rPr>
                <w:rFonts w:ascii="Verdana" w:hAnsi="Verdana" w:cs="Times New Roman"/>
                <w:sz w:val="16"/>
                <w:szCs w:val="16"/>
              </w:rPr>
            </w:pPr>
            <w:r w:rsidRPr="00B96519">
              <w:rPr>
                <w:rFonts w:ascii="Verdana" w:hAnsi="Verdana" w:cs="Times New Roman"/>
                <w:sz w:val="16"/>
                <w:szCs w:val="16"/>
              </w:rPr>
              <w:t>Data management</w:t>
            </w:r>
          </w:p>
        </w:tc>
        <w:tc>
          <w:tcPr>
            <w:tcW w:w="4683" w:type="dxa"/>
          </w:tcPr>
          <w:p w:rsidR="000E223B" w:rsidRPr="00B96519" w:rsidRDefault="000E223B" w:rsidP="000E223B">
            <w:pPr>
              <w:pStyle w:val="ListParagraph"/>
              <w:numPr>
                <w:ilvl w:val="0"/>
                <w:numId w:val="11"/>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Document and content management</w:t>
            </w:r>
          </w:p>
          <w:p w:rsidR="000E223B" w:rsidRPr="00B96519" w:rsidRDefault="000E223B" w:rsidP="000E223B">
            <w:pPr>
              <w:pStyle w:val="ListParagraph"/>
              <w:numPr>
                <w:ilvl w:val="0"/>
                <w:numId w:val="11"/>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Retention and archiving management</w:t>
            </w:r>
          </w:p>
          <w:p w:rsidR="000E223B" w:rsidRPr="00B96519" w:rsidRDefault="000E223B" w:rsidP="000E223B">
            <w:pPr>
              <w:pStyle w:val="ListParagraph"/>
              <w:numPr>
                <w:ilvl w:val="0"/>
                <w:numId w:val="11"/>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Data traceability</w:t>
            </w:r>
          </w:p>
          <w:p w:rsidR="000E223B" w:rsidRPr="00B96519" w:rsidRDefault="000E223B" w:rsidP="000E223B">
            <w:pPr>
              <w:pStyle w:val="ListParagraph"/>
              <w:numPr>
                <w:ilvl w:val="0"/>
                <w:numId w:val="11"/>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Data taxonomy</w:t>
            </w:r>
          </w:p>
          <w:p w:rsidR="000E223B" w:rsidRPr="00B96519" w:rsidRDefault="000E223B" w:rsidP="000E223B">
            <w:pPr>
              <w:pStyle w:val="ListParagraph"/>
              <w:numPr>
                <w:ilvl w:val="0"/>
                <w:numId w:val="11"/>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Data migration</w:t>
            </w:r>
          </w:p>
          <w:p w:rsidR="000E223B" w:rsidRPr="00B96519" w:rsidRDefault="000E223B" w:rsidP="000E223B">
            <w:pPr>
              <w:pStyle w:val="ListParagraph"/>
              <w:numPr>
                <w:ilvl w:val="0"/>
                <w:numId w:val="11"/>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Third party data extract</w:t>
            </w:r>
          </w:p>
          <w:p w:rsidR="000E223B" w:rsidRPr="00B96519" w:rsidRDefault="000E223B" w:rsidP="000E223B">
            <w:pPr>
              <w:pStyle w:val="ListParagraph"/>
              <w:numPr>
                <w:ilvl w:val="0"/>
                <w:numId w:val="11"/>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Data storage</w:t>
            </w:r>
          </w:p>
        </w:tc>
      </w:tr>
      <w:tr w:rsidR="000E223B" w:rsidRPr="00B96519" w:rsidTr="00110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E223B" w:rsidRPr="00B96519" w:rsidRDefault="000E223B" w:rsidP="001106BD">
            <w:pPr>
              <w:pStyle w:val="ListParagraph"/>
              <w:spacing w:line="240" w:lineRule="auto"/>
              <w:ind w:left="0"/>
              <w:jc w:val="both"/>
              <w:rPr>
                <w:rFonts w:ascii="Verdana" w:hAnsi="Verdana" w:cs="Times New Roman"/>
                <w:sz w:val="16"/>
                <w:szCs w:val="16"/>
              </w:rPr>
            </w:pPr>
            <w:r w:rsidRPr="00B96519">
              <w:rPr>
                <w:rFonts w:ascii="Verdana" w:hAnsi="Verdana" w:cs="Times New Roman"/>
                <w:sz w:val="16"/>
                <w:szCs w:val="16"/>
              </w:rPr>
              <w:t>Data quality management</w:t>
            </w:r>
          </w:p>
        </w:tc>
        <w:tc>
          <w:tcPr>
            <w:tcW w:w="4683" w:type="dxa"/>
          </w:tcPr>
          <w:p w:rsidR="000E223B" w:rsidRPr="00B96519" w:rsidRDefault="000E223B" w:rsidP="000E223B">
            <w:pPr>
              <w:pStyle w:val="ListParagraph"/>
              <w:numPr>
                <w:ilvl w:val="0"/>
                <w:numId w:val="12"/>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Quality methodologies and tools     definition</w:t>
            </w:r>
          </w:p>
          <w:p w:rsidR="000E223B" w:rsidRPr="00B96519" w:rsidRDefault="000E223B" w:rsidP="000E223B">
            <w:pPr>
              <w:pStyle w:val="ListParagraph"/>
              <w:numPr>
                <w:ilvl w:val="0"/>
                <w:numId w:val="12"/>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Quality dimensions</w:t>
            </w:r>
          </w:p>
          <w:p w:rsidR="000E223B" w:rsidRPr="00B96519" w:rsidRDefault="000E223B" w:rsidP="000E223B">
            <w:pPr>
              <w:pStyle w:val="ListParagraph"/>
              <w:numPr>
                <w:ilvl w:val="0"/>
                <w:numId w:val="12"/>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Quality communication strategies</w:t>
            </w:r>
          </w:p>
        </w:tc>
      </w:tr>
      <w:tr w:rsidR="000E223B" w:rsidRPr="00B96519" w:rsidTr="001106BD">
        <w:tc>
          <w:tcPr>
            <w:cnfStyle w:val="001000000000" w:firstRow="0" w:lastRow="0" w:firstColumn="1" w:lastColumn="0" w:oddVBand="0" w:evenVBand="0" w:oddHBand="0" w:evenHBand="0" w:firstRowFirstColumn="0" w:firstRowLastColumn="0" w:lastRowFirstColumn="0" w:lastRowLastColumn="0"/>
            <w:tcW w:w="4248" w:type="dxa"/>
          </w:tcPr>
          <w:p w:rsidR="000E223B" w:rsidRPr="00B96519" w:rsidRDefault="000E223B" w:rsidP="001106BD">
            <w:pPr>
              <w:pStyle w:val="ListParagraph"/>
              <w:spacing w:line="240" w:lineRule="auto"/>
              <w:ind w:left="0"/>
              <w:jc w:val="both"/>
              <w:rPr>
                <w:rFonts w:ascii="Verdana" w:hAnsi="Verdana" w:cs="Times New Roman"/>
                <w:sz w:val="16"/>
                <w:szCs w:val="16"/>
              </w:rPr>
            </w:pPr>
            <w:r w:rsidRPr="00B96519">
              <w:rPr>
                <w:rFonts w:ascii="Verdana" w:hAnsi="Verdana" w:cs="Times New Roman"/>
                <w:sz w:val="16"/>
                <w:szCs w:val="16"/>
              </w:rPr>
              <w:t>Metadata management</w:t>
            </w:r>
          </w:p>
        </w:tc>
        <w:tc>
          <w:tcPr>
            <w:tcW w:w="4683" w:type="dxa"/>
          </w:tcPr>
          <w:p w:rsidR="000E223B" w:rsidRPr="00B96519" w:rsidRDefault="000E223B" w:rsidP="000E223B">
            <w:pPr>
              <w:pStyle w:val="ListParagraph"/>
              <w:numPr>
                <w:ilvl w:val="0"/>
                <w:numId w:val="13"/>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Definitions of business metadata</w:t>
            </w:r>
          </w:p>
          <w:p w:rsidR="000E223B" w:rsidRPr="00B96519" w:rsidRDefault="000E223B" w:rsidP="000E223B">
            <w:pPr>
              <w:pStyle w:val="ListParagraph"/>
              <w:numPr>
                <w:ilvl w:val="0"/>
                <w:numId w:val="13"/>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Metadata repository</w:t>
            </w:r>
          </w:p>
        </w:tc>
      </w:tr>
      <w:tr w:rsidR="000E223B" w:rsidRPr="00B96519" w:rsidTr="00110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E223B" w:rsidRPr="00B96519" w:rsidRDefault="000E223B" w:rsidP="001106BD">
            <w:pPr>
              <w:pStyle w:val="ListParagraph"/>
              <w:spacing w:line="240" w:lineRule="auto"/>
              <w:ind w:left="0"/>
              <w:jc w:val="both"/>
              <w:rPr>
                <w:rFonts w:ascii="Verdana" w:hAnsi="Verdana" w:cs="Times New Roman"/>
                <w:sz w:val="16"/>
                <w:szCs w:val="16"/>
              </w:rPr>
            </w:pPr>
            <w:r w:rsidRPr="00B96519">
              <w:rPr>
                <w:rFonts w:ascii="Verdana" w:hAnsi="Verdana" w:cs="Times New Roman"/>
                <w:sz w:val="16"/>
                <w:szCs w:val="16"/>
              </w:rPr>
              <w:t>Master data management</w:t>
            </w:r>
          </w:p>
        </w:tc>
        <w:tc>
          <w:tcPr>
            <w:tcW w:w="4683" w:type="dxa"/>
          </w:tcPr>
          <w:p w:rsidR="000E223B" w:rsidRPr="00B96519" w:rsidRDefault="000E223B" w:rsidP="000E223B">
            <w:pPr>
              <w:pStyle w:val="ListParagraph"/>
              <w:numPr>
                <w:ilvl w:val="0"/>
                <w:numId w:val="14"/>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Reference data management</w:t>
            </w:r>
          </w:p>
          <w:p w:rsidR="000E223B" w:rsidRPr="00B96519" w:rsidRDefault="000E223B" w:rsidP="000E223B">
            <w:pPr>
              <w:pStyle w:val="ListParagraph"/>
              <w:numPr>
                <w:ilvl w:val="0"/>
                <w:numId w:val="14"/>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Data modeling</w:t>
            </w:r>
          </w:p>
          <w:p w:rsidR="000E223B" w:rsidRPr="00B96519" w:rsidRDefault="000E223B" w:rsidP="000E223B">
            <w:pPr>
              <w:pStyle w:val="ListParagraph"/>
              <w:numPr>
                <w:ilvl w:val="0"/>
                <w:numId w:val="14"/>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Enterprise data model</w:t>
            </w:r>
          </w:p>
          <w:p w:rsidR="000E223B" w:rsidRPr="00B96519" w:rsidRDefault="000E223B" w:rsidP="000E223B">
            <w:pPr>
              <w:pStyle w:val="ListParagraph"/>
              <w:numPr>
                <w:ilvl w:val="0"/>
                <w:numId w:val="14"/>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lastRenderedPageBreak/>
              <w:t>Data stores</w:t>
            </w:r>
          </w:p>
          <w:p w:rsidR="000E223B" w:rsidRPr="00B96519" w:rsidRDefault="000E223B" w:rsidP="000E223B">
            <w:pPr>
              <w:pStyle w:val="ListParagraph"/>
              <w:numPr>
                <w:ilvl w:val="0"/>
                <w:numId w:val="14"/>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Data warehousing</w:t>
            </w:r>
          </w:p>
          <w:p w:rsidR="000E223B" w:rsidRPr="00B96519" w:rsidRDefault="000E223B" w:rsidP="000E223B">
            <w:pPr>
              <w:pStyle w:val="ListParagraph"/>
              <w:numPr>
                <w:ilvl w:val="0"/>
                <w:numId w:val="14"/>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Data integration</w:t>
            </w:r>
          </w:p>
        </w:tc>
      </w:tr>
      <w:tr w:rsidR="000E223B" w:rsidRPr="00B96519" w:rsidTr="001106BD">
        <w:tc>
          <w:tcPr>
            <w:cnfStyle w:val="001000000000" w:firstRow="0" w:lastRow="0" w:firstColumn="1" w:lastColumn="0" w:oddVBand="0" w:evenVBand="0" w:oddHBand="0" w:evenHBand="0" w:firstRowFirstColumn="0" w:firstRowLastColumn="0" w:lastRowFirstColumn="0" w:lastRowLastColumn="0"/>
            <w:tcW w:w="4248" w:type="dxa"/>
          </w:tcPr>
          <w:p w:rsidR="000E223B" w:rsidRPr="00B96519" w:rsidRDefault="000E223B" w:rsidP="001106BD">
            <w:pPr>
              <w:pStyle w:val="ListParagraph"/>
              <w:spacing w:line="240" w:lineRule="auto"/>
              <w:ind w:left="0"/>
              <w:jc w:val="both"/>
              <w:rPr>
                <w:rFonts w:ascii="Verdana" w:hAnsi="Verdana" w:cs="Times New Roman"/>
                <w:sz w:val="16"/>
                <w:szCs w:val="16"/>
              </w:rPr>
            </w:pPr>
            <w:r w:rsidRPr="00B96519">
              <w:rPr>
                <w:rFonts w:ascii="Verdana" w:hAnsi="Verdana" w:cs="Times New Roman"/>
                <w:sz w:val="16"/>
                <w:szCs w:val="16"/>
              </w:rPr>
              <w:lastRenderedPageBreak/>
              <w:t>Data architecture</w:t>
            </w:r>
          </w:p>
        </w:tc>
        <w:tc>
          <w:tcPr>
            <w:tcW w:w="4683" w:type="dxa"/>
          </w:tcPr>
          <w:p w:rsidR="000E223B" w:rsidRPr="00B96519" w:rsidRDefault="000E223B" w:rsidP="000E223B">
            <w:pPr>
              <w:pStyle w:val="ListParagraph"/>
              <w:numPr>
                <w:ilvl w:val="0"/>
                <w:numId w:val="20"/>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Data entity/data component catalog</w:t>
            </w:r>
          </w:p>
          <w:p w:rsidR="000E223B" w:rsidRPr="00B96519" w:rsidRDefault="000E223B" w:rsidP="000E223B">
            <w:pPr>
              <w:pStyle w:val="ListParagraph"/>
              <w:numPr>
                <w:ilvl w:val="0"/>
                <w:numId w:val="20"/>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Data entity/business function matrix</w:t>
            </w:r>
          </w:p>
          <w:p w:rsidR="000E223B" w:rsidRPr="00B96519" w:rsidRDefault="000E223B" w:rsidP="000E223B">
            <w:pPr>
              <w:pStyle w:val="ListParagraph"/>
              <w:numPr>
                <w:ilvl w:val="0"/>
                <w:numId w:val="20"/>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Application/data matrix</w:t>
            </w:r>
          </w:p>
          <w:p w:rsidR="000E223B" w:rsidRPr="00B96519" w:rsidRDefault="000E223B" w:rsidP="000E223B">
            <w:pPr>
              <w:pStyle w:val="ListParagraph"/>
              <w:numPr>
                <w:ilvl w:val="0"/>
                <w:numId w:val="20"/>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Data architecture definition</w:t>
            </w:r>
          </w:p>
        </w:tc>
      </w:tr>
      <w:tr w:rsidR="000E223B" w:rsidRPr="00B96519" w:rsidTr="00110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E223B" w:rsidRPr="00B96519" w:rsidRDefault="000E223B" w:rsidP="001106BD">
            <w:pPr>
              <w:pStyle w:val="ListParagraph"/>
              <w:spacing w:line="240" w:lineRule="auto"/>
              <w:ind w:left="0"/>
              <w:jc w:val="both"/>
              <w:rPr>
                <w:rFonts w:ascii="Verdana" w:hAnsi="Verdana" w:cs="Times New Roman"/>
                <w:sz w:val="16"/>
                <w:szCs w:val="16"/>
              </w:rPr>
            </w:pPr>
            <w:r w:rsidRPr="00B96519">
              <w:rPr>
                <w:rFonts w:ascii="Verdana" w:hAnsi="Verdana" w:cs="Times New Roman"/>
                <w:sz w:val="16"/>
                <w:szCs w:val="16"/>
              </w:rPr>
              <w:t>Technology</w:t>
            </w:r>
          </w:p>
        </w:tc>
        <w:tc>
          <w:tcPr>
            <w:tcW w:w="4683" w:type="dxa"/>
          </w:tcPr>
          <w:p w:rsidR="000E223B" w:rsidRPr="00B96519" w:rsidRDefault="000E223B" w:rsidP="000E223B">
            <w:pPr>
              <w:pStyle w:val="ListParagraph"/>
              <w:numPr>
                <w:ilvl w:val="0"/>
                <w:numId w:val="15"/>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Infrastructure</w:t>
            </w:r>
          </w:p>
          <w:p w:rsidR="000E223B" w:rsidRPr="00B96519" w:rsidRDefault="000E223B" w:rsidP="000E223B">
            <w:pPr>
              <w:pStyle w:val="ListParagraph"/>
              <w:numPr>
                <w:ilvl w:val="0"/>
                <w:numId w:val="15"/>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Analytics</w:t>
            </w:r>
          </w:p>
          <w:p w:rsidR="000E223B" w:rsidRPr="00B96519" w:rsidRDefault="000E223B" w:rsidP="000E223B">
            <w:pPr>
              <w:pStyle w:val="ListParagraph"/>
              <w:numPr>
                <w:ilvl w:val="0"/>
                <w:numId w:val="15"/>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Business applications</w:t>
            </w:r>
          </w:p>
        </w:tc>
      </w:tr>
      <w:tr w:rsidR="000E223B" w:rsidRPr="00B96519" w:rsidTr="001106BD">
        <w:tc>
          <w:tcPr>
            <w:cnfStyle w:val="001000000000" w:firstRow="0" w:lastRow="0" w:firstColumn="1" w:lastColumn="0" w:oddVBand="0" w:evenVBand="0" w:oddHBand="0" w:evenHBand="0" w:firstRowFirstColumn="0" w:firstRowLastColumn="0" w:lastRowFirstColumn="0" w:lastRowLastColumn="0"/>
            <w:tcW w:w="4248" w:type="dxa"/>
          </w:tcPr>
          <w:p w:rsidR="000E223B" w:rsidRPr="00B96519" w:rsidRDefault="000E223B" w:rsidP="001106BD">
            <w:pPr>
              <w:pStyle w:val="ListParagraph"/>
              <w:spacing w:line="240" w:lineRule="auto"/>
              <w:ind w:left="0"/>
              <w:jc w:val="both"/>
              <w:rPr>
                <w:rFonts w:ascii="Verdana" w:hAnsi="Verdana" w:cs="Times New Roman"/>
                <w:sz w:val="16"/>
                <w:szCs w:val="16"/>
              </w:rPr>
            </w:pPr>
            <w:r w:rsidRPr="00B96519">
              <w:rPr>
                <w:rFonts w:ascii="Verdana" w:hAnsi="Verdana" w:cs="Times New Roman"/>
                <w:sz w:val="16"/>
                <w:szCs w:val="16"/>
              </w:rPr>
              <w:t>Security &amp; privacy</w:t>
            </w:r>
          </w:p>
        </w:tc>
        <w:tc>
          <w:tcPr>
            <w:tcW w:w="4683" w:type="dxa"/>
          </w:tcPr>
          <w:p w:rsidR="000E223B" w:rsidRPr="00B96519" w:rsidRDefault="000E223B" w:rsidP="000E223B">
            <w:pPr>
              <w:pStyle w:val="ListParagraph"/>
              <w:numPr>
                <w:ilvl w:val="0"/>
                <w:numId w:val="16"/>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Data access rights</w:t>
            </w:r>
          </w:p>
          <w:p w:rsidR="000E223B" w:rsidRPr="00B96519" w:rsidRDefault="000E223B" w:rsidP="000E223B">
            <w:pPr>
              <w:pStyle w:val="ListParagraph"/>
              <w:numPr>
                <w:ilvl w:val="0"/>
                <w:numId w:val="16"/>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Data risk management</w:t>
            </w:r>
          </w:p>
          <w:p w:rsidR="000E223B" w:rsidRPr="00B96519" w:rsidRDefault="000E223B" w:rsidP="000E223B">
            <w:pPr>
              <w:pStyle w:val="ListParagraph"/>
              <w:numPr>
                <w:ilvl w:val="0"/>
                <w:numId w:val="16"/>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 xml:space="preserve">Data compliance </w:t>
            </w:r>
          </w:p>
        </w:tc>
      </w:tr>
      <w:tr w:rsidR="000E223B" w:rsidRPr="00B96519" w:rsidTr="00110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E223B" w:rsidRPr="00B96519" w:rsidRDefault="000E223B" w:rsidP="001106BD">
            <w:pPr>
              <w:pStyle w:val="ListParagraph"/>
              <w:spacing w:line="240" w:lineRule="auto"/>
              <w:ind w:left="0"/>
              <w:jc w:val="both"/>
              <w:rPr>
                <w:rFonts w:ascii="Verdana" w:hAnsi="Verdana" w:cs="Times New Roman"/>
                <w:sz w:val="16"/>
                <w:szCs w:val="16"/>
              </w:rPr>
            </w:pPr>
            <w:r w:rsidRPr="00B96519">
              <w:rPr>
                <w:rFonts w:ascii="Verdana" w:hAnsi="Verdana" w:cs="Times New Roman"/>
                <w:sz w:val="16"/>
                <w:szCs w:val="16"/>
              </w:rPr>
              <w:t>Metrics development and monitoring</w:t>
            </w:r>
          </w:p>
        </w:tc>
        <w:tc>
          <w:tcPr>
            <w:tcW w:w="4683" w:type="dxa"/>
          </w:tcPr>
          <w:p w:rsidR="000E223B" w:rsidRPr="00B96519" w:rsidRDefault="000E223B" w:rsidP="000E223B">
            <w:pPr>
              <w:pStyle w:val="ListParagraph"/>
              <w:numPr>
                <w:ilvl w:val="0"/>
                <w:numId w:val="17"/>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Benefits management &amp; monitoring</w:t>
            </w:r>
          </w:p>
          <w:p w:rsidR="000E223B" w:rsidRPr="00B96519" w:rsidRDefault="000E223B" w:rsidP="000E223B">
            <w:pPr>
              <w:pStyle w:val="ListParagraph"/>
              <w:numPr>
                <w:ilvl w:val="0"/>
                <w:numId w:val="17"/>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Value creation quantification</w:t>
            </w:r>
          </w:p>
        </w:tc>
      </w:tr>
    </w:tbl>
    <w:p w:rsidR="000E223B" w:rsidRPr="00753959" w:rsidRDefault="000E223B" w:rsidP="000E223B">
      <w:pPr>
        <w:pStyle w:val="ListParagraph"/>
        <w:spacing w:line="360" w:lineRule="auto"/>
        <w:ind w:left="0"/>
        <w:jc w:val="center"/>
        <w:rPr>
          <w:rFonts w:ascii="Verdana" w:hAnsi="Verdana" w:cs="Times New Roman"/>
          <w:sz w:val="18"/>
          <w:szCs w:val="18"/>
        </w:rPr>
      </w:pPr>
      <w:r w:rsidRPr="00753959">
        <w:rPr>
          <w:rFonts w:ascii="Verdana" w:hAnsi="Verdana" w:cs="Times New Roman"/>
          <w:sz w:val="18"/>
          <w:szCs w:val="18"/>
        </w:rPr>
        <w:t>Table 4.2 Data governance key process areas (details in appendix B &amp; C)</w:t>
      </w:r>
    </w:p>
    <w:p w:rsidR="000E223B" w:rsidRPr="00FB5C1D" w:rsidRDefault="000E223B" w:rsidP="000E223B">
      <w:pPr>
        <w:pStyle w:val="ListParagraph"/>
        <w:spacing w:line="360" w:lineRule="auto"/>
        <w:ind w:left="0"/>
        <w:jc w:val="both"/>
        <w:rPr>
          <w:rFonts w:ascii="Verdana" w:hAnsi="Verdana" w:cs="Times New Roman"/>
          <w:sz w:val="20"/>
          <w:szCs w:val="20"/>
        </w:rPr>
      </w:pP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A definition of each element is imposed for a better understanding of the identified model.</w:t>
      </w: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u w:val="single"/>
        </w:rPr>
        <w:t>Roles, structures and policies</w:t>
      </w:r>
      <w:r w:rsidRPr="00FB5C1D">
        <w:rPr>
          <w:rFonts w:ascii="Verdana" w:hAnsi="Verdana" w:cs="Times New Roman"/>
          <w:sz w:val="20"/>
          <w:szCs w:val="20"/>
        </w:rPr>
        <w:t xml:space="preserve"> provide, as Chapple (2013) said, the foundation for data governance programs. Roles, according to Griffin (2010b, pp.29) refer to “</w:t>
      </w:r>
      <w:r w:rsidRPr="00FB5C1D">
        <w:rPr>
          <w:rFonts w:ascii="Verdana" w:hAnsi="Verdana" w:cs="Times New Roman"/>
          <w:i/>
          <w:sz w:val="20"/>
          <w:szCs w:val="20"/>
        </w:rPr>
        <w:t xml:space="preserve">ownership for governance initiatives” </w:t>
      </w:r>
      <w:r w:rsidRPr="00FB5C1D">
        <w:rPr>
          <w:rFonts w:ascii="Verdana" w:hAnsi="Verdana" w:cs="Times New Roman"/>
          <w:sz w:val="20"/>
          <w:szCs w:val="20"/>
        </w:rPr>
        <w:t>while structures refer to the existence of</w:t>
      </w:r>
      <w:r w:rsidRPr="00FB5C1D">
        <w:rPr>
          <w:rFonts w:ascii="Verdana" w:hAnsi="Verdana" w:cs="Times New Roman"/>
          <w:i/>
          <w:sz w:val="20"/>
          <w:szCs w:val="20"/>
        </w:rPr>
        <w:t xml:space="preserve"> “fiduciary responsibility</w:t>
      </w:r>
      <w:r w:rsidRPr="00FB5C1D">
        <w:rPr>
          <w:rFonts w:ascii="Verdana" w:hAnsi="Verdana" w:cs="Times New Roman"/>
          <w:sz w:val="20"/>
          <w:szCs w:val="20"/>
        </w:rPr>
        <w:t xml:space="preserve">” (IBM, 2007, pp.10) between business and IT regarding how data is governed across different enterprise levels. </w:t>
      </w:r>
    </w:p>
    <w:p w:rsidR="000E223B" w:rsidRPr="00FB5C1D" w:rsidRDefault="000E223B" w:rsidP="000E223B">
      <w:pPr>
        <w:pStyle w:val="ListParagraph"/>
        <w:spacing w:line="360" w:lineRule="auto"/>
        <w:ind w:left="0"/>
        <w:jc w:val="both"/>
        <w:rPr>
          <w:rFonts w:ascii="Verdana" w:hAnsi="Verdana" w:cs="Times New Roman"/>
          <w:i/>
          <w:sz w:val="20"/>
          <w:szCs w:val="20"/>
        </w:rPr>
      </w:pPr>
      <w:r w:rsidRPr="00FB5C1D">
        <w:rPr>
          <w:rFonts w:ascii="Verdana" w:hAnsi="Verdana" w:cs="Times New Roman"/>
          <w:sz w:val="20"/>
          <w:szCs w:val="20"/>
          <w:u w:val="single"/>
        </w:rPr>
        <w:t>Data management</w:t>
      </w:r>
      <w:r w:rsidRPr="00FB5C1D">
        <w:rPr>
          <w:rFonts w:ascii="Verdana" w:hAnsi="Verdana" w:cs="Times New Roman"/>
          <w:sz w:val="20"/>
          <w:szCs w:val="20"/>
        </w:rPr>
        <w:t xml:space="preserve"> has many definitions associated to it and these definitions span from reference master data management, metadata management or data quality management. However, we have identified these processes as separate ones. The difference we make between these different concepts is in line with the “</w:t>
      </w:r>
      <w:r w:rsidRPr="00FB5C1D">
        <w:rPr>
          <w:rFonts w:ascii="Verdana" w:hAnsi="Verdana" w:cs="Times New Roman"/>
          <w:i/>
          <w:sz w:val="20"/>
          <w:szCs w:val="20"/>
        </w:rPr>
        <w:t>Generally accepted recordkeeping principles</w:t>
      </w:r>
      <w:r w:rsidRPr="00FB5C1D">
        <w:rPr>
          <w:rFonts w:ascii="Verdana" w:hAnsi="Verdana" w:cs="Times New Roman"/>
          <w:sz w:val="20"/>
          <w:szCs w:val="20"/>
        </w:rPr>
        <w:t xml:space="preserve">” (ARMA, 2015) and the concept of </w:t>
      </w:r>
      <w:r w:rsidRPr="00FB5C1D">
        <w:rPr>
          <w:rFonts w:ascii="Verdana" w:hAnsi="Verdana" w:cs="Times New Roman"/>
          <w:i/>
          <w:sz w:val="20"/>
          <w:szCs w:val="20"/>
        </w:rPr>
        <w:t>records management</w:t>
      </w:r>
      <w:r w:rsidRPr="00FB5C1D">
        <w:rPr>
          <w:rFonts w:ascii="Verdana" w:hAnsi="Verdana" w:cs="Times New Roman"/>
          <w:sz w:val="20"/>
          <w:szCs w:val="20"/>
        </w:rPr>
        <w:t>. We define data management practices as pertaining to (ARMA, 2015, pp.2) : “</w:t>
      </w:r>
      <w:r w:rsidRPr="00FB5C1D">
        <w:rPr>
          <w:rFonts w:ascii="Verdana" w:hAnsi="Verdana" w:cs="Times New Roman"/>
          <w:i/>
          <w:sz w:val="20"/>
          <w:szCs w:val="20"/>
        </w:rPr>
        <w:t>any recorded information, regardless of medium or characteristics, made or received and retained by an organization in pursuance of legal obligations or in the transaction of business</w:t>
      </w:r>
      <w:r w:rsidRPr="00FB5C1D">
        <w:rPr>
          <w:rFonts w:ascii="Verdana" w:hAnsi="Verdana" w:cs="Times New Roman"/>
          <w:sz w:val="20"/>
          <w:szCs w:val="20"/>
        </w:rPr>
        <w:t>”.</w:t>
      </w: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u w:val="single"/>
        </w:rPr>
        <w:t>Data quality management</w:t>
      </w:r>
      <w:r w:rsidRPr="00FB5C1D">
        <w:rPr>
          <w:rFonts w:ascii="Verdana" w:hAnsi="Verdana" w:cs="Times New Roman"/>
          <w:sz w:val="20"/>
          <w:szCs w:val="20"/>
        </w:rPr>
        <w:t xml:space="preserve"> as defined by Mosley (2008, pp.11), refers to :“</w:t>
      </w:r>
      <w:r w:rsidRPr="00FB5C1D">
        <w:rPr>
          <w:rFonts w:ascii="Verdana" w:hAnsi="Verdana" w:cs="Times New Roman"/>
          <w:i/>
          <w:sz w:val="20"/>
          <w:szCs w:val="20"/>
        </w:rPr>
        <w:t>planning, implementation and control activities that apply quality management techniques to measure, assess, improve and ensure the fitness of data for use</w:t>
      </w:r>
      <w:r w:rsidRPr="00FB5C1D">
        <w:rPr>
          <w:rFonts w:ascii="Verdana" w:hAnsi="Verdana" w:cs="Times New Roman"/>
          <w:sz w:val="20"/>
          <w:szCs w:val="20"/>
        </w:rPr>
        <w:t>”.</w:t>
      </w: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u w:val="single"/>
        </w:rPr>
        <w:t>Metadata management</w:t>
      </w:r>
      <w:r w:rsidRPr="00FB5C1D">
        <w:rPr>
          <w:rFonts w:ascii="Verdana" w:hAnsi="Verdana" w:cs="Times New Roman"/>
          <w:sz w:val="20"/>
          <w:szCs w:val="20"/>
        </w:rPr>
        <w:t xml:space="preserve"> is defined by </w:t>
      </w:r>
      <w:r w:rsidR="002862C6" w:rsidRPr="00FB5C1D">
        <w:rPr>
          <w:rFonts w:ascii="Verdana" w:hAnsi="Verdana" w:cs="Times New Roman"/>
          <w:sz w:val="20"/>
          <w:szCs w:val="20"/>
        </w:rPr>
        <w:t>Mohanty, Jagadeesh and Srivatsa</w:t>
      </w:r>
      <w:r w:rsidR="002862C6">
        <w:rPr>
          <w:rFonts w:ascii="Verdana" w:hAnsi="Verdana" w:cs="Times New Roman"/>
          <w:sz w:val="20"/>
          <w:szCs w:val="20"/>
        </w:rPr>
        <w:t xml:space="preserve"> (2013)</w:t>
      </w:r>
      <w:r w:rsidR="002862C6" w:rsidRPr="00FB5C1D">
        <w:rPr>
          <w:rFonts w:ascii="Verdana" w:hAnsi="Verdana" w:cs="Times New Roman"/>
          <w:sz w:val="20"/>
          <w:szCs w:val="20"/>
        </w:rPr>
        <w:t xml:space="preserve"> </w:t>
      </w:r>
      <w:r w:rsidRPr="00FB5C1D">
        <w:rPr>
          <w:rFonts w:ascii="Verdana" w:hAnsi="Verdana" w:cs="Times New Roman"/>
          <w:sz w:val="20"/>
          <w:szCs w:val="20"/>
        </w:rPr>
        <w:t>as the ensemble of practices providing a homogenous definition of the data elements across an enterprise.</w:t>
      </w: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u w:val="single"/>
        </w:rPr>
        <w:t>Master data management</w:t>
      </w:r>
      <w:r w:rsidRPr="00FB5C1D">
        <w:rPr>
          <w:rFonts w:ascii="Verdana" w:hAnsi="Verdana" w:cs="Times New Roman"/>
          <w:sz w:val="20"/>
          <w:szCs w:val="20"/>
        </w:rPr>
        <w:t xml:space="preserve"> is defined by the DAMA Book (Mosley, 2008, pp.11) as “</w:t>
      </w:r>
      <w:r w:rsidRPr="00FB5C1D">
        <w:rPr>
          <w:rFonts w:ascii="Verdana" w:hAnsi="Verdana" w:cs="Times New Roman"/>
          <w:i/>
          <w:sz w:val="20"/>
          <w:szCs w:val="20"/>
        </w:rPr>
        <w:t>planning, implementation and control activities to ensure consistency of contextual data values with a “golden version” of these data values</w:t>
      </w:r>
      <w:r w:rsidRPr="00FB5C1D">
        <w:rPr>
          <w:rFonts w:ascii="Verdana" w:hAnsi="Verdana" w:cs="Times New Roman"/>
          <w:sz w:val="20"/>
          <w:szCs w:val="20"/>
        </w:rPr>
        <w:t>”.</w:t>
      </w: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IBM (2007) refers to </w:t>
      </w:r>
      <w:r w:rsidRPr="00FB5C1D">
        <w:rPr>
          <w:rFonts w:ascii="Verdana" w:hAnsi="Verdana" w:cs="Times New Roman"/>
          <w:sz w:val="20"/>
          <w:szCs w:val="20"/>
          <w:u w:val="single"/>
        </w:rPr>
        <w:t>data architecture</w:t>
      </w:r>
      <w:r w:rsidRPr="00FB5C1D">
        <w:rPr>
          <w:rFonts w:ascii="Verdana" w:hAnsi="Verdana" w:cs="Times New Roman"/>
          <w:sz w:val="20"/>
          <w:szCs w:val="20"/>
        </w:rPr>
        <w:t xml:space="preserve"> as the design of systems and applications which facilitate data availability and distribution across the enterprise. In order to enrich the data architecture components with sub-elements corresponding to its implementation, </w:t>
      </w:r>
      <w:r w:rsidRPr="00FB5C1D">
        <w:rPr>
          <w:rFonts w:ascii="Verdana" w:hAnsi="Verdana" w:cs="Times New Roman"/>
          <w:sz w:val="20"/>
          <w:szCs w:val="20"/>
        </w:rPr>
        <w:lastRenderedPageBreak/>
        <w:t>we have supplemented this component with The Open Group Architecture Framework (TOGAF)-specific data architecture catalogs. The notion of a catalogue as described in TOGAF refers to an organization’s data inventory which captures all data related model entities (TOGAF, 2015). Correspondingly, the concept of an data architecture definition encompasses elements like : business data model, logical data model, data management process model, data entity/business function matrix, data interoperability requirements (e.g.: XML schema, security policies).</w:t>
      </w: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u w:val="single"/>
        </w:rPr>
        <w:t>Technology</w:t>
      </w:r>
      <w:r w:rsidRPr="00FB5C1D">
        <w:rPr>
          <w:rFonts w:ascii="Verdana" w:hAnsi="Verdana" w:cs="Times New Roman"/>
          <w:sz w:val="20"/>
          <w:szCs w:val="20"/>
        </w:rPr>
        <w:t xml:space="preserve">, according to Griffin (2010a) refers to the actual software and hardware components that enable the execution of data governance processes across the enterprise. </w:t>
      </w: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According to Tekiner and Keane (2013), </w:t>
      </w:r>
      <w:r w:rsidRPr="00FB5C1D">
        <w:rPr>
          <w:rFonts w:ascii="Verdana" w:hAnsi="Verdana" w:cs="Times New Roman"/>
          <w:sz w:val="20"/>
          <w:szCs w:val="20"/>
          <w:u w:val="single"/>
        </w:rPr>
        <w:t>security</w:t>
      </w:r>
      <w:r w:rsidRPr="00FB5C1D">
        <w:rPr>
          <w:rFonts w:ascii="Verdana" w:hAnsi="Verdana" w:cs="Times New Roman"/>
          <w:sz w:val="20"/>
          <w:szCs w:val="20"/>
        </w:rPr>
        <w:t xml:space="preserve"> refers to protecting the information the enterprise gathers during its operations while </w:t>
      </w:r>
      <w:r w:rsidRPr="00FB5C1D">
        <w:rPr>
          <w:rFonts w:ascii="Verdana" w:hAnsi="Verdana" w:cs="Times New Roman"/>
          <w:sz w:val="20"/>
          <w:szCs w:val="20"/>
          <w:u w:val="single"/>
        </w:rPr>
        <w:t>privacy</w:t>
      </w:r>
      <w:r w:rsidRPr="00FB5C1D">
        <w:rPr>
          <w:rFonts w:ascii="Verdana" w:hAnsi="Verdana" w:cs="Times New Roman"/>
          <w:sz w:val="20"/>
          <w:szCs w:val="20"/>
        </w:rPr>
        <w:t xml:space="preserve"> refers to clearly defining the boundaries of usage for this information. </w:t>
      </w: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u w:val="single"/>
        </w:rPr>
        <w:t>Metrics</w:t>
      </w:r>
      <w:r w:rsidRPr="00FB5C1D">
        <w:rPr>
          <w:rFonts w:ascii="Verdana" w:hAnsi="Verdana" w:cs="Times New Roman"/>
          <w:sz w:val="20"/>
          <w:szCs w:val="20"/>
        </w:rPr>
        <w:t xml:space="preserve"> are defined by Cheong and Chang (2007) as defining specific (baseline) measurements against which the success of a data governance program can be quantified. </w:t>
      </w:r>
    </w:p>
    <w:p w:rsidR="000E223B" w:rsidRPr="00FB5C1D" w:rsidRDefault="000E223B" w:rsidP="000E223B">
      <w:pPr>
        <w:pStyle w:val="Heading2"/>
        <w:spacing w:line="360" w:lineRule="auto"/>
        <w:jc w:val="both"/>
        <w:rPr>
          <w:rStyle w:val="Strong"/>
          <w:rFonts w:ascii="Verdana" w:hAnsi="Verdana" w:cs="Times New Roman"/>
          <w:b/>
          <w:bCs/>
          <w:sz w:val="20"/>
          <w:szCs w:val="20"/>
        </w:rPr>
      </w:pPr>
      <w:bookmarkStart w:id="79" w:name="_Toc423597539"/>
      <w:r w:rsidRPr="00FB5C1D">
        <w:rPr>
          <w:rStyle w:val="Strong"/>
          <w:rFonts w:ascii="Verdana" w:hAnsi="Verdana" w:cs="Times New Roman"/>
          <w:b/>
          <w:bCs/>
          <w:sz w:val="20"/>
          <w:szCs w:val="20"/>
        </w:rPr>
        <w:t>4.5.3 Responsibilities &amp; decision-making rights</w:t>
      </w:r>
      <w:bookmarkEnd w:id="79"/>
    </w:p>
    <w:p w:rsidR="000E223B" w:rsidRPr="00FB5C1D" w:rsidRDefault="000E223B" w:rsidP="000E223B">
      <w:pPr>
        <w:pStyle w:val="ListParagraph"/>
        <w:spacing w:line="360" w:lineRule="auto"/>
        <w:ind w:left="0"/>
        <w:jc w:val="both"/>
        <w:rPr>
          <w:rFonts w:ascii="Verdana" w:hAnsi="Verdana" w:cs="Times New Roman"/>
          <w:color w:val="000000" w:themeColor="text1"/>
          <w:sz w:val="20"/>
          <w:szCs w:val="20"/>
        </w:rPr>
      </w:pPr>
      <w:r w:rsidRPr="00FB5C1D">
        <w:rPr>
          <w:rFonts w:ascii="Verdana" w:hAnsi="Verdana" w:cs="Times New Roman"/>
          <w:sz w:val="20"/>
          <w:szCs w:val="20"/>
        </w:rPr>
        <w:t xml:space="preserve">The next question addressed by Otto (2011),  refers to </w:t>
      </w:r>
      <w:r w:rsidRPr="00FB5C1D">
        <w:rPr>
          <w:rFonts w:ascii="Verdana" w:hAnsi="Verdana" w:cs="Times New Roman"/>
          <w:i/>
          <w:sz w:val="20"/>
          <w:szCs w:val="20"/>
        </w:rPr>
        <w:t>which roles are responsible for decision-making</w:t>
      </w:r>
      <w:r w:rsidRPr="00FB5C1D">
        <w:rPr>
          <w:rFonts w:ascii="Verdana" w:hAnsi="Verdana" w:cs="Times New Roman"/>
          <w:sz w:val="20"/>
          <w:szCs w:val="20"/>
        </w:rPr>
        <w:t xml:space="preserve">. To this regard, Weber et al.(2009) try to identify </w:t>
      </w:r>
      <w:r w:rsidRPr="00FB5C1D">
        <w:rPr>
          <w:rFonts w:ascii="Verdana" w:hAnsi="Verdana" w:cs="Times New Roman"/>
          <w:color w:val="000000" w:themeColor="text1"/>
          <w:sz w:val="20"/>
          <w:szCs w:val="20"/>
        </w:rPr>
        <w:t xml:space="preserve">main activities, roles and responsibilities as well as the assignment of roles to decision areas and main activities and propose the distinctions  presented in table 4.3. </w:t>
      </w:r>
    </w:p>
    <w:p w:rsidR="000E223B" w:rsidRPr="00FB5C1D" w:rsidRDefault="000E223B" w:rsidP="000E223B">
      <w:pPr>
        <w:pStyle w:val="ListParagraph"/>
        <w:spacing w:line="360" w:lineRule="auto"/>
        <w:ind w:left="0"/>
        <w:jc w:val="both"/>
        <w:rPr>
          <w:rFonts w:ascii="Verdana" w:hAnsi="Verdana" w:cs="Times New Roman"/>
          <w:color w:val="000000" w:themeColor="text1"/>
          <w:sz w:val="20"/>
          <w:szCs w:val="20"/>
        </w:rPr>
      </w:pPr>
    </w:p>
    <w:p w:rsidR="000E223B" w:rsidRPr="00FB5C1D" w:rsidRDefault="000E223B" w:rsidP="000E223B">
      <w:pPr>
        <w:pStyle w:val="ListParagraph"/>
        <w:spacing w:line="360" w:lineRule="auto"/>
        <w:ind w:left="0"/>
        <w:jc w:val="both"/>
        <w:rPr>
          <w:rFonts w:ascii="Verdana" w:hAnsi="Verdana" w:cs="Times New Roman"/>
          <w:color w:val="000000" w:themeColor="text1"/>
          <w:sz w:val="20"/>
          <w:szCs w:val="20"/>
        </w:rPr>
      </w:pPr>
    </w:p>
    <w:tbl>
      <w:tblPr>
        <w:tblStyle w:val="LightShading-Accent2"/>
        <w:tblW w:w="0" w:type="auto"/>
        <w:tblLook w:val="04A0" w:firstRow="1" w:lastRow="0" w:firstColumn="1" w:lastColumn="0" w:noHBand="0" w:noVBand="1"/>
      </w:tblPr>
      <w:tblGrid>
        <w:gridCol w:w="3067"/>
        <w:gridCol w:w="3086"/>
        <w:gridCol w:w="3089"/>
      </w:tblGrid>
      <w:tr w:rsidR="000E223B" w:rsidRPr="00B96519" w:rsidTr="001106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6" w:type="dxa"/>
          </w:tcPr>
          <w:p w:rsidR="000E223B" w:rsidRPr="00B96519" w:rsidRDefault="000E223B" w:rsidP="001106BD">
            <w:pPr>
              <w:pStyle w:val="ListParagraph"/>
              <w:spacing w:line="240" w:lineRule="auto"/>
              <w:ind w:left="0"/>
              <w:jc w:val="both"/>
              <w:rPr>
                <w:rFonts w:ascii="Verdana" w:hAnsi="Verdana" w:cs="Times New Roman"/>
                <w:sz w:val="16"/>
                <w:szCs w:val="16"/>
              </w:rPr>
            </w:pPr>
            <w:r w:rsidRPr="00B96519">
              <w:rPr>
                <w:rFonts w:ascii="Verdana" w:hAnsi="Verdana" w:cs="Times New Roman"/>
                <w:sz w:val="16"/>
                <w:szCs w:val="16"/>
              </w:rPr>
              <w:t xml:space="preserve">Role </w:t>
            </w:r>
          </w:p>
        </w:tc>
        <w:tc>
          <w:tcPr>
            <w:tcW w:w="3167" w:type="dxa"/>
          </w:tcPr>
          <w:p w:rsidR="000E223B" w:rsidRPr="00B96519" w:rsidRDefault="000E223B" w:rsidP="001106BD">
            <w:pPr>
              <w:pStyle w:val="ListParagraph"/>
              <w:spacing w:line="240" w:lineRule="auto"/>
              <w:ind w:left="0"/>
              <w:jc w:val="both"/>
              <w:cnfStyle w:val="100000000000" w:firstRow="1" w:lastRow="0" w:firstColumn="0" w:lastColumn="0" w:oddVBand="0" w:evenVBand="0" w:oddHBand="0"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Description</w:t>
            </w:r>
          </w:p>
        </w:tc>
        <w:tc>
          <w:tcPr>
            <w:tcW w:w="3167" w:type="dxa"/>
          </w:tcPr>
          <w:p w:rsidR="000E223B" w:rsidRPr="00B96519" w:rsidRDefault="000E223B" w:rsidP="001106BD">
            <w:pPr>
              <w:pStyle w:val="ListParagraph"/>
              <w:spacing w:line="240" w:lineRule="auto"/>
              <w:ind w:left="0"/>
              <w:jc w:val="both"/>
              <w:cnfStyle w:val="100000000000" w:firstRow="1" w:lastRow="0" w:firstColumn="0" w:lastColumn="0" w:oddVBand="0" w:evenVBand="0" w:oddHBand="0"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Organizational Assignment</w:t>
            </w:r>
          </w:p>
        </w:tc>
      </w:tr>
      <w:tr w:rsidR="000E223B" w:rsidRPr="001A0FAF" w:rsidTr="00110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6" w:type="dxa"/>
          </w:tcPr>
          <w:p w:rsidR="000E223B" w:rsidRPr="00B96519" w:rsidRDefault="000E223B" w:rsidP="001106BD">
            <w:pPr>
              <w:pStyle w:val="ListParagraph"/>
              <w:spacing w:line="240" w:lineRule="auto"/>
              <w:ind w:left="0"/>
              <w:jc w:val="both"/>
              <w:rPr>
                <w:rFonts w:ascii="Verdana" w:hAnsi="Verdana" w:cs="Times New Roman"/>
                <w:sz w:val="16"/>
                <w:szCs w:val="16"/>
              </w:rPr>
            </w:pPr>
            <w:r w:rsidRPr="00B96519">
              <w:rPr>
                <w:rFonts w:ascii="Verdana" w:hAnsi="Verdana" w:cs="Times New Roman"/>
                <w:sz w:val="16"/>
                <w:szCs w:val="16"/>
              </w:rPr>
              <w:t>Executive sponsor</w:t>
            </w:r>
          </w:p>
        </w:tc>
        <w:tc>
          <w:tcPr>
            <w:tcW w:w="3167" w:type="dxa"/>
          </w:tcPr>
          <w:p w:rsidR="000E223B" w:rsidRPr="00B96519" w:rsidRDefault="000E223B" w:rsidP="001106BD">
            <w:pPr>
              <w:pStyle w:val="ListParagraph"/>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Provides sponsorship, strategic direction, funding, advocacy, and oversight for DQM</w:t>
            </w:r>
          </w:p>
        </w:tc>
        <w:tc>
          <w:tcPr>
            <w:tcW w:w="3167" w:type="dxa"/>
          </w:tcPr>
          <w:p w:rsidR="000E223B" w:rsidRPr="00B96519" w:rsidRDefault="000E223B" w:rsidP="001106BD">
            <w:pPr>
              <w:pStyle w:val="ListParagraph"/>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Executive or senior manager, e.g., CEO, CFO, CIO</w:t>
            </w:r>
          </w:p>
        </w:tc>
      </w:tr>
      <w:tr w:rsidR="000E223B" w:rsidRPr="001A0FAF" w:rsidTr="001106BD">
        <w:tc>
          <w:tcPr>
            <w:cnfStyle w:val="001000000000" w:firstRow="0" w:lastRow="0" w:firstColumn="1" w:lastColumn="0" w:oddVBand="0" w:evenVBand="0" w:oddHBand="0" w:evenHBand="0" w:firstRowFirstColumn="0" w:firstRowLastColumn="0" w:lastRowFirstColumn="0" w:lastRowLastColumn="0"/>
            <w:tcW w:w="3166" w:type="dxa"/>
          </w:tcPr>
          <w:p w:rsidR="000E223B" w:rsidRPr="00B96519" w:rsidRDefault="000E223B" w:rsidP="001106BD">
            <w:pPr>
              <w:pStyle w:val="ListParagraph"/>
              <w:spacing w:line="240" w:lineRule="auto"/>
              <w:ind w:left="0"/>
              <w:jc w:val="both"/>
              <w:rPr>
                <w:rFonts w:ascii="Verdana" w:hAnsi="Verdana" w:cs="Times New Roman"/>
                <w:sz w:val="16"/>
                <w:szCs w:val="16"/>
              </w:rPr>
            </w:pPr>
            <w:r w:rsidRPr="00B96519">
              <w:rPr>
                <w:rFonts w:ascii="Verdana" w:hAnsi="Verdana" w:cs="Times New Roman"/>
                <w:sz w:val="16"/>
                <w:szCs w:val="16"/>
              </w:rPr>
              <w:t>Data quality board</w:t>
            </w:r>
          </w:p>
        </w:tc>
        <w:tc>
          <w:tcPr>
            <w:tcW w:w="3167" w:type="dxa"/>
          </w:tcPr>
          <w:p w:rsidR="000E223B" w:rsidRPr="00B96519" w:rsidRDefault="000E223B" w:rsidP="001106BD">
            <w:pPr>
              <w:pStyle w:val="ListParagraph"/>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Defines the data governance framework for the whole enterprise and controls its implementation</w:t>
            </w:r>
          </w:p>
        </w:tc>
        <w:tc>
          <w:tcPr>
            <w:tcW w:w="3167" w:type="dxa"/>
          </w:tcPr>
          <w:p w:rsidR="000E223B" w:rsidRPr="00B96519" w:rsidRDefault="000E223B" w:rsidP="001106BD">
            <w:pPr>
              <w:pStyle w:val="ListParagraph"/>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Committee, chaired by chief steward, members are business unit and IT leaders as well as data stewards</w:t>
            </w:r>
          </w:p>
        </w:tc>
      </w:tr>
      <w:tr w:rsidR="000E223B" w:rsidRPr="001A0FAF" w:rsidTr="00110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6" w:type="dxa"/>
          </w:tcPr>
          <w:p w:rsidR="000E223B" w:rsidRPr="00B96519" w:rsidRDefault="000E223B" w:rsidP="001106BD">
            <w:pPr>
              <w:pStyle w:val="ListParagraph"/>
              <w:spacing w:line="240" w:lineRule="auto"/>
              <w:ind w:left="0"/>
              <w:jc w:val="both"/>
              <w:rPr>
                <w:rFonts w:ascii="Verdana" w:hAnsi="Verdana" w:cs="Times New Roman"/>
                <w:sz w:val="16"/>
                <w:szCs w:val="16"/>
              </w:rPr>
            </w:pPr>
            <w:r w:rsidRPr="00B96519">
              <w:rPr>
                <w:rFonts w:ascii="Verdana" w:hAnsi="Verdana" w:cs="Times New Roman"/>
                <w:sz w:val="16"/>
                <w:szCs w:val="16"/>
              </w:rPr>
              <w:t>Chief steward</w:t>
            </w:r>
          </w:p>
        </w:tc>
        <w:tc>
          <w:tcPr>
            <w:tcW w:w="3167" w:type="dxa"/>
          </w:tcPr>
          <w:p w:rsidR="000E223B" w:rsidRPr="00B96519" w:rsidRDefault="000E223B" w:rsidP="001106BD">
            <w:pPr>
              <w:pStyle w:val="ListParagraph"/>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Puts the board’s decisions into practice, enforces the adoption of standards, helps establish DQ metrics and targets</w:t>
            </w:r>
          </w:p>
        </w:tc>
        <w:tc>
          <w:tcPr>
            <w:tcW w:w="3167" w:type="dxa"/>
          </w:tcPr>
          <w:p w:rsidR="000E223B" w:rsidRPr="00B96519" w:rsidRDefault="000E223B" w:rsidP="001106BD">
            <w:pPr>
              <w:pStyle w:val="ListParagraph"/>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Senior manager with data management background</w:t>
            </w:r>
          </w:p>
        </w:tc>
      </w:tr>
      <w:tr w:rsidR="000E223B" w:rsidRPr="001A0FAF" w:rsidTr="001106BD">
        <w:tc>
          <w:tcPr>
            <w:cnfStyle w:val="001000000000" w:firstRow="0" w:lastRow="0" w:firstColumn="1" w:lastColumn="0" w:oddVBand="0" w:evenVBand="0" w:oddHBand="0" w:evenHBand="0" w:firstRowFirstColumn="0" w:firstRowLastColumn="0" w:lastRowFirstColumn="0" w:lastRowLastColumn="0"/>
            <w:tcW w:w="3166" w:type="dxa"/>
          </w:tcPr>
          <w:p w:rsidR="000E223B" w:rsidRPr="00B96519" w:rsidRDefault="000E223B" w:rsidP="001106BD">
            <w:pPr>
              <w:pStyle w:val="ListParagraph"/>
              <w:spacing w:line="240" w:lineRule="auto"/>
              <w:ind w:left="0"/>
              <w:jc w:val="both"/>
              <w:rPr>
                <w:rFonts w:ascii="Verdana" w:hAnsi="Verdana" w:cs="Times New Roman"/>
                <w:sz w:val="16"/>
                <w:szCs w:val="16"/>
              </w:rPr>
            </w:pPr>
            <w:r w:rsidRPr="00B96519">
              <w:rPr>
                <w:rFonts w:ascii="Verdana" w:hAnsi="Verdana" w:cs="Times New Roman"/>
                <w:sz w:val="16"/>
                <w:szCs w:val="16"/>
              </w:rPr>
              <w:t>Business data steward</w:t>
            </w:r>
          </w:p>
        </w:tc>
        <w:tc>
          <w:tcPr>
            <w:tcW w:w="3167" w:type="dxa"/>
          </w:tcPr>
          <w:p w:rsidR="000E223B" w:rsidRPr="00B96519" w:rsidRDefault="000E223B" w:rsidP="001106BD">
            <w:pPr>
              <w:pStyle w:val="ListParagraph"/>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Details corporate-wide DQ standards and policies for his/her area of responsibility from a business perspective</w:t>
            </w:r>
          </w:p>
        </w:tc>
        <w:tc>
          <w:tcPr>
            <w:tcW w:w="3167" w:type="dxa"/>
          </w:tcPr>
          <w:p w:rsidR="000E223B" w:rsidRPr="00B96519" w:rsidRDefault="000E223B" w:rsidP="001106BD">
            <w:pPr>
              <w:pStyle w:val="ListParagraph"/>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Professional from business unit or functional department</w:t>
            </w:r>
          </w:p>
        </w:tc>
      </w:tr>
      <w:tr w:rsidR="000E223B" w:rsidRPr="00B96519" w:rsidTr="00110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6" w:type="dxa"/>
          </w:tcPr>
          <w:p w:rsidR="000E223B" w:rsidRPr="00B96519" w:rsidRDefault="000E223B" w:rsidP="001106BD">
            <w:pPr>
              <w:pStyle w:val="ListParagraph"/>
              <w:spacing w:line="240" w:lineRule="auto"/>
              <w:ind w:left="0"/>
              <w:jc w:val="both"/>
              <w:rPr>
                <w:rFonts w:ascii="Verdana" w:hAnsi="Verdana" w:cs="Times New Roman"/>
                <w:sz w:val="16"/>
                <w:szCs w:val="16"/>
              </w:rPr>
            </w:pPr>
            <w:r w:rsidRPr="00B96519">
              <w:rPr>
                <w:rFonts w:ascii="Verdana" w:hAnsi="Verdana" w:cs="Times New Roman"/>
                <w:sz w:val="16"/>
                <w:szCs w:val="16"/>
              </w:rPr>
              <w:t>Technical data steward</w:t>
            </w:r>
          </w:p>
        </w:tc>
        <w:tc>
          <w:tcPr>
            <w:tcW w:w="3167" w:type="dxa"/>
          </w:tcPr>
          <w:p w:rsidR="000E223B" w:rsidRPr="00B96519" w:rsidRDefault="000E223B" w:rsidP="001106BD">
            <w:pPr>
              <w:pStyle w:val="ListParagraph"/>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Provides standardized data element definitions and formats, profiles and explains source system details and data flows between systems.</w:t>
            </w:r>
          </w:p>
        </w:tc>
        <w:tc>
          <w:tcPr>
            <w:tcW w:w="3167" w:type="dxa"/>
          </w:tcPr>
          <w:p w:rsidR="000E223B" w:rsidRPr="00B96519" w:rsidRDefault="000E223B" w:rsidP="001106BD">
            <w:pPr>
              <w:pStyle w:val="ListParagraph"/>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96519">
              <w:rPr>
                <w:rFonts w:ascii="Verdana" w:hAnsi="Verdana" w:cs="Times New Roman"/>
                <w:sz w:val="16"/>
                <w:szCs w:val="16"/>
              </w:rPr>
              <w:t>Professional from IT department</w:t>
            </w:r>
          </w:p>
        </w:tc>
      </w:tr>
    </w:tbl>
    <w:p w:rsidR="000E223B" w:rsidRPr="00753959" w:rsidRDefault="000E223B" w:rsidP="000E223B">
      <w:pPr>
        <w:pStyle w:val="ListParagraph"/>
        <w:spacing w:line="360" w:lineRule="auto"/>
        <w:ind w:left="0"/>
        <w:jc w:val="center"/>
        <w:rPr>
          <w:rFonts w:ascii="Verdana" w:hAnsi="Verdana" w:cs="Times New Roman"/>
          <w:sz w:val="18"/>
          <w:szCs w:val="18"/>
        </w:rPr>
      </w:pPr>
      <w:r w:rsidRPr="00753959">
        <w:rPr>
          <w:rFonts w:ascii="Verdana" w:hAnsi="Verdana" w:cs="Times New Roman"/>
          <w:sz w:val="18"/>
          <w:szCs w:val="18"/>
        </w:rPr>
        <w:t>Table 4.3 Set of data quality roles (Weber et al.,2009, pp.4:11)</w:t>
      </w:r>
    </w:p>
    <w:p w:rsidR="000E223B" w:rsidRPr="00FB5C1D" w:rsidRDefault="000E223B" w:rsidP="000E223B">
      <w:pPr>
        <w:pStyle w:val="ListParagraph"/>
        <w:spacing w:line="360" w:lineRule="auto"/>
        <w:ind w:left="0"/>
        <w:jc w:val="both"/>
        <w:rPr>
          <w:rFonts w:ascii="Verdana" w:hAnsi="Verdana" w:cs="Times New Roman"/>
          <w:sz w:val="20"/>
          <w:szCs w:val="20"/>
        </w:rPr>
      </w:pP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lastRenderedPageBreak/>
        <w:t xml:space="preserve">Krishnan (2013) proposes a similar role structure in figure 4.4, composed as an organogram describing the flow of accountabilities and roles starting from an Executive Governance board which distinguishes between 2 councils : </w:t>
      </w:r>
      <w:r w:rsidRPr="00FB5C1D">
        <w:rPr>
          <w:rFonts w:ascii="Verdana" w:hAnsi="Verdana" w:cs="Times New Roman"/>
          <w:i/>
          <w:sz w:val="20"/>
          <w:szCs w:val="20"/>
        </w:rPr>
        <w:t>program governance</w:t>
      </w:r>
      <w:r w:rsidRPr="00FB5C1D">
        <w:rPr>
          <w:rFonts w:ascii="Verdana" w:hAnsi="Verdana" w:cs="Times New Roman"/>
          <w:sz w:val="20"/>
          <w:szCs w:val="20"/>
        </w:rPr>
        <w:t xml:space="preserve"> and </w:t>
      </w:r>
      <w:r w:rsidRPr="00FB5C1D">
        <w:rPr>
          <w:rFonts w:ascii="Verdana" w:hAnsi="Verdana" w:cs="Times New Roman"/>
          <w:i/>
          <w:sz w:val="20"/>
          <w:szCs w:val="20"/>
        </w:rPr>
        <w:t>data governance</w:t>
      </w:r>
      <w:r w:rsidRPr="00FB5C1D">
        <w:rPr>
          <w:rFonts w:ascii="Verdana" w:hAnsi="Verdana" w:cs="Times New Roman"/>
          <w:sz w:val="20"/>
          <w:szCs w:val="20"/>
        </w:rPr>
        <w:t>. We notice the distinction made by the author between data and IT: program governance addresses IT challenges while the data governance councils focuses on data in the context of its business use.</w:t>
      </w: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 </w:t>
      </w: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noProof/>
          <w:sz w:val="20"/>
          <w:szCs w:val="20"/>
          <w:lang w:val="en-GB" w:eastAsia="en-GB"/>
        </w:rPr>
        <w:drawing>
          <wp:anchor distT="0" distB="0" distL="114300" distR="114300" simplePos="0" relativeHeight="251650560" behindDoc="1" locked="0" layoutInCell="1" allowOverlap="1" wp14:anchorId="2A5C4C83" wp14:editId="31F006B9">
            <wp:simplePos x="0" y="0"/>
            <wp:positionH relativeFrom="column">
              <wp:posOffset>1209675</wp:posOffset>
            </wp:positionH>
            <wp:positionV relativeFrom="paragraph">
              <wp:posOffset>21590</wp:posOffset>
            </wp:positionV>
            <wp:extent cx="3638550" cy="2340610"/>
            <wp:effectExtent l="19050" t="19050" r="19050" b="21590"/>
            <wp:wrapTight wrapText="bothSides">
              <wp:wrapPolygon edited="0">
                <wp:start x="-113" y="-176"/>
                <wp:lineTo x="-113" y="21623"/>
                <wp:lineTo x="21600" y="21623"/>
                <wp:lineTo x="21600" y="-176"/>
                <wp:lineTo x="-113" y="-176"/>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7515" t="7299" r="7155" b="10462"/>
                    <a:stretch/>
                  </pic:blipFill>
                  <pic:spPr bwMode="auto">
                    <a:xfrm>
                      <a:off x="0" y="0"/>
                      <a:ext cx="3638550" cy="2340610"/>
                    </a:xfrm>
                    <a:prstGeom prst="rect">
                      <a:avLst/>
                    </a:prstGeom>
                    <a:ln>
                      <a:solidFill>
                        <a:schemeClr val="tx1">
                          <a:lumMod val="95000"/>
                          <a:lumOff val="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223B" w:rsidRPr="00FB5C1D" w:rsidRDefault="000E223B" w:rsidP="000E223B">
      <w:pPr>
        <w:pStyle w:val="ListParagraph"/>
        <w:spacing w:line="360" w:lineRule="auto"/>
        <w:ind w:left="0"/>
        <w:jc w:val="both"/>
        <w:rPr>
          <w:rFonts w:ascii="Verdana" w:hAnsi="Verdana" w:cs="Times New Roman"/>
          <w:sz w:val="20"/>
          <w:szCs w:val="20"/>
        </w:rPr>
      </w:pPr>
    </w:p>
    <w:p w:rsidR="000E223B" w:rsidRPr="00FB5C1D" w:rsidRDefault="000E223B" w:rsidP="000E223B">
      <w:pPr>
        <w:pStyle w:val="ListParagraph"/>
        <w:spacing w:line="360" w:lineRule="auto"/>
        <w:ind w:left="0"/>
        <w:jc w:val="both"/>
        <w:rPr>
          <w:rFonts w:ascii="Verdana" w:hAnsi="Verdana" w:cs="Times New Roman"/>
          <w:sz w:val="20"/>
          <w:szCs w:val="20"/>
        </w:rPr>
      </w:pPr>
    </w:p>
    <w:p w:rsidR="000E223B" w:rsidRPr="00FB5C1D" w:rsidRDefault="000E223B" w:rsidP="000E223B">
      <w:pPr>
        <w:pStyle w:val="ListParagraph"/>
        <w:spacing w:line="360" w:lineRule="auto"/>
        <w:ind w:left="0"/>
        <w:jc w:val="both"/>
        <w:rPr>
          <w:rFonts w:ascii="Verdana" w:hAnsi="Verdana" w:cs="Times New Roman"/>
          <w:sz w:val="20"/>
          <w:szCs w:val="20"/>
        </w:rPr>
      </w:pPr>
    </w:p>
    <w:p w:rsidR="000E223B" w:rsidRPr="00FB5C1D" w:rsidRDefault="000E223B" w:rsidP="000E223B">
      <w:pPr>
        <w:pStyle w:val="ListParagraph"/>
        <w:spacing w:line="360" w:lineRule="auto"/>
        <w:ind w:left="0"/>
        <w:jc w:val="both"/>
        <w:rPr>
          <w:rFonts w:ascii="Verdana" w:hAnsi="Verdana" w:cs="Times New Roman"/>
          <w:sz w:val="20"/>
          <w:szCs w:val="20"/>
        </w:rPr>
      </w:pPr>
    </w:p>
    <w:p w:rsidR="000E223B" w:rsidRPr="00FB5C1D" w:rsidRDefault="000E223B" w:rsidP="000E223B">
      <w:pPr>
        <w:pStyle w:val="ListParagraph"/>
        <w:spacing w:line="360" w:lineRule="auto"/>
        <w:ind w:left="0"/>
        <w:jc w:val="both"/>
        <w:rPr>
          <w:rFonts w:ascii="Verdana" w:hAnsi="Verdana" w:cs="Times New Roman"/>
          <w:sz w:val="20"/>
          <w:szCs w:val="20"/>
        </w:rPr>
      </w:pPr>
    </w:p>
    <w:p w:rsidR="000E223B" w:rsidRPr="00FB5C1D" w:rsidRDefault="000E223B" w:rsidP="000E223B">
      <w:pPr>
        <w:pStyle w:val="ListParagraph"/>
        <w:spacing w:line="360" w:lineRule="auto"/>
        <w:ind w:left="0"/>
        <w:jc w:val="both"/>
        <w:rPr>
          <w:rFonts w:ascii="Verdana" w:hAnsi="Verdana" w:cs="Times New Roman"/>
          <w:sz w:val="20"/>
          <w:szCs w:val="20"/>
        </w:rPr>
      </w:pPr>
    </w:p>
    <w:p w:rsidR="000E223B" w:rsidRPr="00FB5C1D" w:rsidRDefault="000E223B" w:rsidP="000E223B">
      <w:pPr>
        <w:pStyle w:val="ListParagraph"/>
        <w:spacing w:line="360" w:lineRule="auto"/>
        <w:ind w:left="0"/>
        <w:jc w:val="both"/>
        <w:rPr>
          <w:rFonts w:ascii="Verdana" w:hAnsi="Verdana" w:cs="Times New Roman"/>
          <w:sz w:val="20"/>
          <w:szCs w:val="20"/>
        </w:rPr>
      </w:pPr>
    </w:p>
    <w:p w:rsidR="000E223B" w:rsidRPr="00FB5C1D" w:rsidRDefault="000E223B" w:rsidP="000E223B">
      <w:pPr>
        <w:pStyle w:val="ListParagraph"/>
        <w:spacing w:line="360" w:lineRule="auto"/>
        <w:ind w:left="0"/>
        <w:jc w:val="both"/>
        <w:rPr>
          <w:rFonts w:ascii="Verdana" w:hAnsi="Verdana" w:cs="Times New Roman"/>
          <w:sz w:val="20"/>
          <w:szCs w:val="20"/>
        </w:rPr>
      </w:pPr>
    </w:p>
    <w:p w:rsidR="000E223B" w:rsidRPr="00FB5C1D" w:rsidRDefault="000E223B" w:rsidP="000E223B">
      <w:pPr>
        <w:pStyle w:val="ListParagraph"/>
        <w:spacing w:line="360" w:lineRule="auto"/>
        <w:ind w:left="0"/>
        <w:jc w:val="both"/>
        <w:rPr>
          <w:rFonts w:ascii="Verdana" w:hAnsi="Verdana" w:cs="Times New Roman"/>
          <w:sz w:val="20"/>
          <w:szCs w:val="20"/>
        </w:rPr>
      </w:pPr>
    </w:p>
    <w:p w:rsidR="000E223B" w:rsidRPr="00FB5C1D" w:rsidRDefault="000E223B" w:rsidP="000E223B">
      <w:pPr>
        <w:pStyle w:val="ListParagraph"/>
        <w:spacing w:line="360" w:lineRule="auto"/>
        <w:ind w:left="0"/>
        <w:jc w:val="both"/>
        <w:rPr>
          <w:rFonts w:ascii="Verdana" w:hAnsi="Verdana" w:cs="Times New Roman"/>
          <w:sz w:val="20"/>
          <w:szCs w:val="20"/>
        </w:rPr>
      </w:pPr>
    </w:p>
    <w:p w:rsidR="000E223B" w:rsidRPr="00753959" w:rsidRDefault="000E223B" w:rsidP="000E223B">
      <w:pPr>
        <w:pStyle w:val="ListParagraph"/>
        <w:spacing w:line="360" w:lineRule="auto"/>
        <w:ind w:left="0"/>
        <w:jc w:val="center"/>
        <w:rPr>
          <w:rFonts w:ascii="Verdana" w:hAnsi="Verdana" w:cs="Times New Roman"/>
          <w:sz w:val="18"/>
          <w:szCs w:val="18"/>
        </w:rPr>
      </w:pPr>
      <w:r w:rsidRPr="00753959">
        <w:rPr>
          <w:rFonts w:ascii="Verdana" w:hAnsi="Verdana" w:cs="Times New Roman"/>
          <w:sz w:val="18"/>
          <w:szCs w:val="18"/>
        </w:rPr>
        <w:t>Figure 4.4 Data governance teams (Krishnan, 2013, pp.244)</w:t>
      </w:r>
    </w:p>
    <w:p w:rsidR="000E223B" w:rsidRPr="00FB5C1D" w:rsidRDefault="000E223B" w:rsidP="000E223B">
      <w:pPr>
        <w:pStyle w:val="ListParagraph"/>
        <w:spacing w:line="360" w:lineRule="auto"/>
        <w:ind w:left="0"/>
        <w:jc w:val="both"/>
        <w:rPr>
          <w:rFonts w:ascii="Verdana" w:hAnsi="Verdana" w:cs="Times New Roman"/>
          <w:sz w:val="20"/>
          <w:szCs w:val="20"/>
        </w:rPr>
      </w:pP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This distinction is made because, as the author says, information governance is concerned with setting up overall strategies and models for data across the enterprise while program governance is concerned with implementing these strategies. The model proposed by the author is quite similar to the model proposed by Otto (2011) only more developed from a data and IT distinction point of view. The model proposed by Otto (2011) is quite simplistic and refers exclusively to a data governance program without regarding it as part of an IT department compared to Krishnan (2013) which regards data governance in a broader, corporate context. We, however, will chose the model developed by Otto (2011) for our analysis regarding data governance responsibilities and decision-making rights because of its focus exclusively on data governance programs without including IT-related issues. This will allow to better pinpoint specific roles for specific processes when designing data governance programs.</w:t>
      </w:r>
    </w:p>
    <w:p w:rsidR="000E223B" w:rsidRPr="00FB5C1D" w:rsidRDefault="000E223B" w:rsidP="000E223B">
      <w:pPr>
        <w:pStyle w:val="ListParagraph"/>
        <w:spacing w:line="360" w:lineRule="auto"/>
        <w:ind w:left="0"/>
        <w:jc w:val="both"/>
        <w:rPr>
          <w:rFonts w:ascii="Verdana" w:hAnsi="Verdana" w:cs="Times New Roman"/>
          <w:sz w:val="20"/>
          <w:szCs w:val="20"/>
        </w:rPr>
      </w:pPr>
    </w:p>
    <w:p w:rsidR="000E223B" w:rsidRPr="00FB5C1D" w:rsidRDefault="000E223B" w:rsidP="000E223B">
      <w:pPr>
        <w:pStyle w:val="Heading2"/>
        <w:spacing w:line="360" w:lineRule="auto"/>
        <w:jc w:val="both"/>
        <w:rPr>
          <w:rFonts w:ascii="Verdana" w:hAnsi="Verdana" w:cs="Times New Roman"/>
          <w:sz w:val="20"/>
          <w:szCs w:val="20"/>
        </w:rPr>
      </w:pPr>
      <w:bookmarkStart w:id="80" w:name="_Toc423597540"/>
      <w:r w:rsidRPr="00FB5C1D">
        <w:rPr>
          <w:rFonts w:ascii="Verdana" w:hAnsi="Verdana" w:cs="Times New Roman"/>
          <w:sz w:val="20"/>
          <w:szCs w:val="20"/>
        </w:rPr>
        <w:t>4.5.4 RACI matrix</w:t>
      </w:r>
      <w:bookmarkEnd w:id="80"/>
      <w:r w:rsidRPr="00FB5C1D">
        <w:rPr>
          <w:rFonts w:ascii="Verdana" w:hAnsi="Verdana" w:cs="Times New Roman"/>
          <w:sz w:val="20"/>
          <w:szCs w:val="20"/>
        </w:rPr>
        <w:t xml:space="preserve"> </w:t>
      </w: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Khatri and Brown (2010) propose a multitude of roles based on the decision domains for data governance programs : these roles span from data custodian/owner/consumer to enterprise architect or information chain manager. Some roles are very specific to a decision domain, for example, data quality demands data quality managers, analysts or </w:t>
      </w:r>
      <w:r w:rsidRPr="00FB5C1D">
        <w:rPr>
          <w:rFonts w:ascii="Verdana" w:hAnsi="Verdana" w:cs="Times New Roman"/>
          <w:sz w:val="20"/>
          <w:szCs w:val="20"/>
        </w:rPr>
        <w:lastRenderedPageBreak/>
        <w:t xml:space="preserve">subject matter experts. However, there exists a structure in the presentation the authors  make of the different roles; this structure follows a hierarchy beginning from an Enterprise Data Council </w:t>
      </w:r>
      <w:r w:rsidRPr="00FB5C1D">
        <w:rPr>
          <w:rFonts w:ascii="Verdana" w:hAnsi="Verdana" w:cs="Times New Roman"/>
          <w:b/>
          <w:sz w:val="20"/>
          <w:szCs w:val="20"/>
        </w:rPr>
        <w:t>-&gt;</w:t>
      </w:r>
      <w:r w:rsidRPr="00FB5C1D">
        <w:rPr>
          <w:rFonts w:ascii="Verdana" w:hAnsi="Verdana" w:cs="Times New Roman"/>
          <w:sz w:val="20"/>
          <w:szCs w:val="20"/>
        </w:rPr>
        <w:t xml:space="preserve"> Data quality managers -&gt; Data architects -&gt; Data owners and security officers -&gt;Data lifecycle managers.  </w:t>
      </w: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Weber et al. (2009) assign roles to decision areas via a RACI matrix such as the one in figure 4.5 (taken from Cobit: Isaca, 2012) where each interaction is defined as Responsible ( R), Accountable(A), Consulted (C) and/or Informed (I). </w:t>
      </w:r>
    </w:p>
    <w:p w:rsidR="000E223B" w:rsidRPr="00FB5C1D" w:rsidRDefault="000E223B" w:rsidP="000E223B">
      <w:pPr>
        <w:pStyle w:val="ListParagraph"/>
        <w:spacing w:line="360" w:lineRule="auto"/>
        <w:ind w:left="0"/>
        <w:jc w:val="both"/>
        <w:rPr>
          <w:rFonts w:ascii="Verdana" w:hAnsi="Verdana" w:cs="Times New Roman"/>
          <w:sz w:val="20"/>
          <w:szCs w:val="20"/>
        </w:rPr>
      </w:pP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noProof/>
          <w:sz w:val="20"/>
          <w:szCs w:val="20"/>
          <w:lang w:val="en-GB" w:eastAsia="en-GB"/>
        </w:rPr>
        <w:drawing>
          <wp:anchor distT="0" distB="0" distL="114300" distR="114300" simplePos="0" relativeHeight="251657728" behindDoc="1" locked="0" layoutInCell="1" allowOverlap="1" wp14:anchorId="603EA579" wp14:editId="5E5EEA9F">
            <wp:simplePos x="0" y="0"/>
            <wp:positionH relativeFrom="column">
              <wp:posOffset>476250</wp:posOffset>
            </wp:positionH>
            <wp:positionV relativeFrom="paragraph">
              <wp:posOffset>5715</wp:posOffset>
            </wp:positionV>
            <wp:extent cx="4762500" cy="1694815"/>
            <wp:effectExtent l="19050" t="19050" r="19050" b="19685"/>
            <wp:wrapTight wrapText="bothSides">
              <wp:wrapPolygon edited="0">
                <wp:start x="-86" y="-243"/>
                <wp:lineTo x="-86" y="21608"/>
                <wp:lineTo x="21600" y="21608"/>
                <wp:lineTo x="21600" y="-243"/>
                <wp:lineTo x="-86" y="-243"/>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t="12453" r="1089" b="14340"/>
                    <a:stretch/>
                  </pic:blipFill>
                  <pic:spPr bwMode="auto">
                    <a:xfrm>
                      <a:off x="0" y="0"/>
                      <a:ext cx="4762500" cy="16948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223B" w:rsidRPr="00FB5C1D" w:rsidRDefault="000E223B" w:rsidP="000E223B">
      <w:pPr>
        <w:pStyle w:val="ListParagraph"/>
        <w:spacing w:line="360" w:lineRule="auto"/>
        <w:ind w:left="0"/>
        <w:jc w:val="both"/>
        <w:rPr>
          <w:rFonts w:ascii="Verdana" w:hAnsi="Verdana" w:cs="Times New Roman"/>
          <w:sz w:val="20"/>
          <w:szCs w:val="20"/>
        </w:rPr>
      </w:pPr>
    </w:p>
    <w:p w:rsidR="000E223B" w:rsidRPr="00FB5C1D" w:rsidRDefault="000E223B" w:rsidP="000E223B">
      <w:pPr>
        <w:pStyle w:val="ListParagraph"/>
        <w:spacing w:line="360" w:lineRule="auto"/>
        <w:ind w:left="0"/>
        <w:jc w:val="both"/>
        <w:rPr>
          <w:rFonts w:ascii="Verdana" w:hAnsi="Verdana" w:cs="Times New Roman"/>
          <w:sz w:val="20"/>
          <w:szCs w:val="20"/>
        </w:rPr>
      </w:pPr>
    </w:p>
    <w:p w:rsidR="000E223B" w:rsidRPr="00FB5C1D" w:rsidRDefault="000E223B" w:rsidP="000E223B">
      <w:pPr>
        <w:pStyle w:val="ListParagraph"/>
        <w:spacing w:line="360" w:lineRule="auto"/>
        <w:ind w:left="0"/>
        <w:jc w:val="both"/>
        <w:rPr>
          <w:rFonts w:ascii="Verdana" w:hAnsi="Verdana" w:cs="Times New Roman"/>
          <w:sz w:val="20"/>
          <w:szCs w:val="20"/>
        </w:rPr>
      </w:pPr>
    </w:p>
    <w:p w:rsidR="000E223B" w:rsidRPr="00FB5C1D" w:rsidRDefault="000E223B" w:rsidP="000E223B">
      <w:pPr>
        <w:pStyle w:val="ListParagraph"/>
        <w:spacing w:line="360" w:lineRule="auto"/>
        <w:ind w:left="0"/>
        <w:jc w:val="both"/>
        <w:rPr>
          <w:rFonts w:ascii="Verdana" w:hAnsi="Verdana" w:cs="Times New Roman"/>
          <w:sz w:val="20"/>
          <w:szCs w:val="20"/>
        </w:rPr>
      </w:pPr>
    </w:p>
    <w:p w:rsidR="000E223B" w:rsidRPr="00FB5C1D" w:rsidRDefault="000E223B" w:rsidP="000E223B">
      <w:pPr>
        <w:pStyle w:val="ListParagraph"/>
        <w:spacing w:line="360" w:lineRule="auto"/>
        <w:ind w:left="0"/>
        <w:jc w:val="both"/>
        <w:rPr>
          <w:rFonts w:ascii="Verdana" w:hAnsi="Verdana" w:cs="Times New Roman"/>
          <w:sz w:val="20"/>
          <w:szCs w:val="20"/>
        </w:rPr>
      </w:pPr>
    </w:p>
    <w:p w:rsidR="000E223B" w:rsidRPr="00FB5C1D" w:rsidRDefault="000E223B" w:rsidP="000E223B">
      <w:pPr>
        <w:pStyle w:val="ListParagraph"/>
        <w:spacing w:line="360" w:lineRule="auto"/>
        <w:ind w:left="0"/>
        <w:jc w:val="both"/>
        <w:rPr>
          <w:rFonts w:ascii="Verdana" w:hAnsi="Verdana" w:cs="Times New Roman"/>
          <w:sz w:val="20"/>
          <w:szCs w:val="20"/>
        </w:rPr>
      </w:pPr>
    </w:p>
    <w:p w:rsidR="00753959" w:rsidRDefault="00753959" w:rsidP="000E223B">
      <w:pPr>
        <w:pStyle w:val="ListParagraph"/>
        <w:spacing w:line="360" w:lineRule="auto"/>
        <w:ind w:left="0"/>
        <w:jc w:val="center"/>
        <w:rPr>
          <w:rFonts w:ascii="Verdana" w:hAnsi="Verdana" w:cs="Times New Roman"/>
          <w:sz w:val="18"/>
          <w:szCs w:val="18"/>
        </w:rPr>
      </w:pPr>
    </w:p>
    <w:p w:rsidR="000E223B" w:rsidRDefault="000E223B" w:rsidP="000E223B">
      <w:pPr>
        <w:pStyle w:val="ListParagraph"/>
        <w:spacing w:line="360" w:lineRule="auto"/>
        <w:ind w:left="0"/>
        <w:jc w:val="center"/>
        <w:rPr>
          <w:rFonts w:ascii="Verdana" w:hAnsi="Verdana" w:cs="Times New Roman"/>
          <w:sz w:val="18"/>
          <w:szCs w:val="18"/>
        </w:rPr>
      </w:pPr>
      <w:r w:rsidRPr="00753959">
        <w:rPr>
          <w:rFonts w:ascii="Verdana" w:hAnsi="Verdana" w:cs="Times New Roman"/>
          <w:sz w:val="18"/>
          <w:szCs w:val="18"/>
        </w:rPr>
        <w:t>Figure 4.5 Schematic representation of a data governance model (Weber et al.,2009, pp. 4:10)</w:t>
      </w:r>
    </w:p>
    <w:p w:rsidR="00753959" w:rsidRPr="00753959" w:rsidRDefault="00753959" w:rsidP="000E223B">
      <w:pPr>
        <w:pStyle w:val="ListParagraph"/>
        <w:spacing w:line="360" w:lineRule="auto"/>
        <w:ind w:left="0"/>
        <w:jc w:val="center"/>
        <w:rPr>
          <w:rFonts w:ascii="Verdana" w:hAnsi="Verdana" w:cs="Times New Roman"/>
          <w:sz w:val="18"/>
          <w:szCs w:val="18"/>
        </w:rPr>
      </w:pP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The principle behind using a RACI matrix is that each interaction fills in the cells of the matrix to depict how each role contributes to a specific process (in this case, a DQM-related task) : more than one person can be responsible for implementing a decision, however, there is only one ultimate accountable for authorizing work on a  process. </w:t>
      </w: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If we apply the RACI matrix to the roles structure and accompanying description as presented by Otto (2011), we obtain a model such as the one presented in table 4.4. </w:t>
      </w:r>
    </w:p>
    <w:p w:rsidR="000E223B" w:rsidRPr="00FB5C1D" w:rsidRDefault="000E223B" w:rsidP="000E223B">
      <w:pPr>
        <w:pStyle w:val="ListParagraph"/>
        <w:spacing w:line="360" w:lineRule="auto"/>
        <w:ind w:left="0"/>
        <w:jc w:val="both"/>
        <w:rPr>
          <w:rFonts w:ascii="Verdana" w:hAnsi="Verdana" w:cs="Times New Roman"/>
          <w:sz w:val="20"/>
          <w:szCs w:val="20"/>
        </w:rPr>
      </w:pPr>
    </w:p>
    <w:p w:rsidR="000E223B" w:rsidRPr="00FB5C1D" w:rsidRDefault="000E223B" w:rsidP="000E223B">
      <w:pPr>
        <w:pStyle w:val="ListParagraph"/>
        <w:spacing w:line="360" w:lineRule="auto"/>
        <w:ind w:left="0"/>
        <w:jc w:val="both"/>
        <w:rPr>
          <w:rFonts w:ascii="Verdana" w:hAnsi="Verdana" w:cs="Times New Roman"/>
          <w:sz w:val="20"/>
          <w:szCs w:val="20"/>
        </w:rPr>
      </w:pPr>
    </w:p>
    <w:p w:rsidR="000E223B" w:rsidRPr="00FB5C1D" w:rsidRDefault="000E223B" w:rsidP="000E223B">
      <w:pPr>
        <w:pStyle w:val="ListParagraph"/>
        <w:spacing w:line="360" w:lineRule="auto"/>
        <w:ind w:left="0"/>
        <w:jc w:val="both"/>
        <w:rPr>
          <w:rFonts w:ascii="Verdana" w:hAnsi="Verdana" w:cs="Times New Roman"/>
          <w:sz w:val="20"/>
          <w:szCs w:val="20"/>
        </w:rPr>
      </w:pPr>
    </w:p>
    <w:p w:rsidR="000E223B" w:rsidRPr="00FB5C1D" w:rsidRDefault="000E223B" w:rsidP="000E223B">
      <w:pPr>
        <w:pStyle w:val="ListParagraph"/>
        <w:spacing w:line="360" w:lineRule="auto"/>
        <w:ind w:left="0"/>
        <w:jc w:val="both"/>
        <w:rPr>
          <w:rFonts w:ascii="Verdana" w:hAnsi="Verdana" w:cs="Times New Roman"/>
          <w:sz w:val="20"/>
          <w:szCs w:val="20"/>
        </w:rPr>
      </w:pPr>
    </w:p>
    <w:tbl>
      <w:tblPr>
        <w:tblStyle w:val="LightShading-Accent2"/>
        <w:tblpPr w:leftFromText="141" w:rightFromText="141" w:vertAnchor="page" w:horzAnchor="margin" w:tblpY="2296"/>
        <w:tblW w:w="9623" w:type="dxa"/>
        <w:tblLayout w:type="fixed"/>
        <w:tblLook w:val="04A0" w:firstRow="1" w:lastRow="0" w:firstColumn="1" w:lastColumn="0" w:noHBand="0" w:noVBand="1"/>
      </w:tblPr>
      <w:tblGrid>
        <w:gridCol w:w="3388"/>
        <w:gridCol w:w="1247"/>
        <w:gridCol w:w="13"/>
        <w:gridCol w:w="1094"/>
        <w:gridCol w:w="140"/>
        <w:gridCol w:w="1055"/>
        <w:gridCol w:w="192"/>
        <w:gridCol w:w="1078"/>
        <w:gridCol w:w="169"/>
        <w:gridCol w:w="1200"/>
        <w:gridCol w:w="47"/>
      </w:tblGrid>
      <w:tr w:rsidR="000E223B" w:rsidRPr="00B96519" w:rsidTr="001106BD">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388" w:type="dxa"/>
            <w:noWrap/>
            <w:hideMark/>
          </w:tcPr>
          <w:p w:rsidR="000E223B" w:rsidRPr="00B96519" w:rsidRDefault="000E223B" w:rsidP="001106BD">
            <w:pPr>
              <w:ind w:right="53"/>
              <w:jc w:val="both"/>
              <w:rPr>
                <w:rFonts w:ascii="Verdana" w:eastAsia="Times New Roman" w:hAnsi="Verdana" w:cs="Times New Roman"/>
                <w:bCs w:val="0"/>
                <w:sz w:val="16"/>
                <w:szCs w:val="16"/>
                <w:lang w:eastAsia="nl-BE"/>
              </w:rPr>
            </w:pPr>
            <w:r w:rsidRPr="00B96519">
              <w:rPr>
                <w:rFonts w:ascii="Verdana" w:eastAsia="Times New Roman" w:hAnsi="Verdana" w:cs="Times New Roman"/>
                <w:sz w:val="16"/>
                <w:szCs w:val="16"/>
                <w:lang w:eastAsia="nl-BE"/>
              </w:rPr>
              <w:lastRenderedPageBreak/>
              <w:t>Data governance processes</w:t>
            </w:r>
          </w:p>
        </w:tc>
        <w:tc>
          <w:tcPr>
            <w:tcW w:w="1247" w:type="dxa"/>
            <w:hideMark/>
          </w:tcPr>
          <w:p w:rsidR="000E223B" w:rsidRPr="00B96519" w:rsidRDefault="000E223B" w:rsidP="001106BD">
            <w:pPr>
              <w:ind w:right="53"/>
              <w:jc w:val="both"/>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bCs w:val="0"/>
                <w:sz w:val="16"/>
                <w:szCs w:val="16"/>
                <w:lang w:eastAsia="nl-BE"/>
              </w:rPr>
            </w:pPr>
            <w:r w:rsidRPr="00B96519">
              <w:rPr>
                <w:rFonts w:ascii="Verdana" w:eastAsia="Times New Roman" w:hAnsi="Verdana" w:cs="Times New Roman"/>
                <w:sz w:val="16"/>
                <w:szCs w:val="16"/>
                <w:lang w:eastAsia="nl-BE"/>
              </w:rPr>
              <w:t>Executive sponsor</w:t>
            </w:r>
          </w:p>
        </w:tc>
        <w:tc>
          <w:tcPr>
            <w:tcW w:w="1247" w:type="dxa"/>
            <w:gridSpan w:val="3"/>
            <w:hideMark/>
          </w:tcPr>
          <w:p w:rsidR="000E223B" w:rsidRPr="00B96519" w:rsidRDefault="000E223B" w:rsidP="001106BD">
            <w:pPr>
              <w:ind w:right="53"/>
              <w:jc w:val="both"/>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bCs w:val="0"/>
                <w:sz w:val="16"/>
                <w:szCs w:val="16"/>
                <w:lang w:eastAsia="nl-BE"/>
              </w:rPr>
            </w:pPr>
            <w:r w:rsidRPr="00B96519">
              <w:rPr>
                <w:rFonts w:ascii="Verdana" w:eastAsia="Times New Roman" w:hAnsi="Verdana" w:cs="Times New Roman"/>
                <w:sz w:val="16"/>
                <w:szCs w:val="16"/>
                <w:lang w:eastAsia="nl-BE"/>
              </w:rPr>
              <w:t>Data quality board</w:t>
            </w:r>
          </w:p>
        </w:tc>
        <w:tc>
          <w:tcPr>
            <w:tcW w:w="1247" w:type="dxa"/>
            <w:gridSpan w:val="2"/>
            <w:hideMark/>
          </w:tcPr>
          <w:p w:rsidR="000E223B" w:rsidRPr="00B96519" w:rsidRDefault="000E223B" w:rsidP="001106BD">
            <w:pPr>
              <w:ind w:right="53"/>
              <w:jc w:val="both"/>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bCs w:val="0"/>
                <w:sz w:val="16"/>
                <w:szCs w:val="16"/>
                <w:lang w:eastAsia="nl-BE"/>
              </w:rPr>
            </w:pPr>
            <w:r w:rsidRPr="00B96519">
              <w:rPr>
                <w:rFonts w:ascii="Verdana" w:eastAsia="Times New Roman" w:hAnsi="Verdana" w:cs="Times New Roman"/>
                <w:sz w:val="16"/>
                <w:szCs w:val="16"/>
                <w:lang w:eastAsia="nl-BE"/>
              </w:rPr>
              <w:t>Chief Data Steward</w:t>
            </w:r>
          </w:p>
        </w:tc>
        <w:tc>
          <w:tcPr>
            <w:tcW w:w="1247" w:type="dxa"/>
            <w:gridSpan w:val="2"/>
            <w:hideMark/>
          </w:tcPr>
          <w:p w:rsidR="000E223B" w:rsidRPr="00B96519" w:rsidRDefault="000E223B" w:rsidP="001106BD">
            <w:pPr>
              <w:ind w:right="53"/>
              <w:jc w:val="both"/>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bCs w:val="0"/>
                <w:sz w:val="16"/>
                <w:szCs w:val="16"/>
                <w:lang w:eastAsia="nl-BE"/>
              </w:rPr>
            </w:pPr>
            <w:r w:rsidRPr="00B96519">
              <w:rPr>
                <w:rFonts w:ascii="Verdana" w:eastAsia="Times New Roman" w:hAnsi="Verdana" w:cs="Times New Roman"/>
                <w:sz w:val="16"/>
                <w:szCs w:val="16"/>
                <w:lang w:eastAsia="nl-BE"/>
              </w:rPr>
              <w:t>Business Data Steward</w:t>
            </w:r>
          </w:p>
        </w:tc>
        <w:tc>
          <w:tcPr>
            <w:tcW w:w="1247" w:type="dxa"/>
            <w:gridSpan w:val="2"/>
            <w:hideMark/>
          </w:tcPr>
          <w:p w:rsidR="000E223B" w:rsidRPr="00B96519" w:rsidRDefault="000E223B" w:rsidP="001106BD">
            <w:pPr>
              <w:ind w:right="53"/>
              <w:jc w:val="both"/>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bCs w:val="0"/>
                <w:sz w:val="16"/>
                <w:szCs w:val="16"/>
                <w:lang w:eastAsia="nl-BE"/>
              </w:rPr>
            </w:pPr>
            <w:r w:rsidRPr="00B96519">
              <w:rPr>
                <w:rFonts w:ascii="Verdana" w:eastAsia="Times New Roman" w:hAnsi="Verdana" w:cs="Times New Roman"/>
                <w:sz w:val="16"/>
                <w:szCs w:val="16"/>
                <w:lang w:eastAsia="nl-BE"/>
              </w:rPr>
              <w:t>Technical Data Steward</w:t>
            </w:r>
          </w:p>
        </w:tc>
      </w:tr>
      <w:tr w:rsidR="000E223B" w:rsidRPr="00B96519" w:rsidTr="001106BD">
        <w:trPr>
          <w:gridAfter w:val="1"/>
          <w:cnfStyle w:val="000000100000" w:firstRow="0" w:lastRow="0" w:firstColumn="0" w:lastColumn="0" w:oddVBand="0" w:evenVBand="0" w:oddHBand="1" w:evenHBand="0" w:firstRowFirstColumn="0" w:firstRowLastColumn="0" w:lastRowFirstColumn="0" w:lastRowLastColumn="0"/>
          <w:wAfter w:w="47" w:type="dxa"/>
          <w:trHeight w:val="306"/>
        </w:trPr>
        <w:tc>
          <w:tcPr>
            <w:cnfStyle w:val="001000000000" w:firstRow="0" w:lastRow="0" w:firstColumn="1" w:lastColumn="0" w:oddVBand="0" w:evenVBand="0" w:oddHBand="0" w:evenHBand="0" w:firstRowFirstColumn="0" w:firstRowLastColumn="0" w:lastRowFirstColumn="0" w:lastRowLastColumn="0"/>
            <w:tcW w:w="3388" w:type="dxa"/>
            <w:noWrap/>
            <w:hideMark/>
          </w:tcPr>
          <w:p w:rsidR="000E223B" w:rsidRPr="00B96519" w:rsidRDefault="000E223B" w:rsidP="001106BD">
            <w:pPr>
              <w:jc w:val="both"/>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Roles, structures &amp; policies</w:t>
            </w:r>
          </w:p>
        </w:tc>
        <w:tc>
          <w:tcPr>
            <w:tcW w:w="1260" w:type="dxa"/>
            <w:gridSpan w:val="2"/>
            <w:noWrap/>
            <w:hideMark/>
          </w:tcPr>
          <w:p w:rsidR="000E223B" w:rsidRPr="00B96519"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A</w:t>
            </w:r>
          </w:p>
        </w:tc>
        <w:tc>
          <w:tcPr>
            <w:tcW w:w="1094" w:type="dxa"/>
            <w:noWrap/>
            <w:hideMark/>
          </w:tcPr>
          <w:p w:rsidR="000E223B" w:rsidRPr="00B96519"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R</w:t>
            </w:r>
          </w:p>
        </w:tc>
        <w:tc>
          <w:tcPr>
            <w:tcW w:w="1195" w:type="dxa"/>
            <w:gridSpan w:val="2"/>
            <w:noWrap/>
            <w:hideMark/>
          </w:tcPr>
          <w:p w:rsidR="000E223B" w:rsidRPr="00B96519"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R</w:t>
            </w:r>
          </w:p>
        </w:tc>
        <w:tc>
          <w:tcPr>
            <w:tcW w:w="1270" w:type="dxa"/>
            <w:gridSpan w:val="2"/>
            <w:noWrap/>
            <w:hideMark/>
          </w:tcPr>
          <w:p w:rsidR="000E223B" w:rsidRPr="00B96519"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R</w:t>
            </w:r>
          </w:p>
        </w:tc>
        <w:tc>
          <w:tcPr>
            <w:tcW w:w="1369" w:type="dxa"/>
            <w:gridSpan w:val="2"/>
            <w:noWrap/>
            <w:hideMark/>
          </w:tcPr>
          <w:p w:rsidR="000E223B" w:rsidRPr="00B96519"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R</w:t>
            </w:r>
          </w:p>
        </w:tc>
      </w:tr>
      <w:tr w:rsidR="000E223B" w:rsidRPr="00B96519" w:rsidTr="001106BD">
        <w:trPr>
          <w:gridAfter w:val="1"/>
          <w:wAfter w:w="47" w:type="dxa"/>
          <w:trHeight w:val="80"/>
        </w:trPr>
        <w:tc>
          <w:tcPr>
            <w:cnfStyle w:val="001000000000" w:firstRow="0" w:lastRow="0" w:firstColumn="1" w:lastColumn="0" w:oddVBand="0" w:evenVBand="0" w:oddHBand="0" w:evenHBand="0" w:firstRowFirstColumn="0" w:firstRowLastColumn="0" w:lastRowFirstColumn="0" w:lastRowLastColumn="0"/>
            <w:tcW w:w="3388" w:type="dxa"/>
            <w:noWrap/>
            <w:hideMark/>
          </w:tcPr>
          <w:p w:rsidR="000E223B" w:rsidRPr="00B96519" w:rsidRDefault="000E223B" w:rsidP="001106BD">
            <w:pPr>
              <w:jc w:val="both"/>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Data management</w:t>
            </w:r>
          </w:p>
        </w:tc>
        <w:tc>
          <w:tcPr>
            <w:tcW w:w="1260" w:type="dxa"/>
            <w:gridSpan w:val="2"/>
            <w:noWrap/>
            <w:hideMark/>
          </w:tcPr>
          <w:p w:rsidR="000E223B" w:rsidRPr="00B96519"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I</w:t>
            </w:r>
          </w:p>
        </w:tc>
        <w:tc>
          <w:tcPr>
            <w:tcW w:w="1094" w:type="dxa"/>
            <w:noWrap/>
            <w:hideMark/>
          </w:tcPr>
          <w:p w:rsidR="000E223B" w:rsidRPr="00B96519"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A</w:t>
            </w:r>
          </w:p>
        </w:tc>
        <w:tc>
          <w:tcPr>
            <w:tcW w:w="1195" w:type="dxa"/>
            <w:gridSpan w:val="2"/>
            <w:noWrap/>
            <w:hideMark/>
          </w:tcPr>
          <w:p w:rsidR="000E223B" w:rsidRPr="00B96519"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R</w:t>
            </w:r>
          </w:p>
        </w:tc>
        <w:tc>
          <w:tcPr>
            <w:tcW w:w="1270" w:type="dxa"/>
            <w:gridSpan w:val="2"/>
            <w:noWrap/>
            <w:hideMark/>
          </w:tcPr>
          <w:p w:rsidR="000E223B" w:rsidRPr="00B96519"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R</w:t>
            </w:r>
          </w:p>
        </w:tc>
        <w:tc>
          <w:tcPr>
            <w:tcW w:w="1369" w:type="dxa"/>
            <w:gridSpan w:val="2"/>
            <w:noWrap/>
            <w:hideMark/>
          </w:tcPr>
          <w:p w:rsidR="000E223B" w:rsidRPr="00B96519"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C</w:t>
            </w:r>
          </w:p>
        </w:tc>
      </w:tr>
      <w:tr w:rsidR="000E223B" w:rsidRPr="00B96519" w:rsidTr="001106BD">
        <w:trPr>
          <w:gridAfter w:val="1"/>
          <w:cnfStyle w:val="000000100000" w:firstRow="0" w:lastRow="0" w:firstColumn="0" w:lastColumn="0" w:oddVBand="0" w:evenVBand="0" w:oddHBand="1" w:evenHBand="0" w:firstRowFirstColumn="0" w:firstRowLastColumn="0" w:lastRowFirstColumn="0" w:lastRowLastColumn="0"/>
          <w:wAfter w:w="47" w:type="dxa"/>
          <w:trHeight w:val="306"/>
        </w:trPr>
        <w:tc>
          <w:tcPr>
            <w:cnfStyle w:val="001000000000" w:firstRow="0" w:lastRow="0" w:firstColumn="1" w:lastColumn="0" w:oddVBand="0" w:evenVBand="0" w:oddHBand="0" w:evenHBand="0" w:firstRowFirstColumn="0" w:firstRowLastColumn="0" w:lastRowFirstColumn="0" w:lastRowLastColumn="0"/>
            <w:tcW w:w="3388" w:type="dxa"/>
            <w:noWrap/>
            <w:hideMark/>
          </w:tcPr>
          <w:p w:rsidR="000E223B" w:rsidRPr="00B96519" w:rsidRDefault="000E223B" w:rsidP="001106BD">
            <w:pPr>
              <w:jc w:val="both"/>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Data quality management</w:t>
            </w:r>
          </w:p>
        </w:tc>
        <w:tc>
          <w:tcPr>
            <w:tcW w:w="1260" w:type="dxa"/>
            <w:gridSpan w:val="2"/>
            <w:noWrap/>
            <w:hideMark/>
          </w:tcPr>
          <w:p w:rsidR="000E223B" w:rsidRPr="00B96519"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I</w:t>
            </w:r>
          </w:p>
        </w:tc>
        <w:tc>
          <w:tcPr>
            <w:tcW w:w="1094" w:type="dxa"/>
            <w:noWrap/>
            <w:hideMark/>
          </w:tcPr>
          <w:p w:rsidR="000E223B" w:rsidRPr="00B96519"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A</w:t>
            </w:r>
          </w:p>
        </w:tc>
        <w:tc>
          <w:tcPr>
            <w:tcW w:w="1195" w:type="dxa"/>
            <w:gridSpan w:val="2"/>
            <w:noWrap/>
            <w:hideMark/>
          </w:tcPr>
          <w:p w:rsidR="000E223B" w:rsidRPr="00B96519"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R</w:t>
            </w:r>
          </w:p>
        </w:tc>
        <w:tc>
          <w:tcPr>
            <w:tcW w:w="1270" w:type="dxa"/>
            <w:gridSpan w:val="2"/>
            <w:noWrap/>
            <w:hideMark/>
          </w:tcPr>
          <w:p w:rsidR="000E223B" w:rsidRPr="00B96519"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R</w:t>
            </w:r>
          </w:p>
        </w:tc>
        <w:tc>
          <w:tcPr>
            <w:tcW w:w="1369" w:type="dxa"/>
            <w:gridSpan w:val="2"/>
            <w:noWrap/>
            <w:hideMark/>
          </w:tcPr>
          <w:p w:rsidR="000E223B" w:rsidRPr="00B96519"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C</w:t>
            </w:r>
          </w:p>
        </w:tc>
      </w:tr>
      <w:tr w:rsidR="000E223B" w:rsidRPr="00B96519" w:rsidTr="001106BD">
        <w:trPr>
          <w:gridAfter w:val="1"/>
          <w:wAfter w:w="47" w:type="dxa"/>
          <w:trHeight w:val="306"/>
        </w:trPr>
        <w:tc>
          <w:tcPr>
            <w:cnfStyle w:val="001000000000" w:firstRow="0" w:lastRow="0" w:firstColumn="1" w:lastColumn="0" w:oddVBand="0" w:evenVBand="0" w:oddHBand="0" w:evenHBand="0" w:firstRowFirstColumn="0" w:firstRowLastColumn="0" w:lastRowFirstColumn="0" w:lastRowLastColumn="0"/>
            <w:tcW w:w="3388" w:type="dxa"/>
            <w:noWrap/>
            <w:hideMark/>
          </w:tcPr>
          <w:p w:rsidR="000E223B" w:rsidRPr="00B96519" w:rsidRDefault="000E223B" w:rsidP="001106BD">
            <w:pPr>
              <w:jc w:val="both"/>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Metadata management</w:t>
            </w:r>
          </w:p>
        </w:tc>
        <w:tc>
          <w:tcPr>
            <w:tcW w:w="1260" w:type="dxa"/>
            <w:gridSpan w:val="2"/>
            <w:noWrap/>
            <w:hideMark/>
          </w:tcPr>
          <w:p w:rsidR="000E223B" w:rsidRPr="00B96519"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I</w:t>
            </w:r>
          </w:p>
        </w:tc>
        <w:tc>
          <w:tcPr>
            <w:tcW w:w="1094" w:type="dxa"/>
            <w:noWrap/>
            <w:hideMark/>
          </w:tcPr>
          <w:p w:rsidR="000E223B" w:rsidRPr="00B96519"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A</w:t>
            </w:r>
          </w:p>
        </w:tc>
        <w:tc>
          <w:tcPr>
            <w:tcW w:w="1195" w:type="dxa"/>
            <w:gridSpan w:val="2"/>
            <w:noWrap/>
            <w:hideMark/>
          </w:tcPr>
          <w:p w:rsidR="000E223B" w:rsidRPr="00B96519"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R</w:t>
            </w:r>
          </w:p>
        </w:tc>
        <w:tc>
          <w:tcPr>
            <w:tcW w:w="1270" w:type="dxa"/>
            <w:gridSpan w:val="2"/>
            <w:noWrap/>
            <w:hideMark/>
          </w:tcPr>
          <w:p w:rsidR="000E223B" w:rsidRPr="00B96519"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C</w:t>
            </w:r>
          </w:p>
        </w:tc>
        <w:tc>
          <w:tcPr>
            <w:tcW w:w="1369" w:type="dxa"/>
            <w:gridSpan w:val="2"/>
            <w:noWrap/>
            <w:hideMark/>
          </w:tcPr>
          <w:p w:rsidR="000E223B" w:rsidRPr="00B96519"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R</w:t>
            </w:r>
          </w:p>
        </w:tc>
      </w:tr>
      <w:tr w:rsidR="000E223B" w:rsidRPr="00B96519" w:rsidTr="001106BD">
        <w:trPr>
          <w:gridAfter w:val="1"/>
          <w:cnfStyle w:val="000000100000" w:firstRow="0" w:lastRow="0" w:firstColumn="0" w:lastColumn="0" w:oddVBand="0" w:evenVBand="0" w:oddHBand="1" w:evenHBand="0" w:firstRowFirstColumn="0" w:firstRowLastColumn="0" w:lastRowFirstColumn="0" w:lastRowLastColumn="0"/>
          <w:wAfter w:w="47" w:type="dxa"/>
          <w:trHeight w:val="306"/>
        </w:trPr>
        <w:tc>
          <w:tcPr>
            <w:cnfStyle w:val="001000000000" w:firstRow="0" w:lastRow="0" w:firstColumn="1" w:lastColumn="0" w:oddVBand="0" w:evenVBand="0" w:oddHBand="0" w:evenHBand="0" w:firstRowFirstColumn="0" w:firstRowLastColumn="0" w:lastRowFirstColumn="0" w:lastRowLastColumn="0"/>
            <w:tcW w:w="3388" w:type="dxa"/>
            <w:noWrap/>
            <w:hideMark/>
          </w:tcPr>
          <w:p w:rsidR="000E223B" w:rsidRPr="00B96519" w:rsidRDefault="000E223B" w:rsidP="001106BD">
            <w:pPr>
              <w:jc w:val="both"/>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Master data management</w:t>
            </w:r>
          </w:p>
        </w:tc>
        <w:tc>
          <w:tcPr>
            <w:tcW w:w="1260" w:type="dxa"/>
            <w:gridSpan w:val="2"/>
            <w:noWrap/>
            <w:hideMark/>
          </w:tcPr>
          <w:p w:rsidR="000E223B" w:rsidRPr="00B96519"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I</w:t>
            </w:r>
          </w:p>
        </w:tc>
        <w:tc>
          <w:tcPr>
            <w:tcW w:w="1094" w:type="dxa"/>
            <w:noWrap/>
            <w:hideMark/>
          </w:tcPr>
          <w:p w:rsidR="000E223B" w:rsidRPr="00B96519"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A</w:t>
            </w:r>
          </w:p>
        </w:tc>
        <w:tc>
          <w:tcPr>
            <w:tcW w:w="1195" w:type="dxa"/>
            <w:gridSpan w:val="2"/>
            <w:noWrap/>
            <w:hideMark/>
          </w:tcPr>
          <w:p w:rsidR="000E223B" w:rsidRPr="00B96519"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R</w:t>
            </w:r>
          </w:p>
        </w:tc>
        <w:tc>
          <w:tcPr>
            <w:tcW w:w="1270" w:type="dxa"/>
            <w:gridSpan w:val="2"/>
            <w:noWrap/>
            <w:hideMark/>
          </w:tcPr>
          <w:p w:rsidR="000E223B" w:rsidRPr="00B96519"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C</w:t>
            </w:r>
          </w:p>
        </w:tc>
        <w:tc>
          <w:tcPr>
            <w:tcW w:w="1369" w:type="dxa"/>
            <w:gridSpan w:val="2"/>
            <w:noWrap/>
            <w:hideMark/>
          </w:tcPr>
          <w:p w:rsidR="000E223B" w:rsidRPr="00B96519"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R</w:t>
            </w:r>
          </w:p>
        </w:tc>
      </w:tr>
      <w:tr w:rsidR="000E223B" w:rsidRPr="00B96519" w:rsidTr="001106BD">
        <w:trPr>
          <w:gridAfter w:val="1"/>
          <w:wAfter w:w="47" w:type="dxa"/>
          <w:trHeight w:val="306"/>
        </w:trPr>
        <w:tc>
          <w:tcPr>
            <w:cnfStyle w:val="001000000000" w:firstRow="0" w:lastRow="0" w:firstColumn="1" w:lastColumn="0" w:oddVBand="0" w:evenVBand="0" w:oddHBand="0" w:evenHBand="0" w:firstRowFirstColumn="0" w:firstRowLastColumn="0" w:lastRowFirstColumn="0" w:lastRowLastColumn="0"/>
            <w:tcW w:w="3388" w:type="dxa"/>
            <w:noWrap/>
            <w:hideMark/>
          </w:tcPr>
          <w:p w:rsidR="000E223B" w:rsidRPr="00B96519" w:rsidRDefault="000E223B" w:rsidP="001106BD">
            <w:pPr>
              <w:jc w:val="both"/>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Data architecture</w:t>
            </w:r>
          </w:p>
        </w:tc>
        <w:tc>
          <w:tcPr>
            <w:tcW w:w="1260" w:type="dxa"/>
            <w:gridSpan w:val="2"/>
            <w:noWrap/>
            <w:hideMark/>
          </w:tcPr>
          <w:p w:rsidR="000E223B" w:rsidRPr="00B96519"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I</w:t>
            </w:r>
          </w:p>
        </w:tc>
        <w:tc>
          <w:tcPr>
            <w:tcW w:w="1094" w:type="dxa"/>
            <w:noWrap/>
            <w:hideMark/>
          </w:tcPr>
          <w:p w:rsidR="000E223B" w:rsidRPr="00B96519"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A</w:t>
            </w:r>
          </w:p>
        </w:tc>
        <w:tc>
          <w:tcPr>
            <w:tcW w:w="1195" w:type="dxa"/>
            <w:gridSpan w:val="2"/>
            <w:noWrap/>
            <w:hideMark/>
          </w:tcPr>
          <w:p w:rsidR="000E223B" w:rsidRPr="00B96519"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R</w:t>
            </w:r>
          </w:p>
        </w:tc>
        <w:tc>
          <w:tcPr>
            <w:tcW w:w="1270" w:type="dxa"/>
            <w:gridSpan w:val="2"/>
            <w:noWrap/>
            <w:hideMark/>
          </w:tcPr>
          <w:p w:rsidR="000E223B" w:rsidRPr="00B96519"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R</w:t>
            </w:r>
          </w:p>
        </w:tc>
        <w:tc>
          <w:tcPr>
            <w:tcW w:w="1369" w:type="dxa"/>
            <w:gridSpan w:val="2"/>
            <w:noWrap/>
            <w:hideMark/>
          </w:tcPr>
          <w:p w:rsidR="000E223B" w:rsidRPr="00B96519"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C</w:t>
            </w:r>
          </w:p>
        </w:tc>
      </w:tr>
      <w:tr w:rsidR="000E223B" w:rsidRPr="00B96519" w:rsidTr="001106BD">
        <w:trPr>
          <w:gridAfter w:val="1"/>
          <w:cnfStyle w:val="000000100000" w:firstRow="0" w:lastRow="0" w:firstColumn="0" w:lastColumn="0" w:oddVBand="0" w:evenVBand="0" w:oddHBand="1" w:evenHBand="0" w:firstRowFirstColumn="0" w:firstRowLastColumn="0" w:lastRowFirstColumn="0" w:lastRowLastColumn="0"/>
          <w:wAfter w:w="47" w:type="dxa"/>
          <w:trHeight w:val="306"/>
        </w:trPr>
        <w:tc>
          <w:tcPr>
            <w:cnfStyle w:val="001000000000" w:firstRow="0" w:lastRow="0" w:firstColumn="1" w:lastColumn="0" w:oddVBand="0" w:evenVBand="0" w:oddHBand="0" w:evenHBand="0" w:firstRowFirstColumn="0" w:firstRowLastColumn="0" w:lastRowFirstColumn="0" w:lastRowLastColumn="0"/>
            <w:tcW w:w="3388" w:type="dxa"/>
            <w:noWrap/>
            <w:hideMark/>
          </w:tcPr>
          <w:p w:rsidR="000E223B" w:rsidRPr="00B96519" w:rsidRDefault="000E223B" w:rsidP="001106BD">
            <w:pPr>
              <w:jc w:val="both"/>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Technology</w:t>
            </w:r>
          </w:p>
        </w:tc>
        <w:tc>
          <w:tcPr>
            <w:tcW w:w="1260" w:type="dxa"/>
            <w:gridSpan w:val="2"/>
            <w:noWrap/>
            <w:hideMark/>
          </w:tcPr>
          <w:p w:rsidR="000E223B" w:rsidRPr="00B96519"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I</w:t>
            </w:r>
          </w:p>
        </w:tc>
        <w:tc>
          <w:tcPr>
            <w:tcW w:w="1094" w:type="dxa"/>
            <w:noWrap/>
            <w:hideMark/>
          </w:tcPr>
          <w:p w:rsidR="000E223B" w:rsidRPr="00B96519"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A</w:t>
            </w:r>
          </w:p>
        </w:tc>
        <w:tc>
          <w:tcPr>
            <w:tcW w:w="1195" w:type="dxa"/>
            <w:gridSpan w:val="2"/>
            <w:noWrap/>
            <w:hideMark/>
          </w:tcPr>
          <w:p w:rsidR="000E223B" w:rsidRPr="00B96519"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R</w:t>
            </w:r>
          </w:p>
        </w:tc>
        <w:tc>
          <w:tcPr>
            <w:tcW w:w="1270" w:type="dxa"/>
            <w:gridSpan w:val="2"/>
            <w:noWrap/>
            <w:hideMark/>
          </w:tcPr>
          <w:p w:rsidR="000E223B" w:rsidRPr="00B96519"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C</w:t>
            </w:r>
          </w:p>
        </w:tc>
        <w:tc>
          <w:tcPr>
            <w:tcW w:w="1369" w:type="dxa"/>
            <w:gridSpan w:val="2"/>
            <w:noWrap/>
            <w:hideMark/>
          </w:tcPr>
          <w:p w:rsidR="000E223B" w:rsidRPr="00B96519"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R</w:t>
            </w:r>
          </w:p>
        </w:tc>
      </w:tr>
      <w:tr w:rsidR="000E223B" w:rsidRPr="00B96519" w:rsidTr="001106BD">
        <w:trPr>
          <w:gridAfter w:val="1"/>
          <w:wAfter w:w="47" w:type="dxa"/>
          <w:trHeight w:val="306"/>
        </w:trPr>
        <w:tc>
          <w:tcPr>
            <w:cnfStyle w:val="001000000000" w:firstRow="0" w:lastRow="0" w:firstColumn="1" w:lastColumn="0" w:oddVBand="0" w:evenVBand="0" w:oddHBand="0" w:evenHBand="0" w:firstRowFirstColumn="0" w:firstRowLastColumn="0" w:lastRowFirstColumn="0" w:lastRowLastColumn="0"/>
            <w:tcW w:w="3388" w:type="dxa"/>
            <w:noWrap/>
            <w:hideMark/>
          </w:tcPr>
          <w:p w:rsidR="000E223B" w:rsidRPr="00B96519" w:rsidRDefault="000E223B" w:rsidP="001106BD">
            <w:pPr>
              <w:jc w:val="both"/>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Security &amp; privacy</w:t>
            </w:r>
          </w:p>
        </w:tc>
        <w:tc>
          <w:tcPr>
            <w:tcW w:w="1260" w:type="dxa"/>
            <w:gridSpan w:val="2"/>
            <w:noWrap/>
            <w:hideMark/>
          </w:tcPr>
          <w:p w:rsidR="000E223B" w:rsidRPr="00B96519"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I</w:t>
            </w:r>
          </w:p>
        </w:tc>
        <w:tc>
          <w:tcPr>
            <w:tcW w:w="1094" w:type="dxa"/>
            <w:noWrap/>
            <w:hideMark/>
          </w:tcPr>
          <w:p w:rsidR="000E223B" w:rsidRPr="00B96519"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A</w:t>
            </w:r>
          </w:p>
        </w:tc>
        <w:tc>
          <w:tcPr>
            <w:tcW w:w="1195" w:type="dxa"/>
            <w:gridSpan w:val="2"/>
            <w:noWrap/>
            <w:hideMark/>
          </w:tcPr>
          <w:p w:rsidR="000E223B" w:rsidRPr="00B96519"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R</w:t>
            </w:r>
          </w:p>
        </w:tc>
        <w:tc>
          <w:tcPr>
            <w:tcW w:w="1270" w:type="dxa"/>
            <w:gridSpan w:val="2"/>
            <w:noWrap/>
            <w:hideMark/>
          </w:tcPr>
          <w:p w:rsidR="000E223B" w:rsidRPr="00B96519"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R</w:t>
            </w:r>
          </w:p>
        </w:tc>
        <w:tc>
          <w:tcPr>
            <w:tcW w:w="1369" w:type="dxa"/>
            <w:gridSpan w:val="2"/>
            <w:noWrap/>
            <w:hideMark/>
          </w:tcPr>
          <w:p w:rsidR="000E223B" w:rsidRPr="00B96519"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R</w:t>
            </w:r>
          </w:p>
        </w:tc>
      </w:tr>
      <w:tr w:rsidR="000E223B" w:rsidRPr="00B96519" w:rsidTr="001106BD">
        <w:trPr>
          <w:gridAfter w:val="1"/>
          <w:cnfStyle w:val="000000100000" w:firstRow="0" w:lastRow="0" w:firstColumn="0" w:lastColumn="0" w:oddVBand="0" w:evenVBand="0" w:oddHBand="1" w:evenHBand="0" w:firstRowFirstColumn="0" w:firstRowLastColumn="0" w:lastRowFirstColumn="0" w:lastRowLastColumn="0"/>
          <w:wAfter w:w="47" w:type="dxa"/>
          <w:trHeight w:val="306"/>
        </w:trPr>
        <w:tc>
          <w:tcPr>
            <w:cnfStyle w:val="001000000000" w:firstRow="0" w:lastRow="0" w:firstColumn="1" w:lastColumn="0" w:oddVBand="0" w:evenVBand="0" w:oddHBand="0" w:evenHBand="0" w:firstRowFirstColumn="0" w:firstRowLastColumn="0" w:lastRowFirstColumn="0" w:lastRowLastColumn="0"/>
            <w:tcW w:w="3388" w:type="dxa"/>
            <w:noWrap/>
            <w:hideMark/>
          </w:tcPr>
          <w:p w:rsidR="000E223B" w:rsidRPr="00B96519" w:rsidRDefault="000E223B" w:rsidP="001106BD">
            <w:pPr>
              <w:jc w:val="both"/>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Metrics development and monitoring</w:t>
            </w:r>
          </w:p>
        </w:tc>
        <w:tc>
          <w:tcPr>
            <w:tcW w:w="1260" w:type="dxa"/>
            <w:gridSpan w:val="2"/>
            <w:noWrap/>
            <w:hideMark/>
          </w:tcPr>
          <w:p w:rsidR="000E223B" w:rsidRPr="00B96519"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A</w:t>
            </w:r>
          </w:p>
        </w:tc>
        <w:tc>
          <w:tcPr>
            <w:tcW w:w="1094" w:type="dxa"/>
            <w:noWrap/>
            <w:hideMark/>
          </w:tcPr>
          <w:p w:rsidR="000E223B" w:rsidRPr="00B96519"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R</w:t>
            </w:r>
          </w:p>
        </w:tc>
        <w:tc>
          <w:tcPr>
            <w:tcW w:w="1195" w:type="dxa"/>
            <w:gridSpan w:val="2"/>
            <w:noWrap/>
            <w:hideMark/>
          </w:tcPr>
          <w:p w:rsidR="000E223B" w:rsidRPr="00B96519"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R</w:t>
            </w:r>
          </w:p>
        </w:tc>
        <w:tc>
          <w:tcPr>
            <w:tcW w:w="1270" w:type="dxa"/>
            <w:gridSpan w:val="2"/>
            <w:noWrap/>
            <w:hideMark/>
          </w:tcPr>
          <w:p w:rsidR="000E223B" w:rsidRPr="00B96519"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I</w:t>
            </w:r>
          </w:p>
        </w:tc>
        <w:tc>
          <w:tcPr>
            <w:tcW w:w="1369" w:type="dxa"/>
            <w:gridSpan w:val="2"/>
            <w:noWrap/>
            <w:hideMark/>
          </w:tcPr>
          <w:p w:rsidR="000E223B" w:rsidRPr="00B96519"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B96519">
              <w:rPr>
                <w:rFonts w:ascii="Verdana" w:eastAsia="Times New Roman" w:hAnsi="Verdana" w:cs="Times New Roman"/>
                <w:sz w:val="16"/>
                <w:szCs w:val="16"/>
                <w:lang w:eastAsia="nl-BE"/>
              </w:rPr>
              <w:t>I</w:t>
            </w:r>
          </w:p>
        </w:tc>
      </w:tr>
    </w:tbl>
    <w:p w:rsidR="000E223B" w:rsidRDefault="000E223B" w:rsidP="000E223B">
      <w:pPr>
        <w:pStyle w:val="ListParagraph"/>
        <w:spacing w:line="360" w:lineRule="auto"/>
        <w:ind w:left="0"/>
        <w:jc w:val="both"/>
        <w:rPr>
          <w:rFonts w:ascii="Verdana" w:hAnsi="Verdana" w:cs="Times New Roman"/>
          <w:sz w:val="20"/>
          <w:szCs w:val="20"/>
        </w:rPr>
      </w:pPr>
    </w:p>
    <w:p w:rsidR="000E223B" w:rsidRDefault="000E223B" w:rsidP="000E223B">
      <w:pPr>
        <w:pStyle w:val="ListParagraph"/>
        <w:spacing w:line="360" w:lineRule="auto"/>
        <w:ind w:left="0"/>
        <w:jc w:val="both"/>
        <w:rPr>
          <w:rFonts w:ascii="Verdana" w:hAnsi="Verdana" w:cs="Times New Roman"/>
          <w:sz w:val="20"/>
          <w:szCs w:val="20"/>
        </w:rPr>
      </w:pPr>
    </w:p>
    <w:p w:rsidR="000E223B" w:rsidRPr="00753959" w:rsidRDefault="000E223B" w:rsidP="000E223B">
      <w:pPr>
        <w:pStyle w:val="ListParagraph"/>
        <w:spacing w:line="360" w:lineRule="auto"/>
        <w:ind w:left="0"/>
        <w:jc w:val="center"/>
        <w:rPr>
          <w:rFonts w:ascii="Verdana" w:hAnsi="Verdana" w:cs="Times New Roman"/>
          <w:sz w:val="18"/>
          <w:szCs w:val="18"/>
        </w:rPr>
      </w:pPr>
      <w:r w:rsidRPr="00753959">
        <w:rPr>
          <w:rFonts w:ascii="Verdana" w:hAnsi="Verdana" w:cs="Times New Roman"/>
          <w:sz w:val="18"/>
          <w:szCs w:val="18"/>
        </w:rPr>
        <w:t>Table 4.4 RACI matrix for our data governance model</w:t>
      </w:r>
    </w:p>
    <w:p w:rsidR="000E223B" w:rsidRDefault="000E223B" w:rsidP="000E223B">
      <w:pPr>
        <w:pStyle w:val="ListParagraph"/>
        <w:spacing w:line="360" w:lineRule="auto"/>
        <w:ind w:left="0"/>
        <w:jc w:val="both"/>
        <w:rPr>
          <w:rFonts w:ascii="Verdana" w:hAnsi="Verdana" w:cs="Times New Roman"/>
          <w:sz w:val="20"/>
          <w:szCs w:val="20"/>
        </w:rPr>
      </w:pP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In this sense, the data quality board should not be confounded with data quality management activities. As described by Otto (2011), the data quality board is responsible for the data governance framework as a whole across the enterprise. It is not then surprising to see that in the responsibilities assignment, the board is accountable for all decisions regarding the management and use of data across the enterprise while the Chief Data Steward, in its role of supervising both business and technical data stewards, is responsible for implementation of data management strategies and processes across the enterprise. Based on the distinction between business and technical data stewards, activities regarding data modelling or quality, metadata as well as technology and security related issues are more likely to fall under the responsibility of the technical data steward while issues regarding general data management or stewardship are implemented</w:t>
      </w:r>
      <w:r>
        <w:rPr>
          <w:rFonts w:ascii="Verdana" w:hAnsi="Verdana" w:cs="Times New Roman"/>
          <w:sz w:val="20"/>
          <w:szCs w:val="20"/>
        </w:rPr>
        <w:t xml:space="preserve"> by the business data steward.</w:t>
      </w:r>
    </w:p>
    <w:p w:rsidR="000E223B" w:rsidRPr="000E223B" w:rsidRDefault="000E223B" w:rsidP="000E223B">
      <w:pPr>
        <w:pStyle w:val="Heading1"/>
        <w:spacing w:line="360" w:lineRule="auto"/>
        <w:jc w:val="both"/>
        <w:rPr>
          <w:rStyle w:val="Strong"/>
          <w:rFonts w:ascii="Verdana" w:hAnsi="Verdana" w:cs="Times New Roman"/>
          <w:b/>
          <w:bCs/>
          <w:sz w:val="20"/>
          <w:szCs w:val="20"/>
          <w:lang w:val="en-US"/>
        </w:rPr>
      </w:pPr>
      <w:bookmarkStart w:id="81" w:name="_Toc423597541"/>
      <w:r w:rsidRPr="000E223B">
        <w:rPr>
          <w:rStyle w:val="Strong"/>
          <w:rFonts w:ascii="Verdana" w:hAnsi="Verdana" w:cs="Times New Roman"/>
          <w:b/>
          <w:bCs/>
          <w:sz w:val="20"/>
          <w:szCs w:val="20"/>
          <w:lang w:val="en-US"/>
        </w:rPr>
        <w:t>4.6 Chapter conclusions</w:t>
      </w:r>
      <w:bookmarkEnd w:id="81"/>
      <w:r w:rsidRPr="000E223B">
        <w:rPr>
          <w:rStyle w:val="Strong"/>
          <w:rFonts w:ascii="Verdana" w:hAnsi="Verdana" w:cs="Times New Roman"/>
          <w:b/>
          <w:bCs/>
          <w:sz w:val="20"/>
          <w:szCs w:val="20"/>
          <w:lang w:val="en-US"/>
        </w:rPr>
        <w:t xml:space="preserve"> </w:t>
      </w: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We have showed that data governance strategies are mainly designed using a handful of concepts and theories which help in shaping governance related areas and processes. Presenting these concepts is useful in understanding what data governance actually “sells”: data is considered as an essential asset in an organization and governance takes care that this asset is maximized, valued and used as such. This simplistic definition only resumes, of course, as we have seen, decisions on a large palette of potential policies, practices and decision-making structures. </w:t>
      </w: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While the data governance model we have showed in this chapter encompasses all potential elements and components such a program should cover, it is important, as with all enterprise-wide policies and practices, to focus first on elements which complement </w:t>
      </w:r>
      <w:r w:rsidRPr="00FB5C1D">
        <w:rPr>
          <w:rFonts w:ascii="Verdana" w:hAnsi="Verdana" w:cs="Times New Roman"/>
          <w:sz w:val="20"/>
          <w:szCs w:val="20"/>
        </w:rPr>
        <w:lastRenderedPageBreak/>
        <w:t xml:space="preserve">the objectives and goals already in place in an attempt to maximize both short and long term strategies. Such a model is built step-by-step with emphasis on its most relevant components as specified by what a company/department/business unit is set to achieve. The model is complex for a  complex environment but it can be tailored to smaller projects as well by prioritizing only some parts of it. </w:t>
      </w: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This chapter also showed the importance of having well-built and defined governance roles and responsibilities to ensure for success and industrialization of governance practices cross-enterprise. We recommend however that these responsibilities and accountabilities are defined by following the model and not the other way around. Also, each role should be mapped to each process (or a grouping of processes) in order to ensure for accountability and performance measurement. </w:t>
      </w: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Building upon this model, in the following chapters, we will  show how new concepts and technologies can be integrated in existing governance strategies by changing the underlying assumptions and fitting them in the prevailing structures. </w:t>
      </w:r>
    </w:p>
    <w:p w:rsidR="00820B38" w:rsidRDefault="00820B38" w:rsidP="000E223B">
      <w:pPr>
        <w:pStyle w:val="ListParagraph"/>
        <w:spacing w:line="360" w:lineRule="auto"/>
        <w:ind w:left="0"/>
        <w:jc w:val="both"/>
        <w:rPr>
          <w:rFonts w:ascii="Verdana" w:hAnsi="Verdana" w:cs="Times New Roman"/>
          <w:sz w:val="20"/>
          <w:szCs w:val="20"/>
        </w:rPr>
        <w:sectPr w:rsidR="00820B38" w:rsidSect="00820B38">
          <w:type w:val="oddPage"/>
          <w:pgSz w:w="11906" w:h="16838"/>
          <w:pgMar w:top="1440" w:right="1440" w:bottom="1440" w:left="1440" w:header="708" w:footer="708" w:gutter="0"/>
          <w:cols w:space="708"/>
          <w:docGrid w:linePitch="360"/>
        </w:sectPr>
      </w:pPr>
    </w:p>
    <w:p w:rsidR="000E223B" w:rsidRPr="00FB5C1D" w:rsidRDefault="000E223B" w:rsidP="000E223B">
      <w:pPr>
        <w:pStyle w:val="ListParagraph"/>
        <w:spacing w:line="360" w:lineRule="auto"/>
        <w:ind w:left="0"/>
        <w:jc w:val="both"/>
        <w:rPr>
          <w:rFonts w:ascii="Verdana" w:hAnsi="Verdana" w:cs="Times New Roman"/>
          <w:sz w:val="20"/>
          <w:szCs w:val="20"/>
        </w:rPr>
      </w:pPr>
    </w:p>
    <w:p w:rsidR="000E223B" w:rsidRPr="000E223B" w:rsidRDefault="000E223B" w:rsidP="000E223B">
      <w:pPr>
        <w:pStyle w:val="Heading1"/>
        <w:rPr>
          <w:rFonts w:ascii="Verdana" w:hAnsi="Verdana"/>
          <w:sz w:val="20"/>
          <w:szCs w:val="20"/>
          <w:lang w:val="en-US"/>
        </w:rPr>
      </w:pPr>
      <w:bookmarkStart w:id="82" w:name="_Toc423597542"/>
      <w:r w:rsidRPr="000E223B">
        <w:rPr>
          <w:rFonts w:ascii="Verdana" w:hAnsi="Verdana"/>
          <w:sz w:val="20"/>
          <w:szCs w:val="20"/>
          <w:lang w:val="en-US"/>
        </w:rPr>
        <w:t>5. INTRODUCTION TO BIG DATA</w:t>
      </w:r>
      <w:bookmarkEnd w:id="82"/>
    </w:p>
    <w:p w:rsidR="000E223B" w:rsidRPr="000E223B" w:rsidRDefault="000E223B" w:rsidP="000E223B">
      <w:pPr>
        <w:pStyle w:val="Heading1"/>
        <w:spacing w:line="360" w:lineRule="auto"/>
        <w:jc w:val="both"/>
        <w:rPr>
          <w:rFonts w:ascii="Verdana" w:hAnsi="Verdana" w:cs="Times New Roman"/>
          <w:sz w:val="20"/>
          <w:szCs w:val="20"/>
          <w:lang w:val="en-US"/>
        </w:rPr>
      </w:pPr>
      <w:bookmarkStart w:id="83" w:name="_Toc423597543"/>
      <w:r w:rsidRPr="000E223B">
        <w:rPr>
          <w:rFonts w:ascii="Verdana" w:hAnsi="Verdana" w:cs="Times New Roman"/>
          <w:sz w:val="20"/>
          <w:szCs w:val="20"/>
          <w:lang w:val="en-US"/>
        </w:rPr>
        <w:t>5.1 About this chapter</w:t>
      </w:r>
      <w:bookmarkEnd w:id="83"/>
    </w:p>
    <w:p w:rsidR="000E223B" w:rsidRPr="000E223B" w:rsidRDefault="000E223B" w:rsidP="000E223B">
      <w:pPr>
        <w:spacing w:line="360" w:lineRule="auto"/>
        <w:jc w:val="both"/>
        <w:rPr>
          <w:rFonts w:ascii="Verdana" w:hAnsi="Verdana" w:cs="Times New Roman"/>
          <w:i/>
          <w:sz w:val="20"/>
          <w:szCs w:val="20"/>
          <w:lang w:val="en-US"/>
        </w:rPr>
      </w:pPr>
      <w:r w:rsidRPr="000E223B">
        <w:rPr>
          <w:rFonts w:ascii="Verdana" w:hAnsi="Verdana" w:cs="Times New Roman"/>
          <w:i/>
          <w:sz w:val="20"/>
          <w:szCs w:val="20"/>
          <w:lang w:val="en-US"/>
        </w:rPr>
        <w:t xml:space="preserve">Big data is indisputably one of the emerging trends regarding novel and innovative ways of utilizing data for generating more insightful decisions, increasing margins or driving operational efficiency. The complexities behind the ever growing, multifaceted data sets come in terms of new data sources and data types which need to be integrated in the actual landscape of an organization before one can “harvest” the perceived associated benefits. Defining such a new concept is challenging because big data refers to various data dimensions such as volume, variety, velocity and value. It also points to new topics and themes such as distributed processing or advanced analytics algorithms which are best explained in comparison to the current state of technology and infrastructure. Big data raises new questions as to what must we pay attention to when incorporating such new elements to our present-day systems and how these practices can be leveraged without complete disruptions in the daily usage. Thoroughly explaining what big data entails from origins and definitions to points of concern allows to build a logic understanding of its proportions before moving it into production.  </w:t>
      </w:r>
    </w:p>
    <w:p w:rsidR="000E223B" w:rsidRPr="000E223B" w:rsidRDefault="000E223B" w:rsidP="000E223B">
      <w:pPr>
        <w:spacing w:line="360" w:lineRule="auto"/>
        <w:jc w:val="both"/>
        <w:rPr>
          <w:rFonts w:ascii="Verdana" w:hAnsi="Verdana" w:cs="Times New Roman"/>
          <w:i/>
          <w:sz w:val="20"/>
          <w:szCs w:val="20"/>
          <w:lang w:val="en-US"/>
        </w:rPr>
      </w:pPr>
    </w:p>
    <w:p w:rsidR="000E223B" w:rsidRPr="000E223B" w:rsidRDefault="000E223B" w:rsidP="000E223B">
      <w:pPr>
        <w:pStyle w:val="Heading1"/>
        <w:spacing w:line="360" w:lineRule="auto"/>
        <w:jc w:val="both"/>
        <w:rPr>
          <w:rFonts w:ascii="Verdana" w:hAnsi="Verdana" w:cs="Times New Roman"/>
          <w:sz w:val="20"/>
          <w:szCs w:val="20"/>
          <w:lang w:val="en-US"/>
        </w:rPr>
      </w:pPr>
      <w:bookmarkStart w:id="84" w:name="_Toc423597544"/>
      <w:r w:rsidRPr="000E223B">
        <w:rPr>
          <w:rFonts w:ascii="Verdana" w:hAnsi="Verdana" w:cs="Times New Roman"/>
          <w:sz w:val="20"/>
          <w:szCs w:val="20"/>
          <w:lang w:val="en-US"/>
        </w:rPr>
        <w:t>5.2 Big Data : Definition and Dimensions</w:t>
      </w:r>
      <w:bookmarkEnd w:id="84"/>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This chapter introduces the reader to the definitions and dimensions of big data. </w:t>
      </w:r>
    </w:p>
    <w:p w:rsidR="000E223B" w:rsidRPr="00FB5C1D" w:rsidRDefault="000E223B" w:rsidP="000E223B">
      <w:pPr>
        <w:pStyle w:val="Heading2"/>
        <w:spacing w:line="360" w:lineRule="auto"/>
        <w:jc w:val="both"/>
        <w:rPr>
          <w:rFonts w:ascii="Verdana" w:hAnsi="Verdana" w:cs="Times New Roman"/>
          <w:sz w:val="20"/>
          <w:szCs w:val="20"/>
        </w:rPr>
      </w:pPr>
      <w:bookmarkStart w:id="85" w:name="_Toc423597545"/>
      <w:r w:rsidRPr="00FB5C1D">
        <w:rPr>
          <w:rFonts w:ascii="Verdana" w:hAnsi="Verdana" w:cs="Times New Roman"/>
          <w:sz w:val="20"/>
          <w:szCs w:val="20"/>
        </w:rPr>
        <w:t>5.2.1 Defining Big Data</w:t>
      </w:r>
      <w:bookmarkEnd w:id="85"/>
      <w:r w:rsidRPr="00FB5C1D">
        <w:rPr>
          <w:rFonts w:ascii="Verdana" w:hAnsi="Verdana" w:cs="Times New Roman"/>
          <w:sz w:val="20"/>
          <w:szCs w:val="20"/>
        </w:rPr>
        <w:t xml:space="preserve"> </w:t>
      </w: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Trying to define big data is a challenge in the academia world as a consensus on what the concept in its entirety should mean or stand for has not (yet) been reached. Zhang, Chen and Li (2013) do not categorize it as a new concept but rather as a new “</w:t>
      </w:r>
      <w:r w:rsidRPr="00FB5C1D">
        <w:rPr>
          <w:rFonts w:ascii="Verdana" w:hAnsi="Verdana" w:cs="Times New Roman"/>
          <w:i/>
          <w:sz w:val="20"/>
          <w:szCs w:val="20"/>
        </w:rPr>
        <w:t>dynamic trend</w:t>
      </w:r>
      <w:r w:rsidRPr="00FB5C1D">
        <w:rPr>
          <w:rFonts w:ascii="Verdana" w:hAnsi="Verdana" w:cs="Times New Roman"/>
          <w:sz w:val="20"/>
          <w:szCs w:val="20"/>
        </w:rPr>
        <w:t>”.  This difficulty stems for multiple reasons and most authors, while not agreeing on a definition, do agree on the multiple reasons for which a definition is momentarily lacking.</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Hansmann and Niemeyer (2014) conducted a study in which they tried to both define the big data concept and characterize its dimensions based on the topics tackled by a number of articles and references on the subject. They noted that while big data has gained more and more in publication popularity (with its tipping point presumably somewhere in 2010), still no common definition of big data exists. However, they assembled a number of existing definitions from top-ranked journals and conference </w:t>
      </w:r>
      <w:r w:rsidRPr="000E223B">
        <w:rPr>
          <w:rFonts w:ascii="Verdana" w:hAnsi="Verdana" w:cs="Times New Roman"/>
          <w:sz w:val="20"/>
          <w:szCs w:val="20"/>
          <w:lang w:val="en-US"/>
        </w:rPr>
        <w:lastRenderedPageBreak/>
        <w:t xml:space="preserve">proceedings and focused on whether these definitions focused more on data characteristics, IT infrastructure or methods. </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We have followed the same approach in trying to reach a common definition across academia and practitioner sources. The method followed was a literature review of scientific journals and conference proceedings as well as some practitioner sources and books on the topic of big data (the same methodology and sources as the ones already mentioned in chapter 4). Consequently, we have also integrated the definitions found by Hansmann and Niemeyer (2014) but chose to drop the distinction made on definition focus because more often than not, as we will further show in this chapter, big data has mostly been defined by its V’s (dimensions) which we will extensively explain later in this chapter. We have thus replaced the definition focus by a dimension focus. </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The purpose of the research was to reach a common definition for big data and more specifically one that encompasses the most frequently mentioned dimensions. Table 5.1 groups all definitions of the term Big data as well as their references and secondary sources, mapped against most common dimensions mentioned in the definition or inferred from the definition. </w:t>
      </w:r>
    </w:p>
    <w:tbl>
      <w:tblPr>
        <w:tblStyle w:val="LightShading-Accent2"/>
        <w:tblW w:w="0" w:type="auto"/>
        <w:tblLook w:val="04A0" w:firstRow="1" w:lastRow="0" w:firstColumn="1" w:lastColumn="0" w:noHBand="0" w:noVBand="1"/>
      </w:tblPr>
      <w:tblGrid>
        <w:gridCol w:w="1706"/>
        <w:gridCol w:w="4907"/>
        <w:gridCol w:w="1262"/>
        <w:gridCol w:w="1367"/>
      </w:tblGrid>
      <w:tr w:rsidR="000E223B" w:rsidRPr="00A7697E" w:rsidTr="001106BD">
        <w:trPr>
          <w:cnfStyle w:val="100000000000" w:firstRow="1" w:lastRow="0" w:firstColumn="0" w:lastColumn="0" w:oddVBand="0" w:evenVBand="0" w:oddHBand="0"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0" w:type="auto"/>
          </w:tcPr>
          <w:p w:rsidR="000E223B" w:rsidRPr="00A7697E" w:rsidRDefault="000E223B" w:rsidP="001106BD">
            <w:pPr>
              <w:jc w:val="both"/>
              <w:rPr>
                <w:rFonts w:ascii="Verdana" w:hAnsi="Verdana" w:cs="Times New Roman"/>
                <w:b w:val="0"/>
                <w:sz w:val="16"/>
                <w:szCs w:val="16"/>
              </w:rPr>
            </w:pPr>
            <w:r w:rsidRPr="00A7697E">
              <w:rPr>
                <w:rFonts w:ascii="Verdana" w:hAnsi="Verdana" w:cs="Times New Roman"/>
                <w:sz w:val="16"/>
                <w:szCs w:val="16"/>
              </w:rPr>
              <w:t>Reference author</w:t>
            </w:r>
          </w:p>
        </w:tc>
        <w:tc>
          <w:tcPr>
            <w:tcW w:w="0" w:type="auto"/>
          </w:tcPr>
          <w:p w:rsidR="000E223B" w:rsidRPr="00A7697E" w:rsidRDefault="000E223B" w:rsidP="001106BD">
            <w:pPr>
              <w:jc w:val="both"/>
              <w:cnfStyle w:val="100000000000" w:firstRow="1" w:lastRow="0" w:firstColumn="0" w:lastColumn="0" w:oddVBand="0" w:evenVBand="0" w:oddHBand="0" w:evenHBand="0" w:firstRowFirstColumn="0" w:firstRowLastColumn="0" w:lastRowFirstColumn="0" w:lastRowLastColumn="0"/>
              <w:rPr>
                <w:rFonts w:ascii="Verdana" w:hAnsi="Verdana" w:cs="Times New Roman"/>
                <w:b w:val="0"/>
                <w:sz w:val="16"/>
                <w:szCs w:val="16"/>
              </w:rPr>
            </w:pPr>
            <w:r w:rsidRPr="00A7697E">
              <w:rPr>
                <w:rFonts w:ascii="Verdana" w:hAnsi="Verdana" w:cs="Times New Roman"/>
                <w:sz w:val="16"/>
                <w:szCs w:val="16"/>
              </w:rPr>
              <w:t>Definition</w:t>
            </w:r>
          </w:p>
        </w:tc>
        <w:tc>
          <w:tcPr>
            <w:tcW w:w="0" w:type="auto"/>
          </w:tcPr>
          <w:p w:rsidR="000E223B" w:rsidRPr="00A7697E" w:rsidRDefault="000E223B" w:rsidP="001106BD">
            <w:pPr>
              <w:jc w:val="both"/>
              <w:cnfStyle w:val="100000000000" w:firstRow="1" w:lastRow="0" w:firstColumn="0" w:lastColumn="0" w:oddVBand="0" w:evenVBand="0" w:oddHBand="0" w:evenHBand="0" w:firstRowFirstColumn="0" w:firstRowLastColumn="0" w:lastRowFirstColumn="0" w:lastRowLastColumn="0"/>
              <w:rPr>
                <w:rFonts w:ascii="Verdana" w:hAnsi="Verdana" w:cs="Times New Roman"/>
                <w:b w:val="0"/>
                <w:sz w:val="16"/>
                <w:szCs w:val="16"/>
              </w:rPr>
            </w:pPr>
            <w:r w:rsidRPr="00A7697E">
              <w:rPr>
                <w:rFonts w:ascii="Verdana" w:hAnsi="Verdana" w:cs="Times New Roman"/>
                <w:sz w:val="16"/>
                <w:szCs w:val="16"/>
              </w:rPr>
              <w:t>Source</w:t>
            </w:r>
          </w:p>
        </w:tc>
        <w:tc>
          <w:tcPr>
            <w:tcW w:w="0" w:type="auto"/>
          </w:tcPr>
          <w:p w:rsidR="000E223B" w:rsidRPr="00A7697E" w:rsidRDefault="000E223B" w:rsidP="001106BD">
            <w:pPr>
              <w:jc w:val="both"/>
              <w:cnfStyle w:val="100000000000" w:firstRow="1" w:lastRow="0" w:firstColumn="0" w:lastColumn="0" w:oddVBand="0" w:evenVBand="0" w:oddHBand="0" w:evenHBand="0" w:firstRowFirstColumn="0" w:firstRowLastColumn="0" w:lastRowFirstColumn="0" w:lastRowLastColumn="0"/>
              <w:rPr>
                <w:rFonts w:ascii="Verdana" w:hAnsi="Verdana" w:cs="Times New Roman"/>
                <w:b w:val="0"/>
                <w:sz w:val="16"/>
                <w:szCs w:val="16"/>
              </w:rPr>
            </w:pPr>
            <w:r w:rsidRPr="00A7697E">
              <w:rPr>
                <w:rFonts w:ascii="Verdana" w:hAnsi="Verdana" w:cs="Times New Roman"/>
                <w:sz w:val="16"/>
                <w:szCs w:val="16"/>
              </w:rPr>
              <w:t>Dimension</w:t>
            </w:r>
          </w:p>
        </w:tc>
      </w:tr>
      <w:tr w:rsidR="000E223B" w:rsidRPr="00A7697E" w:rsidTr="00110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E223B" w:rsidRPr="00A7697E" w:rsidRDefault="000E223B" w:rsidP="001106BD">
            <w:pPr>
              <w:jc w:val="both"/>
              <w:rPr>
                <w:rFonts w:ascii="Verdana" w:hAnsi="Verdana" w:cs="Times New Roman"/>
                <w:sz w:val="16"/>
                <w:szCs w:val="16"/>
              </w:rPr>
            </w:pPr>
            <w:r w:rsidRPr="00A7697E">
              <w:rPr>
                <w:rFonts w:ascii="Verdana" w:hAnsi="Verdana" w:cs="Times New Roman"/>
                <w:sz w:val="16"/>
                <w:szCs w:val="16"/>
              </w:rPr>
              <w:t>Hansmann &amp; Niemeyer (2014)</w:t>
            </w:r>
          </w:p>
        </w:tc>
        <w:tc>
          <w:tcPr>
            <w:tcW w:w="0" w:type="auto"/>
          </w:tcPr>
          <w:p w:rsidR="000E223B" w:rsidRPr="000E223B"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color w:val="000000" w:themeColor="text1"/>
                <w:sz w:val="16"/>
                <w:szCs w:val="16"/>
                <w:lang w:val="en-US"/>
              </w:rPr>
            </w:pPr>
            <w:r w:rsidRPr="000E223B">
              <w:rPr>
                <w:rFonts w:ascii="Verdana" w:hAnsi="Verdana" w:cs="Times New Roman"/>
                <w:color w:val="000000" w:themeColor="text1"/>
                <w:sz w:val="16"/>
                <w:szCs w:val="16"/>
                <w:lang w:val="en-US"/>
              </w:rPr>
              <w:t>The exploding world of big data poses, more than ever, two challenge classes : engineering-efficiently managing data at unimaginable scale; and semantics finding and meaningfully combining information that is relevant to your concern (…) In this big data world information is unbelievably large in scale, scope, distribution, heterogeneity, and supporting technologies</w:t>
            </w:r>
          </w:p>
        </w:tc>
        <w:tc>
          <w:tcPr>
            <w:tcW w:w="0" w:type="auto"/>
          </w:tcPr>
          <w:p w:rsidR="000E223B" w:rsidRPr="00A7697E"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color w:val="000000" w:themeColor="text1"/>
                <w:sz w:val="16"/>
                <w:szCs w:val="16"/>
              </w:rPr>
            </w:pPr>
            <w:r w:rsidRPr="00A7697E">
              <w:rPr>
                <w:rFonts w:ascii="Verdana" w:hAnsi="Verdana" w:cs="Times New Roman"/>
                <w:color w:val="000000" w:themeColor="text1"/>
                <w:sz w:val="16"/>
                <w:szCs w:val="16"/>
              </w:rPr>
              <w:t>Bizer et al. (2011)</w:t>
            </w:r>
          </w:p>
        </w:tc>
        <w:tc>
          <w:tcPr>
            <w:tcW w:w="0" w:type="auto"/>
          </w:tcPr>
          <w:p w:rsidR="000E223B" w:rsidRPr="00A7697E"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color w:val="000000" w:themeColor="text1"/>
                <w:sz w:val="16"/>
                <w:szCs w:val="16"/>
              </w:rPr>
            </w:pPr>
            <w:r w:rsidRPr="00A7697E">
              <w:rPr>
                <w:rFonts w:ascii="Verdana" w:hAnsi="Verdana" w:cs="Times New Roman"/>
                <w:color w:val="000000" w:themeColor="text1"/>
                <w:sz w:val="16"/>
                <w:szCs w:val="16"/>
              </w:rPr>
              <w:t>Volume</w:t>
            </w:r>
          </w:p>
        </w:tc>
      </w:tr>
      <w:tr w:rsidR="000E223B" w:rsidRPr="00A7697E" w:rsidTr="001106BD">
        <w:tc>
          <w:tcPr>
            <w:cnfStyle w:val="001000000000" w:firstRow="0" w:lastRow="0" w:firstColumn="1" w:lastColumn="0" w:oddVBand="0" w:evenVBand="0" w:oddHBand="0" w:evenHBand="0" w:firstRowFirstColumn="0" w:firstRowLastColumn="0" w:lastRowFirstColumn="0" w:lastRowLastColumn="0"/>
            <w:tcW w:w="0" w:type="auto"/>
          </w:tcPr>
          <w:p w:rsidR="000E223B" w:rsidRPr="00A7697E" w:rsidRDefault="000E223B" w:rsidP="001106BD">
            <w:pPr>
              <w:jc w:val="both"/>
              <w:rPr>
                <w:rFonts w:ascii="Verdana" w:hAnsi="Verdana" w:cs="Times New Roman"/>
                <w:sz w:val="16"/>
                <w:szCs w:val="16"/>
              </w:rPr>
            </w:pPr>
            <w:r w:rsidRPr="00A7697E">
              <w:rPr>
                <w:rFonts w:ascii="Verdana" w:hAnsi="Verdana" w:cs="Times New Roman"/>
                <w:sz w:val="16"/>
                <w:szCs w:val="16"/>
              </w:rPr>
              <w:t>Hansmann &amp; Niemeyer (2014)</w:t>
            </w:r>
          </w:p>
        </w:tc>
        <w:tc>
          <w:tcPr>
            <w:tcW w:w="0" w:type="auto"/>
          </w:tcPr>
          <w:p w:rsidR="000E223B" w:rsidRPr="000E223B"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color w:val="000000" w:themeColor="text1"/>
                <w:sz w:val="16"/>
                <w:szCs w:val="16"/>
                <w:lang w:val="en-US"/>
              </w:rPr>
            </w:pPr>
            <w:r w:rsidRPr="000E223B">
              <w:rPr>
                <w:rFonts w:ascii="Verdana" w:hAnsi="Verdana" w:cs="Times New Roman"/>
                <w:color w:val="000000" w:themeColor="text1"/>
                <w:sz w:val="16"/>
                <w:szCs w:val="16"/>
                <w:lang w:val="en-US"/>
              </w:rPr>
              <w:t>(…) data sets and analytical techniques in applications that are so large (from terabytes to exabytes) and complex (from sensor to social media data) that they require advanced and unique data storage, management, analysis, and visualization techniques</w:t>
            </w:r>
          </w:p>
        </w:tc>
        <w:tc>
          <w:tcPr>
            <w:tcW w:w="0" w:type="auto"/>
          </w:tcPr>
          <w:p w:rsidR="000E223B" w:rsidRPr="00A7697E"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color w:val="000000" w:themeColor="text1"/>
                <w:sz w:val="16"/>
                <w:szCs w:val="16"/>
              </w:rPr>
            </w:pPr>
            <w:r w:rsidRPr="00A7697E">
              <w:rPr>
                <w:rFonts w:ascii="Verdana" w:hAnsi="Verdana" w:cs="Times New Roman"/>
                <w:color w:val="000000" w:themeColor="text1"/>
                <w:sz w:val="16"/>
                <w:szCs w:val="16"/>
              </w:rPr>
              <w:t>Chen et al.(2012)</w:t>
            </w:r>
          </w:p>
        </w:tc>
        <w:tc>
          <w:tcPr>
            <w:tcW w:w="0" w:type="auto"/>
          </w:tcPr>
          <w:p w:rsidR="000E223B" w:rsidRPr="00A7697E"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color w:val="000000" w:themeColor="text1"/>
                <w:sz w:val="16"/>
                <w:szCs w:val="16"/>
              </w:rPr>
            </w:pPr>
            <w:r w:rsidRPr="00A7697E">
              <w:rPr>
                <w:rFonts w:ascii="Verdana" w:hAnsi="Verdana" w:cs="Times New Roman"/>
                <w:color w:val="000000" w:themeColor="text1"/>
                <w:sz w:val="16"/>
                <w:szCs w:val="16"/>
              </w:rPr>
              <w:t>Volume, variety</w:t>
            </w:r>
          </w:p>
        </w:tc>
      </w:tr>
      <w:tr w:rsidR="000E223B" w:rsidRPr="00A7697E" w:rsidTr="00110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E223B" w:rsidRPr="00A7697E" w:rsidRDefault="000E223B" w:rsidP="001106BD">
            <w:pPr>
              <w:jc w:val="both"/>
              <w:rPr>
                <w:rFonts w:ascii="Verdana" w:hAnsi="Verdana" w:cs="Times New Roman"/>
                <w:sz w:val="16"/>
                <w:szCs w:val="16"/>
              </w:rPr>
            </w:pPr>
            <w:r w:rsidRPr="00A7697E">
              <w:rPr>
                <w:rFonts w:ascii="Verdana" w:hAnsi="Verdana" w:cs="Times New Roman"/>
                <w:sz w:val="16"/>
                <w:szCs w:val="16"/>
              </w:rPr>
              <w:t>Hansmann &amp; Niemeyer (2014)</w:t>
            </w:r>
          </w:p>
        </w:tc>
        <w:tc>
          <w:tcPr>
            <w:tcW w:w="0" w:type="auto"/>
          </w:tcPr>
          <w:p w:rsidR="000E223B" w:rsidRPr="000E223B"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color w:val="000000" w:themeColor="text1"/>
                <w:sz w:val="16"/>
                <w:szCs w:val="16"/>
                <w:lang w:val="en-US"/>
              </w:rPr>
            </w:pPr>
            <w:r w:rsidRPr="000E223B">
              <w:rPr>
                <w:rFonts w:ascii="Verdana" w:hAnsi="Verdana" w:cs="Times New Roman"/>
                <w:color w:val="000000" w:themeColor="text1"/>
                <w:sz w:val="16"/>
                <w:szCs w:val="16"/>
                <w:lang w:val="en-US"/>
              </w:rPr>
              <w:t xml:space="preserve">“Big Data” refers to enormous amounts of unstructured data produced by high-performance applications falling in a wide and heterogeneous family of application scenarios: from scientific computing applications to social networks, from e-government applications to medical information systems, and so forth </w:t>
            </w:r>
          </w:p>
        </w:tc>
        <w:tc>
          <w:tcPr>
            <w:tcW w:w="0" w:type="auto"/>
          </w:tcPr>
          <w:p w:rsidR="000E223B" w:rsidRPr="00A7697E"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color w:val="000000" w:themeColor="text1"/>
                <w:sz w:val="16"/>
                <w:szCs w:val="16"/>
              </w:rPr>
            </w:pPr>
            <w:r w:rsidRPr="00A7697E">
              <w:rPr>
                <w:rFonts w:ascii="Verdana" w:hAnsi="Verdana" w:cs="Times New Roman"/>
                <w:color w:val="000000" w:themeColor="text1"/>
                <w:sz w:val="16"/>
                <w:szCs w:val="16"/>
              </w:rPr>
              <w:t>Cuzzocrea et al.(2011)</w:t>
            </w:r>
          </w:p>
        </w:tc>
        <w:tc>
          <w:tcPr>
            <w:tcW w:w="0" w:type="auto"/>
          </w:tcPr>
          <w:p w:rsidR="000E223B" w:rsidRPr="00A7697E"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color w:val="000000" w:themeColor="text1"/>
                <w:sz w:val="16"/>
                <w:szCs w:val="16"/>
              </w:rPr>
            </w:pPr>
            <w:r w:rsidRPr="00A7697E">
              <w:rPr>
                <w:rFonts w:ascii="Verdana" w:hAnsi="Verdana" w:cs="Times New Roman"/>
                <w:color w:val="000000" w:themeColor="text1"/>
                <w:sz w:val="16"/>
                <w:szCs w:val="16"/>
              </w:rPr>
              <w:t>Volume, variety</w:t>
            </w:r>
          </w:p>
        </w:tc>
      </w:tr>
      <w:tr w:rsidR="000E223B" w:rsidRPr="00A7697E" w:rsidTr="001106BD">
        <w:tc>
          <w:tcPr>
            <w:cnfStyle w:val="001000000000" w:firstRow="0" w:lastRow="0" w:firstColumn="1" w:lastColumn="0" w:oddVBand="0" w:evenVBand="0" w:oddHBand="0" w:evenHBand="0" w:firstRowFirstColumn="0" w:firstRowLastColumn="0" w:lastRowFirstColumn="0" w:lastRowLastColumn="0"/>
            <w:tcW w:w="0" w:type="auto"/>
          </w:tcPr>
          <w:p w:rsidR="000E223B" w:rsidRPr="00A7697E" w:rsidRDefault="000E223B" w:rsidP="001106BD">
            <w:pPr>
              <w:jc w:val="both"/>
              <w:rPr>
                <w:rFonts w:ascii="Verdana" w:hAnsi="Verdana" w:cs="Times New Roman"/>
                <w:sz w:val="16"/>
                <w:szCs w:val="16"/>
              </w:rPr>
            </w:pPr>
            <w:r w:rsidRPr="00A7697E">
              <w:rPr>
                <w:rFonts w:ascii="Verdana" w:hAnsi="Verdana" w:cs="Times New Roman"/>
                <w:sz w:val="16"/>
                <w:szCs w:val="16"/>
              </w:rPr>
              <w:t>Hansmann &amp; Niemeyer (2014)</w:t>
            </w:r>
          </w:p>
        </w:tc>
        <w:tc>
          <w:tcPr>
            <w:tcW w:w="0" w:type="auto"/>
          </w:tcPr>
          <w:p w:rsidR="000E223B" w:rsidRPr="000E223B"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color w:val="000000" w:themeColor="text1"/>
                <w:sz w:val="16"/>
                <w:szCs w:val="16"/>
                <w:lang w:val="en-US"/>
              </w:rPr>
            </w:pPr>
            <w:r w:rsidRPr="000E223B">
              <w:rPr>
                <w:rFonts w:ascii="Verdana" w:hAnsi="Verdana" w:cs="Times New Roman"/>
                <w:color w:val="000000" w:themeColor="text1"/>
                <w:sz w:val="16"/>
                <w:szCs w:val="16"/>
                <w:lang w:val="en-US"/>
              </w:rPr>
              <w:t>Recently much good science, whether physical, biological, or social, has been forced to confront –and has often benefited from – the “Big Data” phenomenon. Big Data refers to the explosion in the quantity (and sometimes, quality) of available and potentially relevant data, largely the result of recent and unprecedented advantages in data recording and in storage technology</w:t>
            </w:r>
          </w:p>
        </w:tc>
        <w:tc>
          <w:tcPr>
            <w:tcW w:w="0" w:type="auto"/>
          </w:tcPr>
          <w:p w:rsidR="000E223B" w:rsidRPr="00A7697E"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color w:val="000000" w:themeColor="text1"/>
                <w:sz w:val="16"/>
                <w:szCs w:val="16"/>
              </w:rPr>
            </w:pPr>
            <w:r w:rsidRPr="00A7697E">
              <w:rPr>
                <w:rFonts w:ascii="Verdana" w:hAnsi="Verdana" w:cs="Times New Roman"/>
                <w:color w:val="000000" w:themeColor="text1"/>
                <w:sz w:val="16"/>
                <w:szCs w:val="16"/>
              </w:rPr>
              <w:t>Diebold et al.(2003)</w:t>
            </w:r>
          </w:p>
        </w:tc>
        <w:tc>
          <w:tcPr>
            <w:tcW w:w="0" w:type="auto"/>
          </w:tcPr>
          <w:p w:rsidR="000E223B" w:rsidRPr="00A7697E"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color w:val="000000" w:themeColor="text1"/>
                <w:sz w:val="16"/>
                <w:szCs w:val="16"/>
              </w:rPr>
            </w:pPr>
            <w:r w:rsidRPr="00A7697E">
              <w:rPr>
                <w:rFonts w:ascii="Verdana" w:hAnsi="Verdana" w:cs="Times New Roman"/>
                <w:color w:val="000000" w:themeColor="text1"/>
                <w:sz w:val="16"/>
                <w:szCs w:val="16"/>
              </w:rPr>
              <w:t>Volume,</w:t>
            </w:r>
          </w:p>
          <w:p w:rsidR="000E223B" w:rsidRPr="00A7697E"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color w:val="000000" w:themeColor="text1"/>
                <w:sz w:val="16"/>
                <w:szCs w:val="16"/>
              </w:rPr>
            </w:pPr>
            <w:r w:rsidRPr="00A7697E">
              <w:rPr>
                <w:rFonts w:ascii="Verdana" w:hAnsi="Verdana" w:cs="Times New Roman"/>
                <w:color w:val="000000" w:themeColor="text1"/>
                <w:sz w:val="16"/>
                <w:szCs w:val="16"/>
              </w:rPr>
              <w:t>veracity</w:t>
            </w:r>
          </w:p>
        </w:tc>
      </w:tr>
      <w:tr w:rsidR="000E223B" w:rsidRPr="00A7697E" w:rsidTr="00110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E223B" w:rsidRPr="00A7697E" w:rsidRDefault="000E223B" w:rsidP="001106BD">
            <w:pPr>
              <w:jc w:val="both"/>
              <w:rPr>
                <w:rFonts w:ascii="Verdana" w:hAnsi="Verdana" w:cs="Times New Roman"/>
                <w:sz w:val="16"/>
                <w:szCs w:val="16"/>
              </w:rPr>
            </w:pPr>
            <w:r w:rsidRPr="00A7697E">
              <w:rPr>
                <w:rFonts w:ascii="Verdana" w:hAnsi="Verdana" w:cs="Times New Roman"/>
                <w:sz w:val="16"/>
                <w:szCs w:val="16"/>
              </w:rPr>
              <w:t>Hansmann &amp; Niemeyer (2014)</w:t>
            </w:r>
          </w:p>
        </w:tc>
        <w:tc>
          <w:tcPr>
            <w:tcW w:w="0" w:type="auto"/>
          </w:tcPr>
          <w:p w:rsidR="000E223B" w:rsidRPr="000E223B"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color w:val="000000" w:themeColor="text1"/>
                <w:sz w:val="16"/>
                <w:szCs w:val="16"/>
                <w:lang w:val="en-US"/>
              </w:rPr>
            </w:pPr>
            <w:r w:rsidRPr="000E223B">
              <w:rPr>
                <w:rFonts w:ascii="Verdana" w:hAnsi="Verdana" w:cs="Times New Roman"/>
                <w:color w:val="000000" w:themeColor="text1"/>
                <w:sz w:val="16"/>
                <w:szCs w:val="16"/>
                <w:lang w:val="en-US"/>
              </w:rPr>
              <w:t>Data whose size forces us to look beyond the tried-and-true methods that are prevalent at that time</w:t>
            </w:r>
          </w:p>
        </w:tc>
        <w:tc>
          <w:tcPr>
            <w:tcW w:w="0" w:type="auto"/>
          </w:tcPr>
          <w:p w:rsidR="000E223B" w:rsidRPr="00A7697E"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color w:val="000000" w:themeColor="text1"/>
                <w:sz w:val="16"/>
                <w:szCs w:val="16"/>
              </w:rPr>
            </w:pPr>
            <w:r w:rsidRPr="00A7697E">
              <w:rPr>
                <w:rFonts w:ascii="Verdana" w:hAnsi="Verdana" w:cs="Times New Roman"/>
                <w:color w:val="000000" w:themeColor="text1"/>
                <w:sz w:val="16"/>
                <w:szCs w:val="16"/>
              </w:rPr>
              <w:t>Jacobs (2009)</w:t>
            </w:r>
          </w:p>
        </w:tc>
        <w:tc>
          <w:tcPr>
            <w:tcW w:w="0" w:type="auto"/>
          </w:tcPr>
          <w:p w:rsidR="000E223B" w:rsidRPr="00A7697E"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color w:val="000000" w:themeColor="text1"/>
                <w:sz w:val="16"/>
                <w:szCs w:val="16"/>
              </w:rPr>
            </w:pPr>
            <w:r w:rsidRPr="00A7697E">
              <w:rPr>
                <w:rFonts w:ascii="Verdana" w:hAnsi="Verdana" w:cs="Times New Roman"/>
                <w:color w:val="000000" w:themeColor="text1"/>
                <w:sz w:val="16"/>
                <w:szCs w:val="16"/>
              </w:rPr>
              <w:t>Volume</w:t>
            </w:r>
          </w:p>
        </w:tc>
      </w:tr>
      <w:tr w:rsidR="000E223B" w:rsidRPr="00A7697E" w:rsidTr="001106BD">
        <w:tc>
          <w:tcPr>
            <w:cnfStyle w:val="001000000000" w:firstRow="0" w:lastRow="0" w:firstColumn="1" w:lastColumn="0" w:oddVBand="0" w:evenVBand="0" w:oddHBand="0" w:evenHBand="0" w:firstRowFirstColumn="0" w:firstRowLastColumn="0" w:lastRowFirstColumn="0" w:lastRowLastColumn="0"/>
            <w:tcW w:w="0" w:type="auto"/>
          </w:tcPr>
          <w:p w:rsidR="000E223B" w:rsidRPr="00A7697E" w:rsidRDefault="000E223B" w:rsidP="001106BD">
            <w:pPr>
              <w:jc w:val="both"/>
              <w:rPr>
                <w:rFonts w:ascii="Verdana" w:hAnsi="Verdana" w:cs="Times New Roman"/>
                <w:sz w:val="16"/>
                <w:szCs w:val="16"/>
              </w:rPr>
            </w:pPr>
            <w:r w:rsidRPr="00A7697E">
              <w:rPr>
                <w:rFonts w:ascii="Verdana" w:hAnsi="Verdana" w:cs="Times New Roman"/>
                <w:sz w:val="16"/>
                <w:szCs w:val="16"/>
              </w:rPr>
              <w:t>Hansmann &amp; Niemeyer (2014)</w:t>
            </w:r>
          </w:p>
        </w:tc>
        <w:tc>
          <w:tcPr>
            <w:tcW w:w="0" w:type="auto"/>
          </w:tcPr>
          <w:p w:rsidR="000E223B" w:rsidRPr="000E223B"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color w:val="000000" w:themeColor="text1"/>
                <w:sz w:val="16"/>
                <w:szCs w:val="16"/>
                <w:lang w:val="en-US"/>
              </w:rPr>
            </w:pPr>
            <w:r w:rsidRPr="000E223B">
              <w:rPr>
                <w:rFonts w:ascii="Verdana" w:hAnsi="Verdana" w:cs="Times New Roman"/>
                <w:color w:val="000000" w:themeColor="text1"/>
                <w:sz w:val="16"/>
                <w:szCs w:val="16"/>
                <w:lang w:val="en-US"/>
              </w:rPr>
              <w:t>Data that’s too big, too fast, too hard for existing tools to process</w:t>
            </w:r>
          </w:p>
        </w:tc>
        <w:tc>
          <w:tcPr>
            <w:tcW w:w="0" w:type="auto"/>
          </w:tcPr>
          <w:p w:rsidR="000E223B" w:rsidRPr="00A7697E"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color w:val="000000" w:themeColor="text1"/>
                <w:sz w:val="16"/>
                <w:szCs w:val="16"/>
              </w:rPr>
            </w:pPr>
            <w:r w:rsidRPr="00A7697E">
              <w:rPr>
                <w:rFonts w:ascii="Verdana" w:hAnsi="Verdana" w:cs="Times New Roman"/>
                <w:color w:val="000000" w:themeColor="text1"/>
                <w:sz w:val="16"/>
                <w:szCs w:val="16"/>
              </w:rPr>
              <w:t>Madden (2012)</w:t>
            </w:r>
          </w:p>
        </w:tc>
        <w:tc>
          <w:tcPr>
            <w:tcW w:w="0" w:type="auto"/>
          </w:tcPr>
          <w:p w:rsidR="000E223B" w:rsidRPr="00A7697E"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color w:val="000000" w:themeColor="text1"/>
                <w:sz w:val="16"/>
                <w:szCs w:val="16"/>
              </w:rPr>
            </w:pPr>
            <w:r w:rsidRPr="00A7697E">
              <w:rPr>
                <w:rFonts w:ascii="Verdana" w:hAnsi="Verdana" w:cs="Times New Roman"/>
                <w:color w:val="000000" w:themeColor="text1"/>
                <w:sz w:val="16"/>
                <w:szCs w:val="16"/>
              </w:rPr>
              <w:t>Volume, velocity</w:t>
            </w:r>
          </w:p>
        </w:tc>
      </w:tr>
      <w:tr w:rsidR="000E223B" w:rsidRPr="00A7697E" w:rsidTr="00110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E223B" w:rsidRPr="00A7697E" w:rsidRDefault="000E223B" w:rsidP="001106BD">
            <w:pPr>
              <w:jc w:val="both"/>
              <w:rPr>
                <w:rFonts w:ascii="Verdana" w:hAnsi="Verdana" w:cs="Times New Roman"/>
                <w:sz w:val="16"/>
                <w:szCs w:val="16"/>
              </w:rPr>
            </w:pPr>
            <w:r w:rsidRPr="00A7697E">
              <w:rPr>
                <w:rFonts w:ascii="Verdana" w:hAnsi="Verdana" w:cs="Times New Roman"/>
                <w:sz w:val="16"/>
                <w:szCs w:val="16"/>
              </w:rPr>
              <w:t>Hansmann &amp; Niemeyer (2014)</w:t>
            </w:r>
          </w:p>
        </w:tc>
        <w:tc>
          <w:tcPr>
            <w:tcW w:w="0" w:type="auto"/>
          </w:tcPr>
          <w:p w:rsidR="000E223B" w:rsidRPr="000E223B"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color w:val="000000" w:themeColor="text1"/>
                <w:sz w:val="16"/>
                <w:szCs w:val="16"/>
                <w:lang w:val="en-US"/>
              </w:rPr>
            </w:pPr>
            <w:r w:rsidRPr="000E223B">
              <w:rPr>
                <w:rFonts w:ascii="Verdana" w:hAnsi="Verdana" w:cs="Times New Roman"/>
                <w:color w:val="000000" w:themeColor="text1"/>
                <w:sz w:val="16"/>
                <w:szCs w:val="16"/>
                <w:lang w:val="en-US"/>
              </w:rPr>
              <w:t>Big data refers to datasets whose size is beyond the ability of typical database software tools to capture, store, manage and analyze</w:t>
            </w:r>
          </w:p>
        </w:tc>
        <w:tc>
          <w:tcPr>
            <w:tcW w:w="0" w:type="auto"/>
          </w:tcPr>
          <w:p w:rsidR="000E223B" w:rsidRPr="00A7697E"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color w:val="000000" w:themeColor="text1"/>
                <w:sz w:val="16"/>
                <w:szCs w:val="16"/>
              </w:rPr>
            </w:pPr>
            <w:r w:rsidRPr="00A7697E">
              <w:rPr>
                <w:rFonts w:ascii="Verdana" w:hAnsi="Verdana" w:cs="Times New Roman"/>
                <w:color w:val="000000" w:themeColor="text1"/>
                <w:sz w:val="16"/>
                <w:szCs w:val="16"/>
              </w:rPr>
              <w:t>Manyika et al. (2011)</w:t>
            </w:r>
          </w:p>
        </w:tc>
        <w:tc>
          <w:tcPr>
            <w:tcW w:w="0" w:type="auto"/>
          </w:tcPr>
          <w:p w:rsidR="000E223B" w:rsidRPr="00A7697E"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color w:val="000000" w:themeColor="text1"/>
                <w:sz w:val="16"/>
                <w:szCs w:val="16"/>
              </w:rPr>
            </w:pPr>
            <w:r w:rsidRPr="00A7697E">
              <w:rPr>
                <w:rFonts w:ascii="Verdana" w:hAnsi="Verdana" w:cs="Times New Roman"/>
                <w:color w:val="000000" w:themeColor="text1"/>
                <w:sz w:val="16"/>
                <w:szCs w:val="16"/>
              </w:rPr>
              <w:t>Volume</w:t>
            </w:r>
          </w:p>
        </w:tc>
      </w:tr>
      <w:tr w:rsidR="000E223B" w:rsidRPr="00A7697E" w:rsidTr="001106BD">
        <w:trPr>
          <w:trHeight w:val="2674"/>
        </w:trPr>
        <w:tc>
          <w:tcPr>
            <w:cnfStyle w:val="001000000000" w:firstRow="0" w:lastRow="0" w:firstColumn="1" w:lastColumn="0" w:oddVBand="0" w:evenVBand="0" w:oddHBand="0" w:evenHBand="0" w:firstRowFirstColumn="0" w:firstRowLastColumn="0" w:lastRowFirstColumn="0" w:lastRowLastColumn="0"/>
            <w:tcW w:w="0" w:type="auto"/>
          </w:tcPr>
          <w:p w:rsidR="000E223B" w:rsidRPr="00A7697E" w:rsidRDefault="000E223B" w:rsidP="001106BD">
            <w:pPr>
              <w:jc w:val="both"/>
              <w:rPr>
                <w:rFonts w:ascii="Verdana" w:hAnsi="Verdana" w:cs="Times New Roman"/>
                <w:bCs w:val="0"/>
                <w:sz w:val="16"/>
                <w:szCs w:val="16"/>
              </w:rPr>
            </w:pPr>
            <w:r w:rsidRPr="00A7697E">
              <w:rPr>
                <w:rFonts w:ascii="Verdana" w:hAnsi="Verdana" w:cs="Times New Roman"/>
                <w:sz w:val="16"/>
                <w:szCs w:val="16"/>
              </w:rPr>
              <w:lastRenderedPageBreak/>
              <w:t>Wielki (2013)</w:t>
            </w:r>
          </w:p>
          <w:p w:rsidR="000E223B" w:rsidRPr="00A7697E" w:rsidRDefault="000E223B" w:rsidP="001106BD">
            <w:pPr>
              <w:jc w:val="both"/>
              <w:rPr>
                <w:rFonts w:ascii="Verdana" w:hAnsi="Verdana" w:cs="Times New Roman"/>
                <w:sz w:val="16"/>
                <w:szCs w:val="16"/>
              </w:rPr>
            </w:pPr>
          </w:p>
          <w:p w:rsidR="000E223B" w:rsidRPr="00A7697E" w:rsidRDefault="000E223B" w:rsidP="001106BD">
            <w:pPr>
              <w:jc w:val="both"/>
              <w:rPr>
                <w:rFonts w:ascii="Verdana" w:hAnsi="Verdana" w:cs="Times New Roman"/>
                <w:sz w:val="16"/>
                <w:szCs w:val="16"/>
              </w:rPr>
            </w:pPr>
          </w:p>
          <w:p w:rsidR="000E223B" w:rsidRPr="00A7697E" w:rsidRDefault="000E223B" w:rsidP="001106BD">
            <w:pPr>
              <w:jc w:val="both"/>
              <w:rPr>
                <w:rFonts w:ascii="Verdana" w:hAnsi="Verdana" w:cs="Times New Roman"/>
                <w:sz w:val="16"/>
                <w:szCs w:val="16"/>
              </w:rPr>
            </w:pPr>
          </w:p>
        </w:tc>
        <w:tc>
          <w:tcPr>
            <w:tcW w:w="0" w:type="auto"/>
          </w:tcPr>
          <w:p w:rsidR="000E223B" w:rsidRPr="000E223B"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color w:val="000000" w:themeColor="text1"/>
                <w:sz w:val="16"/>
                <w:szCs w:val="16"/>
                <w:lang w:val="en-US"/>
              </w:rPr>
            </w:pPr>
            <w:r w:rsidRPr="000E223B">
              <w:rPr>
                <w:rFonts w:ascii="Verdana" w:hAnsi="Verdana" w:cs="Times New Roman"/>
                <w:color w:val="000000" w:themeColor="text1"/>
                <w:sz w:val="16"/>
                <w:szCs w:val="16"/>
                <w:lang w:val="en-US"/>
              </w:rPr>
              <w:t>Big data it's a characterization of the never-ending accumulation of all kinds of data, most of it unstructured. It describes data sets that are growing exponentially and that are too large, too raw or too unstructured for analysis using relational databases techniques</w:t>
            </w:r>
          </w:p>
          <w:p w:rsidR="000E223B" w:rsidRPr="000E223B"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color w:val="000000" w:themeColor="text1"/>
                <w:sz w:val="16"/>
                <w:szCs w:val="16"/>
                <w:lang w:val="en-US"/>
              </w:rPr>
            </w:pPr>
            <w:r w:rsidRPr="000E223B">
              <w:rPr>
                <w:rFonts w:ascii="Verdana" w:hAnsi="Verdana" w:cs="Times New Roman"/>
                <w:color w:val="000000" w:themeColor="text1"/>
                <w:sz w:val="16"/>
                <w:szCs w:val="16"/>
                <w:lang w:val="en-US"/>
              </w:rPr>
              <w:t>Data sets so large, so complex or that require such rapid processing (…) that they become difficult or impossible to work with using standard database management or analytical tools</w:t>
            </w:r>
          </w:p>
        </w:tc>
        <w:tc>
          <w:tcPr>
            <w:tcW w:w="0" w:type="auto"/>
          </w:tcPr>
          <w:p w:rsidR="000E223B" w:rsidRPr="00A7697E"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bCs/>
                <w:color w:val="000000" w:themeColor="text1"/>
                <w:sz w:val="16"/>
                <w:szCs w:val="16"/>
              </w:rPr>
            </w:pPr>
            <w:r w:rsidRPr="00A7697E">
              <w:rPr>
                <w:rFonts w:ascii="Verdana" w:hAnsi="Verdana" w:cs="Times New Roman"/>
                <w:bCs/>
                <w:color w:val="000000" w:themeColor="text1"/>
                <w:sz w:val="16"/>
                <w:szCs w:val="16"/>
              </w:rPr>
              <w:t>Wielki (2013)</w:t>
            </w:r>
          </w:p>
          <w:p w:rsidR="000E223B" w:rsidRPr="00A7697E"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color w:val="000000" w:themeColor="text1"/>
                <w:sz w:val="16"/>
                <w:szCs w:val="16"/>
              </w:rPr>
            </w:pPr>
          </w:p>
        </w:tc>
        <w:tc>
          <w:tcPr>
            <w:tcW w:w="0" w:type="auto"/>
          </w:tcPr>
          <w:p w:rsidR="000E223B" w:rsidRPr="00A7697E"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bCs/>
                <w:color w:val="000000" w:themeColor="text1"/>
                <w:sz w:val="16"/>
                <w:szCs w:val="16"/>
              </w:rPr>
            </w:pPr>
            <w:r w:rsidRPr="00A7697E">
              <w:rPr>
                <w:rFonts w:ascii="Verdana" w:hAnsi="Verdana" w:cs="Times New Roman"/>
                <w:bCs/>
                <w:color w:val="000000" w:themeColor="text1"/>
                <w:sz w:val="16"/>
                <w:szCs w:val="16"/>
              </w:rPr>
              <w:t>Volume, variety, velocity</w:t>
            </w:r>
          </w:p>
        </w:tc>
      </w:tr>
      <w:tr w:rsidR="000E223B" w:rsidRPr="00A7697E" w:rsidTr="00110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E223B" w:rsidRPr="00A7697E" w:rsidRDefault="000E223B" w:rsidP="001106BD">
            <w:pPr>
              <w:jc w:val="both"/>
              <w:rPr>
                <w:rFonts w:ascii="Verdana" w:hAnsi="Verdana" w:cs="Times New Roman"/>
                <w:bCs w:val="0"/>
                <w:sz w:val="16"/>
                <w:szCs w:val="16"/>
              </w:rPr>
            </w:pPr>
            <w:r w:rsidRPr="00A7697E">
              <w:rPr>
                <w:rFonts w:ascii="Verdana" w:hAnsi="Verdana" w:cs="Times New Roman"/>
                <w:sz w:val="16"/>
                <w:szCs w:val="16"/>
              </w:rPr>
              <w:t>Khan, Uddin, Gupta (2014)</w:t>
            </w:r>
          </w:p>
          <w:p w:rsidR="000E223B" w:rsidRPr="00A7697E" w:rsidRDefault="000E223B" w:rsidP="001106BD">
            <w:pPr>
              <w:jc w:val="both"/>
              <w:rPr>
                <w:rFonts w:ascii="Verdana" w:hAnsi="Verdana" w:cs="Times New Roman"/>
                <w:sz w:val="16"/>
                <w:szCs w:val="16"/>
              </w:rPr>
            </w:pPr>
          </w:p>
        </w:tc>
        <w:tc>
          <w:tcPr>
            <w:tcW w:w="0" w:type="auto"/>
          </w:tcPr>
          <w:p w:rsidR="000E223B" w:rsidRPr="000E223B"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color w:val="000000" w:themeColor="text1"/>
                <w:sz w:val="16"/>
                <w:szCs w:val="16"/>
                <w:lang w:val="en-US"/>
              </w:rPr>
            </w:pPr>
            <w:r w:rsidRPr="000E223B">
              <w:rPr>
                <w:rFonts w:ascii="Verdana" w:hAnsi="Verdana" w:cs="Times New Roman"/>
                <w:color w:val="000000" w:themeColor="text1"/>
                <w:sz w:val="16"/>
                <w:szCs w:val="16"/>
                <w:lang w:val="en-US"/>
              </w:rPr>
              <w:t>A form of data that exceeds the processing capabilities of traditional database infrastructure or engines</w:t>
            </w:r>
          </w:p>
          <w:p w:rsidR="000E223B" w:rsidRPr="000E223B"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color w:val="000000" w:themeColor="text1"/>
                <w:sz w:val="16"/>
                <w:szCs w:val="16"/>
                <w:lang w:val="en-US"/>
              </w:rPr>
            </w:pPr>
          </w:p>
        </w:tc>
        <w:tc>
          <w:tcPr>
            <w:tcW w:w="0" w:type="auto"/>
          </w:tcPr>
          <w:p w:rsidR="000E223B" w:rsidRPr="000E223B"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color w:val="000000" w:themeColor="text1"/>
                <w:sz w:val="16"/>
                <w:szCs w:val="16"/>
                <w:lang w:val="en-US"/>
              </w:rPr>
            </w:pPr>
          </w:p>
        </w:tc>
        <w:tc>
          <w:tcPr>
            <w:tcW w:w="0" w:type="auto"/>
          </w:tcPr>
          <w:p w:rsidR="000E223B" w:rsidRPr="00A7697E"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color w:val="000000" w:themeColor="text1"/>
                <w:sz w:val="16"/>
                <w:szCs w:val="16"/>
              </w:rPr>
            </w:pPr>
            <w:r w:rsidRPr="00A7697E">
              <w:rPr>
                <w:rFonts w:ascii="Verdana" w:hAnsi="Verdana" w:cs="Times New Roman"/>
                <w:color w:val="000000" w:themeColor="text1"/>
                <w:sz w:val="16"/>
                <w:szCs w:val="16"/>
              </w:rPr>
              <w:t>Volume</w:t>
            </w:r>
          </w:p>
        </w:tc>
      </w:tr>
      <w:tr w:rsidR="000E223B" w:rsidRPr="00A7697E" w:rsidTr="001106BD">
        <w:trPr>
          <w:trHeight w:val="912"/>
        </w:trPr>
        <w:tc>
          <w:tcPr>
            <w:cnfStyle w:val="001000000000" w:firstRow="0" w:lastRow="0" w:firstColumn="1" w:lastColumn="0" w:oddVBand="0" w:evenVBand="0" w:oddHBand="0" w:evenHBand="0" w:firstRowFirstColumn="0" w:firstRowLastColumn="0" w:lastRowFirstColumn="0" w:lastRowLastColumn="0"/>
            <w:tcW w:w="0" w:type="auto"/>
          </w:tcPr>
          <w:p w:rsidR="000E223B" w:rsidRPr="00A7697E" w:rsidRDefault="000E223B" w:rsidP="001106BD">
            <w:pPr>
              <w:jc w:val="both"/>
              <w:rPr>
                <w:rFonts w:ascii="Verdana" w:eastAsia="Times New Roman" w:hAnsi="Verdana" w:cs="Times New Roman"/>
                <w:b w:val="0"/>
                <w:bCs w:val="0"/>
                <w:sz w:val="16"/>
                <w:szCs w:val="16"/>
                <w:lang w:eastAsia="nl-BE"/>
              </w:rPr>
            </w:pPr>
            <w:r w:rsidRPr="00A7697E">
              <w:rPr>
                <w:rFonts w:ascii="Verdana" w:eastAsia="Times New Roman" w:hAnsi="Verdana" w:cs="Times New Roman"/>
                <w:sz w:val="16"/>
                <w:szCs w:val="16"/>
                <w:lang w:eastAsia="nl-BE"/>
              </w:rPr>
              <w:t>Mohanty, Jagadeesh, Srivatsa (2013)</w:t>
            </w:r>
          </w:p>
          <w:p w:rsidR="000E223B" w:rsidRPr="00A7697E" w:rsidRDefault="000E223B" w:rsidP="001106BD">
            <w:pPr>
              <w:jc w:val="both"/>
              <w:rPr>
                <w:rFonts w:ascii="Verdana" w:hAnsi="Verdana" w:cs="Times New Roman"/>
                <w:sz w:val="16"/>
                <w:szCs w:val="16"/>
              </w:rPr>
            </w:pPr>
          </w:p>
        </w:tc>
        <w:tc>
          <w:tcPr>
            <w:tcW w:w="0" w:type="auto"/>
          </w:tcPr>
          <w:p w:rsidR="000E223B" w:rsidRPr="000E223B"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color w:val="000000" w:themeColor="text1"/>
                <w:sz w:val="16"/>
                <w:szCs w:val="16"/>
                <w:lang w:val="en-US"/>
              </w:rPr>
            </w:pPr>
            <w:r w:rsidRPr="000E223B">
              <w:rPr>
                <w:rFonts w:ascii="Verdana" w:hAnsi="Verdana" w:cs="Times New Roman"/>
                <w:color w:val="000000" w:themeColor="text1"/>
                <w:sz w:val="16"/>
                <w:szCs w:val="16"/>
                <w:lang w:val="en-US"/>
              </w:rPr>
              <w:t>Extracting insight from an immense volume, variety &amp; velocity of data, in context, beyond what was previously impossible</w:t>
            </w:r>
          </w:p>
        </w:tc>
        <w:tc>
          <w:tcPr>
            <w:tcW w:w="0" w:type="auto"/>
          </w:tcPr>
          <w:p w:rsidR="000E223B" w:rsidRPr="00A7697E"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color w:val="000000" w:themeColor="text1"/>
                <w:sz w:val="16"/>
                <w:szCs w:val="16"/>
              </w:rPr>
            </w:pPr>
            <w:r w:rsidRPr="00A7697E">
              <w:rPr>
                <w:rFonts w:ascii="Verdana" w:hAnsi="Verdana" w:cs="Times New Roman"/>
                <w:color w:val="000000" w:themeColor="text1"/>
                <w:sz w:val="16"/>
                <w:szCs w:val="16"/>
              </w:rPr>
              <w:t>IBM</w:t>
            </w:r>
          </w:p>
        </w:tc>
        <w:tc>
          <w:tcPr>
            <w:tcW w:w="0" w:type="auto"/>
          </w:tcPr>
          <w:p w:rsidR="000E223B" w:rsidRPr="00A7697E"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color w:val="000000" w:themeColor="text1"/>
                <w:sz w:val="16"/>
                <w:szCs w:val="16"/>
              </w:rPr>
            </w:pPr>
            <w:r w:rsidRPr="00A7697E">
              <w:rPr>
                <w:rFonts w:ascii="Verdana" w:hAnsi="Verdana" w:cs="Times New Roman"/>
                <w:color w:val="000000" w:themeColor="text1"/>
                <w:sz w:val="16"/>
                <w:szCs w:val="16"/>
              </w:rPr>
              <w:t>Volume, variety, velocity</w:t>
            </w:r>
          </w:p>
        </w:tc>
      </w:tr>
      <w:tr w:rsidR="000E223B" w:rsidRPr="00A7697E" w:rsidTr="00110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E223B" w:rsidRPr="00A7697E" w:rsidRDefault="000E223B" w:rsidP="001106BD">
            <w:pPr>
              <w:jc w:val="both"/>
              <w:rPr>
                <w:rFonts w:ascii="Verdana" w:hAnsi="Verdana" w:cs="Times New Roman"/>
                <w:bCs w:val="0"/>
                <w:sz w:val="16"/>
                <w:szCs w:val="16"/>
                <w:lang w:val="es-ES"/>
              </w:rPr>
            </w:pPr>
            <w:r w:rsidRPr="00A7697E">
              <w:rPr>
                <w:rFonts w:ascii="Verdana" w:hAnsi="Verdana" w:cs="Times New Roman"/>
                <w:sz w:val="16"/>
                <w:szCs w:val="16"/>
                <w:lang w:val="es-ES"/>
              </w:rPr>
              <w:t>Alves De Freitas, Senra Michel, Gronovicz, Rodrigues (2013)</w:t>
            </w:r>
          </w:p>
          <w:p w:rsidR="000E223B" w:rsidRPr="00A7697E" w:rsidRDefault="000E223B" w:rsidP="001106BD">
            <w:pPr>
              <w:jc w:val="both"/>
              <w:rPr>
                <w:rFonts w:ascii="Verdana" w:hAnsi="Verdana" w:cs="Times New Roman"/>
                <w:sz w:val="16"/>
                <w:szCs w:val="16"/>
                <w:lang w:val="es-ES"/>
              </w:rPr>
            </w:pPr>
          </w:p>
        </w:tc>
        <w:tc>
          <w:tcPr>
            <w:tcW w:w="0" w:type="auto"/>
          </w:tcPr>
          <w:p w:rsidR="000E223B" w:rsidRPr="000E223B"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color w:val="000000" w:themeColor="text1"/>
                <w:sz w:val="16"/>
                <w:szCs w:val="16"/>
                <w:lang w:val="en-US"/>
              </w:rPr>
            </w:pPr>
            <w:r w:rsidRPr="000E223B">
              <w:rPr>
                <w:rFonts w:ascii="Verdana" w:hAnsi="Verdana" w:cs="Times New Roman"/>
                <w:color w:val="000000" w:themeColor="text1"/>
                <w:sz w:val="16"/>
                <w:szCs w:val="16"/>
                <w:lang w:val="en-US"/>
              </w:rPr>
              <w:t>Big data is a new term, used to describe the great volume of information that is originated from various channels, such as companies' traditional systems, the Internet and the social networks, among others, and use this information to analyze &amp; understand people's behavior</w:t>
            </w:r>
          </w:p>
          <w:p w:rsidR="000E223B" w:rsidRPr="000E223B"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color w:val="000000" w:themeColor="text1"/>
                <w:sz w:val="16"/>
                <w:szCs w:val="16"/>
                <w:lang w:val="en-US"/>
              </w:rPr>
            </w:pPr>
          </w:p>
        </w:tc>
        <w:tc>
          <w:tcPr>
            <w:tcW w:w="0" w:type="auto"/>
          </w:tcPr>
          <w:p w:rsidR="000E223B" w:rsidRPr="000E223B"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color w:val="000000" w:themeColor="text1"/>
                <w:sz w:val="16"/>
                <w:szCs w:val="16"/>
                <w:lang w:val="en-US"/>
              </w:rPr>
            </w:pPr>
          </w:p>
        </w:tc>
        <w:tc>
          <w:tcPr>
            <w:tcW w:w="0" w:type="auto"/>
          </w:tcPr>
          <w:p w:rsidR="000E223B" w:rsidRPr="00A7697E"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color w:val="000000" w:themeColor="text1"/>
                <w:sz w:val="16"/>
                <w:szCs w:val="16"/>
              </w:rPr>
            </w:pPr>
            <w:r w:rsidRPr="00A7697E">
              <w:rPr>
                <w:rFonts w:ascii="Verdana" w:hAnsi="Verdana" w:cs="Times New Roman"/>
                <w:color w:val="000000" w:themeColor="text1"/>
                <w:sz w:val="16"/>
                <w:szCs w:val="16"/>
              </w:rPr>
              <w:t xml:space="preserve">Volume, variety, </w:t>
            </w:r>
          </w:p>
          <w:p w:rsidR="000E223B" w:rsidRPr="00A7697E"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color w:val="000000" w:themeColor="text1"/>
                <w:sz w:val="16"/>
                <w:szCs w:val="16"/>
              </w:rPr>
            </w:pPr>
            <w:r w:rsidRPr="00A7697E">
              <w:rPr>
                <w:rFonts w:ascii="Verdana" w:hAnsi="Verdana" w:cs="Times New Roman"/>
                <w:color w:val="000000" w:themeColor="text1"/>
                <w:sz w:val="16"/>
                <w:szCs w:val="16"/>
              </w:rPr>
              <w:t>value</w:t>
            </w:r>
          </w:p>
        </w:tc>
      </w:tr>
      <w:tr w:rsidR="000E223B" w:rsidRPr="00A7697E" w:rsidTr="001106BD">
        <w:tc>
          <w:tcPr>
            <w:cnfStyle w:val="001000000000" w:firstRow="0" w:lastRow="0" w:firstColumn="1" w:lastColumn="0" w:oddVBand="0" w:evenVBand="0" w:oddHBand="0" w:evenHBand="0" w:firstRowFirstColumn="0" w:firstRowLastColumn="0" w:lastRowFirstColumn="0" w:lastRowLastColumn="0"/>
            <w:tcW w:w="0" w:type="auto"/>
          </w:tcPr>
          <w:p w:rsidR="000E223B" w:rsidRPr="00A7697E" w:rsidRDefault="000E223B" w:rsidP="001106BD">
            <w:pPr>
              <w:jc w:val="both"/>
              <w:rPr>
                <w:rFonts w:ascii="Verdana" w:hAnsi="Verdana" w:cs="Times New Roman"/>
                <w:bCs w:val="0"/>
                <w:sz w:val="16"/>
                <w:szCs w:val="16"/>
              </w:rPr>
            </w:pPr>
            <w:r w:rsidRPr="00A7697E">
              <w:rPr>
                <w:rFonts w:ascii="Verdana" w:hAnsi="Verdana" w:cs="Times New Roman"/>
                <w:sz w:val="16"/>
                <w:szCs w:val="16"/>
              </w:rPr>
              <w:t>Buhl et al. (2013)</w:t>
            </w:r>
          </w:p>
          <w:p w:rsidR="000E223B" w:rsidRPr="00A7697E" w:rsidRDefault="000E223B" w:rsidP="001106BD">
            <w:pPr>
              <w:jc w:val="both"/>
              <w:rPr>
                <w:rFonts w:ascii="Verdana" w:hAnsi="Verdana" w:cs="Times New Roman"/>
                <w:sz w:val="16"/>
                <w:szCs w:val="16"/>
              </w:rPr>
            </w:pPr>
          </w:p>
        </w:tc>
        <w:tc>
          <w:tcPr>
            <w:tcW w:w="0" w:type="auto"/>
          </w:tcPr>
          <w:p w:rsidR="000E223B" w:rsidRPr="000E223B"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color w:val="000000" w:themeColor="text1"/>
                <w:sz w:val="16"/>
                <w:szCs w:val="16"/>
                <w:lang w:val="en-US"/>
              </w:rPr>
            </w:pPr>
            <w:r w:rsidRPr="000E223B">
              <w:rPr>
                <w:rFonts w:ascii="Verdana" w:hAnsi="Verdana" w:cs="Times New Roman"/>
                <w:color w:val="000000" w:themeColor="text1"/>
                <w:sz w:val="16"/>
                <w:szCs w:val="16"/>
                <w:lang w:val="en-US"/>
              </w:rPr>
              <w:t>A multidisciplinary and evolutionary fusion of new technologies in combination with new dimensions in data storage and processing (volume &amp; velocity), a new era of data source variety (variety) and the challenge of managing data quality adequately (veracity)</w:t>
            </w:r>
          </w:p>
          <w:p w:rsidR="000E223B" w:rsidRPr="000E223B"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color w:val="000000" w:themeColor="text1"/>
                <w:sz w:val="16"/>
                <w:szCs w:val="16"/>
                <w:lang w:val="en-US"/>
              </w:rPr>
            </w:pPr>
          </w:p>
        </w:tc>
        <w:tc>
          <w:tcPr>
            <w:tcW w:w="0" w:type="auto"/>
          </w:tcPr>
          <w:p w:rsidR="000E223B" w:rsidRPr="000E223B"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color w:val="000000" w:themeColor="text1"/>
                <w:sz w:val="16"/>
                <w:szCs w:val="16"/>
                <w:lang w:val="en-US"/>
              </w:rPr>
            </w:pPr>
          </w:p>
        </w:tc>
        <w:tc>
          <w:tcPr>
            <w:tcW w:w="0" w:type="auto"/>
          </w:tcPr>
          <w:p w:rsidR="000E223B" w:rsidRPr="00A7697E"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color w:val="000000" w:themeColor="text1"/>
                <w:sz w:val="16"/>
                <w:szCs w:val="16"/>
              </w:rPr>
            </w:pPr>
            <w:r w:rsidRPr="00A7697E">
              <w:rPr>
                <w:rFonts w:ascii="Verdana" w:hAnsi="Verdana" w:cs="Times New Roman"/>
                <w:color w:val="000000" w:themeColor="text1"/>
                <w:sz w:val="16"/>
                <w:szCs w:val="16"/>
              </w:rPr>
              <w:t>Volume, velocity, variety, veracity</w:t>
            </w:r>
          </w:p>
        </w:tc>
      </w:tr>
      <w:tr w:rsidR="000E223B" w:rsidRPr="00A7697E" w:rsidTr="00110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E223B" w:rsidRPr="00A7697E" w:rsidRDefault="000E223B" w:rsidP="001106BD">
            <w:pPr>
              <w:jc w:val="both"/>
              <w:rPr>
                <w:rFonts w:ascii="Verdana" w:hAnsi="Verdana" w:cs="Times New Roman"/>
                <w:bCs w:val="0"/>
                <w:sz w:val="16"/>
                <w:szCs w:val="16"/>
                <w:lang w:val="de-DE"/>
              </w:rPr>
            </w:pPr>
            <w:r w:rsidRPr="00A7697E">
              <w:rPr>
                <w:rFonts w:ascii="Verdana" w:hAnsi="Verdana" w:cs="Times New Roman"/>
                <w:sz w:val="16"/>
                <w:szCs w:val="16"/>
                <w:lang w:val="de-DE"/>
              </w:rPr>
              <w:t xml:space="preserve">Chen, Mao, Liu (2014), </w:t>
            </w:r>
          </w:p>
          <w:p w:rsidR="000E223B" w:rsidRPr="00A7697E" w:rsidRDefault="000E223B" w:rsidP="001106BD">
            <w:pPr>
              <w:jc w:val="both"/>
              <w:rPr>
                <w:rFonts w:ascii="Verdana" w:hAnsi="Verdana" w:cs="Times New Roman"/>
                <w:sz w:val="16"/>
                <w:szCs w:val="16"/>
                <w:lang w:val="de-DE"/>
              </w:rPr>
            </w:pPr>
          </w:p>
          <w:p w:rsidR="000E223B" w:rsidRPr="00A7697E" w:rsidRDefault="000E223B" w:rsidP="001106BD">
            <w:pPr>
              <w:jc w:val="both"/>
              <w:rPr>
                <w:rFonts w:ascii="Verdana" w:hAnsi="Verdana" w:cs="Times New Roman"/>
                <w:sz w:val="16"/>
                <w:szCs w:val="16"/>
                <w:lang w:val="de-DE"/>
              </w:rPr>
            </w:pPr>
          </w:p>
          <w:p w:rsidR="000E223B" w:rsidRPr="00A7697E" w:rsidRDefault="000E223B" w:rsidP="001106BD">
            <w:pPr>
              <w:jc w:val="both"/>
              <w:rPr>
                <w:rFonts w:ascii="Verdana" w:hAnsi="Verdana" w:cs="Times New Roman"/>
                <w:bCs w:val="0"/>
                <w:sz w:val="16"/>
                <w:szCs w:val="16"/>
                <w:lang w:val="de-DE"/>
              </w:rPr>
            </w:pPr>
            <w:r w:rsidRPr="00A7697E">
              <w:rPr>
                <w:rFonts w:ascii="Verdana" w:hAnsi="Verdana" w:cs="Times New Roman"/>
                <w:sz w:val="16"/>
                <w:szCs w:val="16"/>
                <w:lang w:val="de-DE"/>
              </w:rPr>
              <w:t>Hu, Wen, Chua, Li    (2014)</w:t>
            </w:r>
          </w:p>
          <w:p w:rsidR="000E223B" w:rsidRPr="00A7697E" w:rsidRDefault="000E223B" w:rsidP="001106BD">
            <w:pPr>
              <w:jc w:val="both"/>
              <w:rPr>
                <w:rFonts w:ascii="Verdana" w:hAnsi="Verdana" w:cs="Times New Roman"/>
                <w:sz w:val="16"/>
                <w:szCs w:val="16"/>
                <w:lang w:val="de-DE"/>
              </w:rPr>
            </w:pPr>
          </w:p>
          <w:p w:rsidR="000E223B" w:rsidRPr="00A7697E" w:rsidRDefault="000E223B" w:rsidP="001106BD">
            <w:pPr>
              <w:jc w:val="both"/>
              <w:rPr>
                <w:rFonts w:ascii="Verdana" w:hAnsi="Verdana" w:cs="Times New Roman"/>
                <w:sz w:val="16"/>
                <w:szCs w:val="16"/>
                <w:lang w:val="de-DE"/>
              </w:rPr>
            </w:pPr>
          </w:p>
          <w:p w:rsidR="000E223B" w:rsidRPr="00A7697E" w:rsidRDefault="000E223B" w:rsidP="001106BD">
            <w:pPr>
              <w:jc w:val="both"/>
              <w:rPr>
                <w:rFonts w:ascii="Verdana" w:hAnsi="Verdana" w:cs="Times New Roman"/>
                <w:sz w:val="16"/>
                <w:szCs w:val="16"/>
                <w:lang w:val="de-DE"/>
              </w:rPr>
            </w:pPr>
          </w:p>
        </w:tc>
        <w:tc>
          <w:tcPr>
            <w:tcW w:w="0" w:type="auto"/>
          </w:tcPr>
          <w:p w:rsidR="000E223B" w:rsidRPr="000E223B"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color w:val="000000" w:themeColor="text1"/>
                <w:sz w:val="16"/>
                <w:szCs w:val="16"/>
                <w:lang w:val="en-US"/>
              </w:rPr>
            </w:pPr>
            <w:r w:rsidRPr="000E223B">
              <w:rPr>
                <w:rFonts w:ascii="Verdana" w:hAnsi="Verdana" w:cs="Times New Roman"/>
                <w:color w:val="000000" w:themeColor="text1"/>
                <w:sz w:val="16"/>
                <w:szCs w:val="16"/>
                <w:lang w:val="en-US"/>
              </w:rPr>
              <w:t>Datasets that could not be perceived, acquired, managed, and processed by traditional IT and software/hardware tools within a tolerable time</w:t>
            </w:r>
          </w:p>
          <w:p w:rsidR="000E223B" w:rsidRPr="000E223B"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color w:val="000000" w:themeColor="text1"/>
                <w:sz w:val="16"/>
                <w:szCs w:val="16"/>
                <w:lang w:val="en-US"/>
              </w:rPr>
            </w:pPr>
          </w:p>
          <w:p w:rsidR="000E223B" w:rsidRPr="000E223B"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color w:val="000000" w:themeColor="text1"/>
                <w:sz w:val="16"/>
                <w:szCs w:val="16"/>
                <w:lang w:val="en-US"/>
              </w:rPr>
            </w:pPr>
            <w:r w:rsidRPr="000E223B">
              <w:rPr>
                <w:rFonts w:ascii="Verdana" w:hAnsi="Verdana" w:cs="Times New Roman"/>
                <w:color w:val="000000" w:themeColor="text1"/>
                <w:sz w:val="16"/>
                <w:szCs w:val="16"/>
                <w:lang w:val="en-US"/>
              </w:rPr>
              <w:t>A new generation of technologies and architectures, designed to economically extract value from very large volumes of a wide variety of data, by enabling the high-velocity capture, analysis and discovery</w:t>
            </w:r>
          </w:p>
        </w:tc>
        <w:tc>
          <w:tcPr>
            <w:tcW w:w="0" w:type="auto"/>
          </w:tcPr>
          <w:p w:rsidR="000E223B" w:rsidRPr="000E223B"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color w:val="000000" w:themeColor="text1"/>
                <w:sz w:val="16"/>
                <w:szCs w:val="16"/>
                <w:lang w:val="en-US"/>
              </w:rPr>
            </w:pPr>
            <w:r w:rsidRPr="000E223B">
              <w:rPr>
                <w:rFonts w:ascii="Verdana" w:hAnsi="Verdana" w:cs="Times New Roman"/>
                <w:color w:val="000000" w:themeColor="text1"/>
                <w:sz w:val="16"/>
                <w:szCs w:val="16"/>
                <w:lang w:val="en-US"/>
              </w:rPr>
              <w:t>Apache Hadoop definition reference</w:t>
            </w:r>
          </w:p>
          <w:p w:rsidR="000E223B" w:rsidRPr="000E223B"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color w:val="000000" w:themeColor="text1"/>
                <w:sz w:val="16"/>
                <w:szCs w:val="16"/>
                <w:lang w:val="en-US"/>
              </w:rPr>
            </w:pPr>
            <w:r w:rsidRPr="000E223B">
              <w:rPr>
                <w:rFonts w:ascii="Verdana" w:hAnsi="Verdana" w:cs="Times New Roman"/>
                <w:color w:val="000000" w:themeColor="text1"/>
                <w:sz w:val="16"/>
                <w:szCs w:val="16"/>
                <w:lang w:val="en-US"/>
              </w:rPr>
              <w:t>IDC (2011) definition reference</w:t>
            </w:r>
          </w:p>
        </w:tc>
        <w:tc>
          <w:tcPr>
            <w:tcW w:w="0" w:type="auto"/>
          </w:tcPr>
          <w:p w:rsidR="000E223B" w:rsidRPr="00A7697E"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color w:val="000000" w:themeColor="text1"/>
                <w:sz w:val="16"/>
                <w:szCs w:val="16"/>
              </w:rPr>
            </w:pPr>
            <w:r w:rsidRPr="00A7697E">
              <w:rPr>
                <w:rFonts w:ascii="Verdana" w:hAnsi="Verdana" w:cs="Times New Roman"/>
                <w:color w:val="000000" w:themeColor="text1"/>
                <w:sz w:val="16"/>
                <w:szCs w:val="16"/>
              </w:rPr>
              <w:t xml:space="preserve">Volume,  Variety, </w:t>
            </w:r>
          </w:p>
          <w:p w:rsidR="000E223B" w:rsidRPr="00A7697E"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color w:val="000000" w:themeColor="text1"/>
                <w:sz w:val="16"/>
                <w:szCs w:val="16"/>
              </w:rPr>
            </w:pPr>
            <w:r w:rsidRPr="00A7697E">
              <w:rPr>
                <w:rFonts w:ascii="Verdana" w:hAnsi="Verdana" w:cs="Times New Roman"/>
                <w:color w:val="000000" w:themeColor="text1"/>
                <w:sz w:val="16"/>
                <w:szCs w:val="16"/>
              </w:rPr>
              <w:t>Value,</w:t>
            </w:r>
          </w:p>
          <w:p w:rsidR="000E223B" w:rsidRPr="00A7697E"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color w:val="000000" w:themeColor="text1"/>
                <w:sz w:val="16"/>
                <w:szCs w:val="16"/>
              </w:rPr>
            </w:pPr>
            <w:r w:rsidRPr="00A7697E">
              <w:rPr>
                <w:rFonts w:ascii="Verdana" w:hAnsi="Verdana" w:cs="Times New Roman"/>
                <w:color w:val="000000" w:themeColor="text1"/>
                <w:sz w:val="16"/>
                <w:szCs w:val="16"/>
              </w:rPr>
              <w:t xml:space="preserve">Velocity </w:t>
            </w:r>
          </w:p>
        </w:tc>
      </w:tr>
      <w:tr w:rsidR="000E223B" w:rsidRPr="00A7697E" w:rsidTr="001106BD">
        <w:tc>
          <w:tcPr>
            <w:cnfStyle w:val="001000000000" w:firstRow="0" w:lastRow="0" w:firstColumn="1" w:lastColumn="0" w:oddVBand="0" w:evenVBand="0" w:oddHBand="0" w:evenHBand="0" w:firstRowFirstColumn="0" w:firstRowLastColumn="0" w:lastRowFirstColumn="0" w:lastRowLastColumn="0"/>
            <w:tcW w:w="0" w:type="auto"/>
          </w:tcPr>
          <w:p w:rsidR="000E223B" w:rsidRPr="00A7697E" w:rsidRDefault="000E223B" w:rsidP="001106BD">
            <w:pPr>
              <w:jc w:val="both"/>
              <w:rPr>
                <w:rFonts w:ascii="Verdana" w:hAnsi="Verdana" w:cs="Times New Roman"/>
                <w:bCs w:val="0"/>
                <w:sz w:val="16"/>
                <w:szCs w:val="16"/>
              </w:rPr>
            </w:pPr>
            <w:r w:rsidRPr="00A7697E">
              <w:rPr>
                <w:rFonts w:ascii="Verdana" w:hAnsi="Verdana" w:cs="Times New Roman"/>
                <w:sz w:val="16"/>
                <w:szCs w:val="16"/>
              </w:rPr>
              <w:t>Ohata, Kumar (2012)</w:t>
            </w:r>
          </w:p>
          <w:p w:rsidR="000E223B" w:rsidRPr="00A7697E" w:rsidRDefault="000E223B" w:rsidP="001106BD">
            <w:pPr>
              <w:jc w:val="both"/>
              <w:rPr>
                <w:rFonts w:ascii="Verdana" w:hAnsi="Verdana" w:cs="Times New Roman"/>
                <w:sz w:val="16"/>
                <w:szCs w:val="16"/>
              </w:rPr>
            </w:pPr>
          </w:p>
        </w:tc>
        <w:tc>
          <w:tcPr>
            <w:tcW w:w="0" w:type="auto"/>
          </w:tcPr>
          <w:p w:rsidR="000E223B" w:rsidRPr="000E223B"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color w:val="000000" w:themeColor="text1"/>
                <w:sz w:val="16"/>
                <w:szCs w:val="16"/>
                <w:lang w:val="en-US"/>
              </w:rPr>
            </w:pPr>
            <w:r w:rsidRPr="000E223B">
              <w:rPr>
                <w:rFonts w:ascii="Verdana" w:hAnsi="Verdana" w:cs="Times New Roman"/>
                <w:color w:val="000000" w:themeColor="text1"/>
                <w:sz w:val="16"/>
                <w:szCs w:val="16"/>
                <w:lang w:val="en-US"/>
              </w:rPr>
              <w:t>Typically the explosion of user transactional data that reveal the patterns and behaviors of consumers</w:t>
            </w:r>
          </w:p>
          <w:p w:rsidR="000E223B" w:rsidRPr="000E223B"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color w:val="000000" w:themeColor="text1"/>
                <w:sz w:val="16"/>
                <w:szCs w:val="16"/>
                <w:lang w:val="en-US"/>
              </w:rPr>
            </w:pPr>
          </w:p>
        </w:tc>
        <w:tc>
          <w:tcPr>
            <w:tcW w:w="0" w:type="auto"/>
          </w:tcPr>
          <w:p w:rsidR="000E223B" w:rsidRPr="000E223B"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color w:val="000000" w:themeColor="text1"/>
                <w:sz w:val="16"/>
                <w:szCs w:val="16"/>
                <w:lang w:val="en-US"/>
              </w:rPr>
            </w:pPr>
          </w:p>
        </w:tc>
        <w:tc>
          <w:tcPr>
            <w:tcW w:w="0" w:type="auto"/>
          </w:tcPr>
          <w:p w:rsidR="000E223B" w:rsidRPr="00A7697E"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color w:val="000000" w:themeColor="text1"/>
                <w:sz w:val="16"/>
                <w:szCs w:val="16"/>
              </w:rPr>
            </w:pPr>
            <w:r w:rsidRPr="00A7697E">
              <w:rPr>
                <w:rFonts w:ascii="Verdana" w:hAnsi="Verdana" w:cs="Times New Roman"/>
                <w:color w:val="000000" w:themeColor="text1"/>
                <w:sz w:val="16"/>
                <w:szCs w:val="16"/>
              </w:rPr>
              <w:t>Variety</w:t>
            </w:r>
          </w:p>
        </w:tc>
      </w:tr>
      <w:tr w:rsidR="000E223B" w:rsidRPr="00A7697E" w:rsidTr="001106BD">
        <w:trPr>
          <w:cnfStyle w:val="000000100000" w:firstRow="0" w:lastRow="0" w:firstColumn="0" w:lastColumn="0" w:oddVBand="0" w:evenVBand="0" w:oddHBand="1" w:evenHBand="0" w:firstRowFirstColumn="0" w:firstRowLastColumn="0" w:lastRowFirstColumn="0" w:lastRowLastColumn="0"/>
          <w:trHeight w:val="2390"/>
        </w:trPr>
        <w:tc>
          <w:tcPr>
            <w:cnfStyle w:val="001000000000" w:firstRow="0" w:lastRow="0" w:firstColumn="1" w:lastColumn="0" w:oddVBand="0" w:evenVBand="0" w:oddHBand="0" w:evenHBand="0" w:firstRowFirstColumn="0" w:firstRowLastColumn="0" w:lastRowFirstColumn="0" w:lastRowLastColumn="0"/>
            <w:tcW w:w="0" w:type="auto"/>
          </w:tcPr>
          <w:p w:rsidR="000E223B" w:rsidRPr="00A7697E" w:rsidRDefault="000E223B" w:rsidP="001106BD">
            <w:pPr>
              <w:jc w:val="both"/>
              <w:rPr>
                <w:rFonts w:ascii="Verdana" w:hAnsi="Verdana" w:cs="Times New Roman"/>
                <w:bCs w:val="0"/>
                <w:sz w:val="16"/>
                <w:szCs w:val="16"/>
              </w:rPr>
            </w:pPr>
            <w:r w:rsidRPr="00A7697E">
              <w:rPr>
                <w:rFonts w:ascii="Verdana" w:hAnsi="Verdana" w:cs="Times New Roman"/>
                <w:sz w:val="16"/>
                <w:szCs w:val="16"/>
              </w:rPr>
              <w:t>Bedi, Jindal, Gautam (2014)</w:t>
            </w:r>
          </w:p>
          <w:p w:rsidR="000E223B" w:rsidRPr="00A7697E" w:rsidRDefault="000E223B" w:rsidP="001106BD">
            <w:pPr>
              <w:jc w:val="both"/>
              <w:rPr>
                <w:rFonts w:ascii="Verdana" w:hAnsi="Verdana" w:cs="Times New Roman"/>
                <w:sz w:val="16"/>
                <w:szCs w:val="16"/>
              </w:rPr>
            </w:pPr>
          </w:p>
        </w:tc>
        <w:tc>
          <w:tcPr>
            <w:tcW w:w="0" w:type="auto"/>
          </w:tcPr>
          <w:p w:rsidR="000E223B" w:rsidRPr="000E223B"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color w:val="000000" w:themeColor="text1"/>
                <w:sz w:val="16"/>
                <w:szCs w:val="16"/>
                <w:lang w:val="en-US"/>
              </w:rPr>
            </w:pPr>
            <w:r w:rsidRPr="000E223B">
              <w:rPr>
                <w:rFonts w:ascii="Verdana" w:hAnsi="Verdana" w:cs="Times New Roman"/>
                <w:color w:val="000000" w:themeColor="text1"/>
                <w:sz w:val="16"/>
                <w:szCs w:val="16"/>
                <w:lang w:val="en-US"/>
              </w:rPr>
              <w:t>The collection of large data sets that are very complex and voluminous in nature and it becomes difficult to process and analyze them using conventional database systems</w:t>
            </w:r>
          </w:p>
          <w:p w:rsidR="000E223B" w:rsidRPr="000E223B"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color w:val="000000" w:themeColor="text1"/>
                <w:sz w:val="16"/>
                <w:szCs w:val="16"/>
                <w:lang w:val="en-US"/>
              </w:rPr>
            </w:pPr>
            <w:r w:rsidRPr="000E223B">
              <w:rPr>
                <w:rFonts w:ascii="Verdana" w:hAnsi="Verdana" w:cs="Times New Roman"/>
                <w:color w:val="000000" w:themeColor="text1"/>
                <w:sz w:val="16"/>
                <w:szCs w:val="16"/>
                <w:lang w:val="en-US"/>
              </w:rPr>
              <w:t>The tools or techniques for describing the new generation of technologies &amp; architectures that are designed to economically extract value from very large volumes of a wide variety of data, by enabling high-velocity capture, discovery and/or analysis</w:t>
            </w:r>
          </w:p>
        </w:tc>
        <w:tc>
          <w:tcPr>
            <w:tcW w:w="0" w:type="auto"/>
          </w:tcPr>
          <w:p w:rsidR="000E223B" w:rsidRPr="000E223B"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color w:val="000000" w:themeColor="text1"/>
                <w:sz w:val="16"/>
                <w:szCs w:val="16"/>
                <w:lang w:val="en-US"/>
              </w:rPr>
            </w:pPr>
          </w:p>
        </w:tc>
        <w:tc>
          <w:tcPr>
            <w:tcW w:w="0" w:type="auto"/>
          </w:tcPr>
          <w:p w:rsidR="000E223B" w:rsidRPr="00A7697E"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color w:val="000000" w:themeColor="text1"/>
                <w:sz w:val="16"/>
                <w:szCs w:val="16"/>
              </w:rPr>
            </w:pPr>
            <w:r w:rsidRPr="00A7697E">
              <w:rPr>
                <w:rFonts w:ascii="Verdana" w:hAnsi="Verdana" w:cs="Times New Roman"/>
                <w:color w:val="000000" w:themeColor="text1"/>
                <w:sz w:val="16"/>
                <w:szCs w:val="16"/>
              </w:rPr>
              <w:t xml:space="preserve">Volume, variety, </w:t>
            </w:r>
          </w:p>
          <w:p w:rsidR="000E223B" w:rsidRPr="00A7697E"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color w:val="000000" w:themeColor="text1"/>
                <w:sz w:val="16"/>
                <w:szCs w:val="16"/>
              </w:rPr>
            </w:pPr>
            <w:r w:rsidRPr="00A7697E">
              <w:rPr>
                <w:rFonts w:ascii="Verdana" w:hAnsi="Verdana" w:cs="Times New Roman"/>
                <w:color w:val="000000" w:themeColor="text1"/>
                <w:sz w:val="16"/>
                <w:szCs w:val="16"/>
              </w:rPr>
              <w:t>value</w:t>
            </w:r>
          </w:p>
        </w:tc>
      </w:tr>
      <w:tr w:rsidR="000E223B" w:rsidRPr="00A7697E" w:rsidTr="001106BD">
        <w:trPr>
          <w:trHeight w:val="1898"/>
        </w:trPr>
        <w:tc>
          <w:tcPr>
            <w:cnfStyle w:val="001000000000" w:firstRow="0" w:lastRow="0" w:firstColumn="1" w:lastColumn="0" w:oddVBand="0" w:evenVBand="0" w:oddHBand="0" w:evenHBand="0" w:firstRowFirstColumn="0" w:firstRowLastColumn="0" w:lastRowFirstColumn="0" w:lastRowLastColumn="0"/>
            <w:tcW w:w="0" w:type="auto"/>
          </w:tcPr>
          <w:p w:rsidR="000E223B" w:rsidRPr="00A7697E" w:rsidRDefault="000E223B" w:rsidP="001106BD">
            <w:pPr>
              <w:jc w:val="both"/>
              <w:rPr>
                <w:rFonts w:ascii="Verdana" w:hAnsi="Verdana" w:cs="Times New Roman"/>
                <w:bCs w:val="0"/>
                <w:sz w:val="16"/>
                <w:szCs w:val="16"/>
              </w:rPr>
            </w:pPr>
            <w:r w:rsidRPr="00A7697E">
              <w:rPr>
                <w:rFonts w:ascii="Verdana" w:hAnsi="Verdana" w:cs="Times New Roman"/>
                <w:sz w:val="16"/>
                <w:szCs w:val="16"/>
              </w:rPr>
              <w:t>Hu, Wen, Chua, Li ( 2014)</w:t>
            </w:r>
          </w:p>
          <w:p w:rsidR="000E223B" w:rsidRPr="00A7697E" w:rsidRDefault="000E223B" w:rsidP="001106BD">
            <w:pPr>
              <w:jc w:val="both"/>
              <w:rPr>
                <w:rFonts w:ascii="Verdana" w:hAnsi="Verdana" w:cs="Times New Roman"/>
                <w:b w:val="0"/>
                <w:bCs w:val="0"/>
                <w:sz w:val="16"/>
                <w:szCs w:val="16"/>
              </w:rPr>
            </w:pPr>
          </w:p>
        </w:tc>
        <w:tc>
          <w:tcPr>
            <w:tcW w:w="0" w:type="auto"/>
          </w:tcPr>
          <w:p w:rsidR="000E223B" w:rsidRPr="000E223B"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color w:val="000000" w:themeColor="text1"/>
                <w:sz w:val="16"/>
                <w:szCs w:val="16"/>
                <w:lang w:val="en-US"/>
              </w:rPr>
            </w:pPr>
            <w:r w:rsidRPr="000E223B">
              <w:rPr>
                <w:rFonts w:ascii="Verdana" w:hAnsi="Verdana" w:cs="Times New Roman"/>
                <w:color w:val="000000" w:themeColor="text1"/>
                <w:sz w:val="16"/>
                <w:szCs w:val="16"/>
                <w:lang w:val="en-US"/>
              </w:rPr>
              <w:t>Datasets whose size is beyond the ability of typical database software tools to capture, store, manage and analyze</w:t>
            </w:r>
          </w:p>
          <w:p w:rsidR="000E223B" w:rsidRPr="000E223B"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color w:val="000000" w:themeColor="text1"/>
                <w:sz w:val="16"/>
                <w:szCs w:val="16"/>
                <w:lang w:val="en-US"/>
              </w:rPr>
            </w:pPr>
          </w:p>
          <w:p w:rsidR="000E223B" w:rsidRPr="000E223B"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color w:val="000000" w:themeColor="text1"/>
                <w:sz w:val="16"/>
                <w:szCs w:val="16"/>
                <w:lang w:val="en-US"/>
              </w:rPr>
            </w:pPr>
            <w:r w:rsidRPr="000E223B">
              <w:rPr>
                <w:rFonts w:ascii="Verdana" w:hAnsi="Verdana" w:cs="Times New Roman"/>
                <w:color w:val="000000" w:themeColor="text1"/>
                <w:sz w:val="16"/>
                <w:szCs w:val="16"/>
                <w:lang w:val="en-US"/>
              </w:rPr>
              <w:t>  Data volume, acquisition velocity, or data representation” which “limits the ability to perform effective analysis using traditional relational approaches or requires the use of significant horizontal scaling for efficient processing</w:t>
            </w:r>
          </w:p>
          <w:p w:rsidR="000E223B" w:rsidRPr="000E223B"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color w:val="000000" w:themeColor="text1"/>
                <w:sz w:val="16"/>
                <w:szCs w:val="16"/>
                <w:lang w:val="en-US"/>
              </w:rPr>
            </w:pPr>
          </w:p>
        </w:tc>
        <w:tc>
          <w:tcPr>
            <w:tcW w:w="0" w:type="auto"/>
          </w:tcPr>
          <w:p w:rsidR="000E223B" w:rsidRPr="00A7697E"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color w:val="000000" w:themeColor="text1"/>
                <w:sz w:val="16"/>
                <w:szCs w:val="16"/>
              </w:rPr>
            </w:pPr>
            <w:r w:rsidRPr="00A7697E">
              <w:rPr>
                <w:rFonts w:ascii="Verdana" w:hAnsi="Verdana" w:cs="Times New Roman"/>
                <w:color w:val="000000" w:themeColor="text1"/>
                <w:sz w:val="16"/>
                <w:szCs w:val="16"/>
              </w:rPr>
              <w:t>Mckinsey (2011)</w:t>
            </w:r>
          </w:p>
          <w:p w:rsidR="000E223B" w:rsidRPr="00A7697E"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color w:val="000000" w:themeColor="text1"/>
                <w:sz w:val="16"/>
                <w:szCs w:val="16"/>
              </w:rPr>
            </w:pPr>
          </w:p>
          <w:p w:rsidR="000E223B" w:rsidRPr="00A7697E"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color w:val="000000" w:themeColor="text1"/>
                <w:sz w:val="16"/>
                <w:szCs w:val="16"/>
              </w:rPr>
            </w:pPr>
          </w:p>
          <w:p w:rsidR="000E223B" w:rsidRPr="00A7697E"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color w:val="000000" w:themeColor="text1"/>
                <w:sz w:val="16"/>
                <w:szCs w:val="16"/>
              </w:rPr>
            </w:pPr>
          </w:p>
          <w:p w:rsidR="000E223B" w:rsidRPr="00A7697E"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color w:val="000000" w:themeColor="text1"/>
                <w:sz w:val="16"/>
                <w:szCs w:val="16"/>
              </w:rPr>
            </w:pPr>
          </w:p>
          <w:p w:rsidR="000E223B" w:rsidRPr="00A7697E"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color w:val="000000" w:themeColor="text1"/>
                <w:sz w:val="16"/>
                <w:szCs w:val="16"/>
              </w:rPr>
            </w:pPr>
            <w:r w:rsidRPr="00A7697E">
              <w:rPr>
                <w:rFonts w:ascii="Verdana" w:hAnsi="Verdana" w:cs="Times New Roman"/>
                <w:color w:val="000000" w:themeColor="text1"/>
                <w:sz w:val="16"/>
                <w:szCs w:val="16"/>
              </w:rPr>
              <w:t>NIST (2012)</w:t>
            </w:r>
          </w:p>
        </w:tc>
        <w:tc>
          <w:tcPr>
            <w:tcW w:w="0" w:type="auto"/>
          </w:tcPr>
          <w:p w:rsidR="000E223B" w:rsidRPr="00A7697E"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color w:val="000000" w:themeColor="text1"/>
                <w:sz w:val="16"/>
                <w:szCs w:val="16"/>
              </w:rPr>
            </w:pPr>
            <w:r w:rsidRPr="00A7697E">
              <w:rPr>
                <w:rFonts w:ascii="Verdana" w:hAnsi="Verdana" w:cs="Times New Roman"/>
                <w:color w:val="000000" w:themeColor="text1"/>
                <w:sz w:val="16"/>
                <w:szCs w:val="16"/>
              </w:rPr>
              <w:t>Volume, velocity</w:t>
            </w:r>
          </w:p>
        </w:tc>
      </w:tr>
      <w:tr w:rsidR="000E223B" w:rsidRPr="00A7697E" w:rsidTr="00110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E223B" w:rsidRPr="00A7697E" w:rsidRDefault="000E223B" w:rsidP="001106BD">
            <w:pPr>
              <w:jc w:val="both"/>
              <w:rPr>
                <w:rFonts w:ascii="Verdana" w:hAnsi="Verdana" w:cs="Times New Roman"/>
                <w:bCs w:val="0"/>
                <w:sz w:val="16"/>
                <w:szCs w:val="16"/>
              </w:rPr>
            </w:pPr>
            <w:r w:rsidRPr="00A7697E">
              <w:rPr>
                <w:rFonts w:ascii="Verdana" w:hAnsi="Verdana" w:cs="Times New Roman"/>
                <w:sz w:val="16"/>
                <w:szCs w:val="16"/>
              </w:rPr>
              <w:t>Ebner, Bühnen, Urbach (2014)</w:t>
            </w:r>
          </w:p>
          <w:p w:rsidR="000E223B" w:rsidRPr="00A7697E" w:rsidRDefault="000E223B" w:rsidP="001106BD">
            <w:pPr>
              <w:jc w:val="both"/>
              <w:rPr>
                <w:rFonts w:ascii="Verdana" w:hAnsi="Verdana" w:cs="Times New Roman"/>
                <w:b w:val="0"/>
                <w:bCs w:val="0"/>
                <w:sz w:val="16"/>
                <w:szCs w:val="16"/>
              </w:rPr>
            </w:pPr>
          </w:p>
        </w:tc>
        <w:tc>
          <w:tcPr>
            <w:tcW w:w="0" w:type="auto"/>
          </w:tcPr>
          <w:p w:rsidR="000E223B" w:rsidRPr="000E223B"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color w:val="000000" w:themeColor="text1"/>
                <w:sz w:val="16"/>
                <w:szCs w:val="16"/>
                <w:lang w:val="en-US"/>
              </w:rPr>
            </w:pPr>
            <w:r w:rsidRPr="000E223B">
              <w:rPr>
                <w:rFonts w:ascii="Verdana" w:hAnsi="Verdana" w:cs="Times New Roman"/>
                <w:color w:val="000000" w:themeColor="text1"/>
                <w:sz w:val="16"/>
                <w:szCs w:val="16"/>
                <w:lang w:val="en-US"/>
              </w:rPr>
              <w:lastRenderedPageBreak/>
              <w:t xml:space="preserve">Phenomenon characterized by an ongoing increase in volume, variety, velocity, and veracity of data that </w:t>
            </w:r>
            <w:r w:rsidRPr="000E223B">
              <w:rPr>
                <w:rFonts w:ascii="Verdana" w:hAnsi="Verdana" w:cs="Times New Roman"/>
                <w:color w:val="000000" w:themeColor="text1"/>
                <w:sz w:val="16"/>
                <w:szCs w:val="16"/>
                <w:lang w:val="en-US"/>
              </w:rPr>
              <w:lastRenderedPageBreak/>
              <w:t>requires advanced techniques and technologies to capture, store, distribute, manage and analyze these data</w:t>
            </w:r>
          </w:p>
          <w:p w:rsidR="000E223B" w:rsidRPr="000E223B"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color w:val="000000" w:themeColor="text1"/>
                <w:sz w:val="16"/>
                <w:szCs w:val="16"/>
                <w:lang w:val="en-US"/>
              </w:rPr>
            </w:pPr>
          </w:p>
        </w:tc>
        <w:tc>
          <w:tcPr>
            <w:tcW w:w="0" w:type="auto"/>
          </w:tcPr>
          <w:p w:rsidR="000E223B" w:rsidRPr="000E223B"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color w:val="000000" w:themeColor="text1"/>
                <w:sz w:val="16"/>
                <w:szCs w:val="16"/>
                <w:lang w:val="en-US"/>
              </w:rPr>
            </w:pPr>
          </w:p>
        </w:tc>
        <w:tc>
          <w:tcPr>
            <w:tcW w:w="0" w:type="auto"/>
          </w:tcPr>
          <w:p w:rsidR="000E223B" w:rsidRPr="00A7697E"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color w:val="000000" w:themeColor="text1"/>
                <w:sz w:val="16"/>
                <w:szCs w:val="16"/>
              </w:rPr>
            </w:pPr>
            <w:r w:rsidRPr="00A7697E">
              <w:rPr>
                <w:rFonts w:ascii="Verdana" w:hAnsi="Verdana" w:cs="Times New Roman"/>
                <w:color w:val="000000" w:themeColor="text1"/>
                <w:sz w:val="16"/>
                <w:szCs w:val="16"/>
              </w:rPr>
              <w:t xml:space="preserve">Volume, variety, </w:t>
            </w:r>
            <w:r w:rsidRPr="00A7697E">
              <w:rPr>
                <w:rFonts w:ascii="Verdana" w:hAnsi="Verdana" w:cs="Times New Roman"/>
                <w:color w:val="000000" w:themeColor="text1"/>
                <w:sz w:val="16"/>
                <w:szCs w:val="16"/>
              </w:rPr>
              <w:lastRenderedPageBreak/>
              <w:t>velocity, Veracity</w:t>
            </w:r>
          </w:p>
        </w:tc>
      </w:tr>
    </w:tbl>
    <w:p w:rsidR="000E223B" w:rsidRPr="00753959" w:rsidRDefault="000E223B" w:rsidP="000E223B">
      <w:pPr>
        <w:spacing w:line="360" w:lineRule="auto"/>
        <w:jc w:val="center"/>
        <w:rPr>
          <w:rFonts w:ascii="Verdana" w:hAnsi="Verdana" w:cs="Times New Roman"/>
          <w:sz w:val="18"/>
          <w:szCs w:val="18"/>
          <w:lang w:val="en-US"/>
        </w:rPr>
      </w:pPr>
      <w:r w:rsidRPr="00753959">
        <w:rPr>
          <w:rFonts w:ascii="Verdana" w:hAnsi="Verdana" w:cs="Times New Roman"/>
          <w:sz w:val="18"/>
          <w:szCs w:val="18"/>
          <w:lang w:val="en-US"/>
        </w:rPr>
        <w:lastRenderedPageBreak/>
        <w:t>Table 5.1 Big data definitions in literature</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Judging by the dimension characteristic, most big data definitions refers to volume and variety of data sets with variations regarding how fast data is produced (velocity) or the insights derived and used from processing and analyzing such data (value). The volume dimension is mentioned with a frequency of 16 times with the variety dimension mentioned in 10 definitions. Following, we have velocity mentioned in 7 definitions, value mentioned in 3 and veracity mentioned 3 times. </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Before settling on a common definition on what big data is, we also favored a research of its most commonly mentioned dimensions not only based on definitions but also based on the body of research. We will discuss the dimensions aspect in the next sections before attempting to provide a definition and present our own dimensions model.  </w:t>
      </w:r>
    </w:p>
    <w:p w:rsidR="000E223B" w:rsidRPr="00FB5C1D" w:rsidRDefault="000E223B" w:rsidP="000E223B">
      <w:pPr>
        <w:pStyle w:val="Heading2"/>
        <w:spacing w:line="360" w:lineRule="auto"/>
        <w:jc w:val="both"/>
        <w:rPr>
          <w:rFonts w:ascii="Verdana" w:hAnsi="Verdana" w:cs="Times New Roman"/>
          <w:sz w:val="20"/>
          <w:szCs w:val="20"/>
        </w:rPr>
      </w:pPr>
      <w:bookmarkStart w:id="86" w:name="_Toc423597546"/>
      <w:r w:rsidRPr="00FB5C1D">
        <w:rPr>
          <w:rFonts w:ascii="Verdana" w:hAnsi="Verdana" w:cs="Times New Roman"/>
          <w:sz w:val="20"/>
          <w:szCs w:val="20"/>
        </w:rPr>
        <w:t>5.2.2 Dimensions model in theory</w:t>
      </w:r>
      <w:bookmarkEnd w:id="86"/>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The dimensions model was first published by Gartner as a 3 V’s model</w:t>
      </w:r>
      <w:r w:rsidRPr="00FB5C1D">
        <w:rPr>
          <w:rFonts w:ascii="Verdana" w:hAnsi="Verdana" w:cs="Times New Roman"/>
          <w:sz w:val="20"/>
          <w:szCs w:val="20"/>
        </w:rPr>
        <w:tab/>
        <w:t xml:space="preserve"> (Morabito,2014) : </w:t>
      </w:r>
      <w:r w:rsidRPr="00FB5C1D">
        <w:rPr>
          <w:rFonts w:ascii="Verdana" w:hAnsi="Verdana" w:cs="Times New Roman"/>
          <w:i/>
          <w:sz w:val="20"/>
          <w:szCs w:val="20"/>
        </w:rPr>
        <w:t>volume</w:t>
      </w:r>
      <w:r w:rsidRPr="00FB5C1D">
        <w:rPr>
          <w:rFonts w:ascii="Verdana" w:hAnsi="Verdana" w:cs="Times New Roman"/>
          <w:sz w:val="20"/>
          <w:szCs w:val="20"/>
        </w:rPr>
        <w:t xml:space="preserve">, </w:t>
      </w:r>
      <w:r w:rsidRPr="00FB5C1D">
        <w:rPr>
          <w:rFonts w:ascii="Verdana" w:hAnsi="Verdana" w:cs="Times New Roman"/>
          <w:i/>
          <w:sz w:val="20"/>
          <w:szCs w:val="20"/>
        </w:rPr>
        <w:t>velocity</w:t>
      </w:r>
      <w:r w:rsidRPr="00FB5C1D">
        <w:rPr>
          <w:rFonts w:ascii="Verdana" w:hAnsi="Verdana" w:cs="Times New Roman"/>
          <w:sz w:val="20"/>
          <w:szCs w:val="20"/>
        </w:rPr>
        <w:t xml:space="preserve"> and </w:t>
      </w:r>
      <w:r w:rsidRPr="00FB5C1D">
        <w:rPr>
          <w:rFonts w:ascii="Verdana" w:hAnsi="Verdana" w:cs="Times New Roman"/>
          <w:i/>
          <w:sz w:val="20"/>
          <w:szCs w:val="20"/>
        </w:rPr>
        <w:t>variety</w:t>
      </w:r>
      <w:r w:rsidRPr="00FB5C1D">
        <w:rPr>
          <w:rFonts w:ascii="Verdana" w:hAnsi="Verdana" w:cs="Times New Roman"/>
          <w:sz w:val="20"/>
          <w:szCs w:val="20"/>
        </w:rPr>
        <w:t xml:space="preserve"> but in 2011, an IDC report added the value dimension to the initial model. This latest dimension highlighted the most critical aspect of big data : discovering/mining value. A lot of definitions from the practitioner community (such as IBM mentioned in the previous table) use the original Gartner 3V model, although new dimensions such as veracity or validity are added to fit the different facets of research in big data (Bedi, Jindal &amp; Gautam,2014).</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The reasoning behind the attempt to structure an all-general dimensions models stems from the variety of dimensions which are continuously proposed both in the academia and the practitioner community. For example, Bedi</w:t>
      </w:r>
      <w:r w:rsidR="00BC1F27">
        <w:rPr>
          <w:rFonts w:ascii="Verdana" w:hAnsi="Verdana" w:cs="Times New Roman"/>
          <w:sz w:val="20"/>
          <w:szCs w:val="20"/>
          <w:lang w:val="en-US"/>
        </w:rPr>
        <w:t xml:space="preserve"> et al.</w:t>
      </w:r>
      <w:r w:rsidRPr="000E223B">
        <w:rPr>
          <w:rFonts w:ascii="Verdana" w:hAnsi="Verdana" w:cs="Times New Roman"/>
          <w:sz w:val="20"/>
          <w:szCs w:val="20"/>
          <w:lang w:val="en-US"/>
        </w:rPr>
        <w:t xml:space="preserve"> (2014) added to their 7V dimension model a 3C sub-dimension consisting of attributes such as </w:t>
      </w:r>
      <w:r w:rsidRPr="000E223B">
        <w:rPr>
          <w:rFonts w:ascii="Verdana" w:hAnsi="Verdana" w:cs="Times New Roman"/>
          <w:i/>
          <w:sz w:val="20"/>
          <w:szCs w:val="20"/>
          <w:lang w:val="en-US"/>
        </w:rPr>
        <w:t>complexity</w:t>
      </w:r>
      <w:r w:rsidRPr="000E223B">
        <w:rPr>
          <w:rFonts w:ascii="Verdana" w:hAnsi="Verdana" w:cs="Times New Roman"/>
          <w:sz w:val="20"/>
          <w:szCs w:val="20"/>
          <w:lang w:val="en-US"/>
        </w:rPr>
        <w:t xml:space="preserve">, </w:t>
      </w:r>
      <w:r w:rsidRPr="000E223B">
        <w:rPr>
          <w:rFonts w:ascii="Verdana" w:hAnsi="Verdana" w:cs="Times New Roman"/>
          <w:i/>
          <w:sz w:val="20"/>
          <w:szCs w:val="20"/>
          <w:lang w:val="en-US"/>
        </w:rPr>
        <w:t>cost</w:t>
      </w:r>
      <w:r w:rsidRPr="000E223B">
        <w:rPr>
          <w:rFonts w:ascii="Verdana" w:hAnsi="Verdana" w:cs="Times New Roman"/>
          <w:sz w:val="20"/>
          <w:szCs w:val="20"/>
          <w:lang w:val="en-US"/>
        </w:rPr>
        <w:t xml:space="preserve"> and </w:t>
      </w:r>
      <w:r w:rsidRPr="000E223B">
        <w:rPr>
          <w:rFonts w:ascii="Verdana" w:hAnsi="Verdana" w:cs="Times New Roman"/>
          <w:i/>
          <w:sz w:val="20"/>
          <w:szCs w:val="20"/>
          <w:lang w:val="en-US"/>
        </w:rPr>
        <w:t>consistency</w:t>
      </w:r>
      <w:r w:rsidRPr="000E223B">
        <w:rPr>
          <w:rFonts w:ascii="Verdana" w:hAnsi="Verdana" w:cs="Times New Roman"/>
          <w:sz w:val="20"/>
          <w:szCs w:val="20"/>
          <w:lang w:val="en-US"/>
        </w:rPr>
        <w:t xml:space="preserve">. It is however important to focus and keep only the most commonly referenced dimensions of big data as a general concept. This can ease the implementation and deployment of an incipient big data project as it only steers focus on the first and foremost traits of the concept. Additionally, dimensions such as variability or validity, while important to mention and take into account when dealing with complex, sensitive information (such as financial consumer data for example), can very easily be integrated in the general dimensions like velocity (peaks in data recording are correlated to speed of data flows) or veracity (data can be valid but not necessarily truthful).  Unlocking new levels in the big data journey will allow to further add or remove dimensions based on how relevant information complements the actual business needs. </w:t>
      </w:r>
    </w:p>
    <w:p w:rsidR="000E223B" w:rsidRPr="00FB5C1D" w:rsidRDefault="000E223B" w:rsidP="000E223B">
      <w:pPr>
        <w:pStyle w:val="Heading2"/>
        <w:spacing w:line="360" w:lineRule="auto"/>
        <w:jc w:val="both"/>
        <w:rPr>
          <w:rFonts w:ascii="Verdana" w:hAnsi="Verdana" w:cs="Times New Roman"/>
          <w:sz w:val="20"/>
          <w:szCs w:val="20"/>
        </w:rPr>
      </w:pPr>
      <w:bookmarkStart w:id="87" w:name="_Toc423597547"/>
      <w:r w:rsidRPr="00FB5C1D">
        <w:rPr>
          <w:rFonts w:ascii="Verdana" w:hAnsi="Verdana" w:cs="Times New Roman"/>
          <w:sz w:val="20"/>
          <w:szCs w:val="20"/>
        </w:rPr>
        <w:lastRenderedPageBreak/>
        <w:t>5.2.3 Dimensions model research</w:t>
      </w:r>
      <w:bookmarkEnd w:id="87"/>
      <w:r w:rsidRPr="00FB5C1D">
        <w:rPr>
          <w:rFonts w:ascii="Verdana" w:hAnsi="Verdana" w:cs="Times New Roman"/>
          <w:sz w:val="20"/>
          <w:szCs w:val="20"/>
        </w:rPr>
        <w:t xml:space="preserve"> </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We wanted to check whether the dimensions we have identified in the most common big data definitions correspond to the dimensions most frequently mentioned in big data literature. During the same literature review as previously mentioned, we noted the most common dimensions mentioned not only in the definitions but also in the body of the research papers as a potential dimension model. Some authors did not mention a particular dimension as part of the definition but did mention the dimensions model in their research. We have thus, as such, grouped the authors mentioning the same dimension(s) and counted which ones were the most frequently mentioned. </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Table 5.2 groups the frequency count per researcher and per dimension for each of the sources we used in our literature review on dimensions. </w:t>
      </w:r>
    </w:p>
    <w:tbl>
      <w:tblPr>
        <w:tblStyle w:val="LightShading-Accent2"/>
        <w:tblW w:w="0" w:type="auto"/>
        <w:tblLayout w:type="fixed"/>
        <w:tblLook w:val="04A0" w:firstRow="1" w:lastRow="0" w:firstColumn="1" w:lastColumn="0" w:noHBand="0" w:noVBand="1"/>
      </w:tblPr>
      <w:tblGrid>
        <w:gridCol w:w="1939"/>
        <w:gridCol w:w="5982"/>
        <w:gridCol w:w="1259"/>
      </w:tblGrid>
      <w:tr w:rsidR="000E223B" w:rsidRPr="00B96519" w:rsidTr="001106B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9" w:type="dxa"/>
            <w:noWrap/>
            <w:hideMark/>
          </w:tcPr>
          <w:p w:rsidR="000E223B" w:rsidRPr="00B96519" w:rsidRDefault="000E223B" w:rsidP="001106BD">
            <w:pPr>
              <w:jc w:val="both"/>
              <w:rPr>
                <w:rFonts w:ascii="Verdana" w:eastAsia="Times New Roman" w:hAnsi="Verdana" w:cs="Times New Roman"/>
                <w:b w:val="0"/>
                <w:sz w:val="16"/>
                <w:szCs w:val="16"/>
              </w:rPr>
            </w:pPr>
            <w:r w:rsidRPr="00B96519">
              <w:rPr>
                <w:rFonts w:ascii="Verdana" w:eastAsia="Times New Roman" w:hAnsi="Verdana" w:cs="Times New Roman"/>
                <w:sz w:val="16"/>
                <w:szCs w:val="16"/>
              </w:rPr>
              <w:t>Big data dimensions</w:t>
            </w:r>
          </w:p>
        </w:tc>
        <w:tc>
          <w:tcPr>
            <w:tcW w:w="5982" w:type="dxa"/>
            <w:noWrap/>
            <w:hideMark/>
          </w:tcPr>
          <w:p w:rsidR="000E223B" w:rsidRPr="00B96519" w:rsidRDefault="000E223B" w:rsidP="001106BD">
            <w:pPr>
              <w:jc w:val="both"/>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b w:val="0"/>
                <w:sz w:val="16"/>
                <w:szCs w:val="16"/>
              </w:rPr>
            </w:pPr>
            <w:r w:rsidRPr="00B96519">
              <w:rPr>
                <w:rFonts w:ascii="Verdana" w:eastAsia="Times New Roman" w:hAnsi="Verdana" w:cs="Times New Roman"/>
                <w:sz w:val="16"/>
                <w:szCs w:val="16"/>
              </w:rPr>
              <w:t>Reference research</w:t>
            </w:r>
          </w:p>
        </w:tc>
        <w:tc>
          <w:tcPr>
            <w:tcW w:w="1259" w:type="dxa"/>
            <w:noWrap/>
            <w:hideMark/>
          </w:tcPr>
          <w:p w:rsidR="000E223B" w:rsidRPr="00B96519" w:rsidRDefault="000E223B" w:rsidP="001106BD">
            <w:pPr>
              <w:jc w:val="both"/>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b w:val="0"/>
                <w:sz w:val="16"/>
                <w:szCs w:val="16"/>
              </w:rPr>
            </w:pPr>
            <w:r w:rsidRPr="00B96519">
              <w:rPr>
                <w:rFonts w:ascii="Verdana" w:eastAsia="Times New Roman" w:hAnsi="Verdana" w:cs="Times New Roman"/>
                <w:sz w:val="16"/>
                <w:szCs w:val="16"/>
              </w:rPr>
              <w:t>Frequency count</w:t>
            </w:r>
          </w:p>
        </w:tc>
      </w:tr>
      <w:tr w:rsidR="000E223B" w:rsidRPr="00B96519" w:rsidTr="001106BD">
        <w:trPr>
          <w:cnfStyle w:val="000000100000" w:firstRow="0" w:lastRow="0" w:firstColumn="0" w:lastColumn="0" w:oddVBand="0" w:evenVBand="0" w:oddHBand="1" w:evenHBand="0" w:firstRowFirstColumn="0" w:firstRowLastColumn="0" w:lastRowFirstColumn="0" w:lastRowLastColumn="0"/>
          <w:trHeight w:val="1506"/>
        </w:trPr>
        <w:tc>
          <w:tcPr>
            <w:cnfStyle w:val="001000000000" w:firstRow="0" w:lastRow="0" w:firstColumn="1" w:lastColumn="0" w:oddVBand="0" w:evenVBand="0" w:oddHBand="0" w:evenHBand="0" w:firstRowFirstColumn="0" w:firstRowLastColumn="0" w:lastRowFirstColumn="0" w:lastRowLastColumn="0"/>
            <w:tcW w:w="1939" w:type="dxa"/>
            <w:noWrap/>
            <w:hideMark/>
          </w:tcPr>
          <w:p w:rsidR="000E223B" w:rsidRPr="00B96519" w:rsidRDefault="000E223B" w:rsidP="001106BD">
            <w:pPr>
              <w:jc w:val="both"/>
              <w:rPr>
                <w:rFonts w:ascii="Verdana" w:eastAsia="Times New Roman" w:hAnsi="Verdana" w:cs="Times New Roman"/>
                <w:sz w:val="16"/>
                <w:szCs w:val="16"/>
              </w:rPr>
            </w:pPr>
            <w:r w:rsidRPr="00B96519">
              <w:rPr>
                <w:rFonts w:ascii="Verdana" w:eastAsia="Times New Roman" w:hAnsi="Verdana" w:cs="Times New Roman"/>
                <w:sz w:val="16"/>
                <w:szCs w:val="16"/>
              </w:rPr>
              <w:t>Volume</w:t>
            </w:r>
          </w:p>
        </w:tc>
        <w:tc>
          <w:tcPr>
            <w:tcW w:w="5982" w:type="dxa"/>
            <w:hideMark/>
          </w:tcPr>
          <w:p w:rsidR="000E223B" w:rsidRPr="00B96519"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6"/>
                <w:szCs w:val="16"/>
              </w:rPr>
            </w:pPr>
            <w:r w:rsidRPr="00B96519">
              <w:rPr>
                <w:rFonts w:ascii="Verdana" w:eastAsia="Times New Roman" w:hAnsi="Verdana" w:cs="Times New Roman"/>
                <w:color w:val="000000"/>
                <w:sz w:val="16"/>
                <w:szCs w:val="16"/>
              </w:rPr>
              <w:t>Buhl et al. (2013), Morabito (2014), Chen, Mao, Liu (2014), Katal, Wazid, Goudar (2013), Ali-ud-din Khan,</w:t>
            </w:r>
            <w:r w:rsidR="000C3167">
              <w:rPr>
                <w:rFonts w:ascii="Verdana" w:eastAsia="Times New Roman" w:hAnsi="Verdana" w:cs="Times New Roman"/>
                <w:color w:val="000000"/>
                <w:sz w:val="16"/>
                <w:szCs w:val="16"/>
              </w:rPr>
              <w:t xml:space="preserve"> </w:t>
            </w:r>
            <w:r w:rsidRPr="00B96519">
              <w:rPr>
                <w:rFonts w:ascii="Verdana" w:eastAsia="Times New Roman" w:hAnsi="Verdana" w:cs="Times New Roman"/>
                <w:color w:val="000000"/>
                <w:sz w:val="16"/>
                <w:szCs w:val="16"/>
              </w:rPr>
              <w:t>Uddin</w:t>
            </w:r>
            <w:r w:rsidR="000C3167">
              <w:rPr>
                <w:rFonts w:ascii="Verdana" w:eastAsia="Times New Roman" w:hAnsi="Verdana" w:cs="Times New Roman"/>
                <w:color w:val="000000"/>
                <w:sz w:val="16"/>
                <w:szCs w:val="16"/>
              </w:rPr>
              <w:t xml:space="preserve"> </w:t>
            </w:r>
            <w:r w:rsidRPr="00B96519">
              <w:rPr>
                <w:rFonts w:ascii="Verdana" w:eastAsia="Times New Roman" w:hAnsi="Verdana" w:cs="Times New Roman"/>
                <w:color w:val="000000"/>
                <w:sz w:val="16"/>
                <w:szCs w:val="16"/>
              </w:rPr>
              <w:t xml:space="preserve">,Gupta (2014), Liu, Yang, Zhang (2013), Bedi, Jindal, Gautam (2014), Hu, Wen, Chua, Li ( 2014), Ebner, Bühnen, Urbach (2014), </w:t>
            </w:r>
            <w:r w:rsidRPr="00B96519">
              <w:rPr>
                <w:rFonts w:ascii="Verdana" w:eastAsia="Times New Roman" w:hAnsi="Verdana" w:cs="Times New Roman"/>
                <w:color w:val="000000"/>
                <w:sz w:val="16"/>
                <w:szCs w:val="16"/>
              </w:rPr>
              <w:br/>
              <w:t>Zhang, Chen,Li (2013)</w:t>
            </w:r>
          </w:p>
        </w:tc>
        <w:tc>
          <w:tcPr>
            <w:tcW w:w="1259" w:type="dxa"/>
            <w:noWrap/>
            <w:hideMark/>
          </w:tcPr>
          <w:p w:rsidR="000E223B" w:rsidRPr="00B96519"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6"/>
                <w:szCs w:val="16"/>
              </w:rPr>
            </w:pPr>
            <w:r w:rsidRPr="00B96519">
              <w:rPr>
                <w:rFonts w:ascii="Verdana" w:eastAsia="Times New Roman" w:hAnsi="Verdana" w:cs="Times New Roman"/>
                <w:color w:val="000000"/>
                <w:sz w:val="16"/>
                <w:szCs w:val="16"/>
              </w:rPr>
              <w:t>10</w:t>
            </w:r>
          </w:p>
        </w:tc>
      </w:tr>
      <w:tr w:rsidR="000E223B" w:rsidRPr="00B96519" w:rsidTr="001106BD">
        <w:trPr>
          <w:trHeight w:val="1447"/>
        </w:trPr>
        <w:tc>
          <w:tcPr>
            <w:cnfStyle w:val="001000000000" w:firstRow="0" w:lastRow="0" w:firstColumn="1" w:lastColumn="0" w:oddVBand="0" w:evenVBand="0" w:oddHBand="0" w:evenHBand="0" w:firstRowFirstColumn="0" w:firstRowLastColumn="0" w:lastRowFirstColumn="0" w:lastRowLastColumn="0"/>
            <w:tcW w:w="1939" w:type="dxa"/>
            <w:noWrap/>
            <w:hideMark/>
          </w:tcPr>
          <w:p w:rsidR="000E223B" w:rsidRPr="00B96519" w:rsidRDefault="000E223B" w:rsidP="001106BD">
            <w:pPr>
              <w:jc w:val="both"/>
              <w:rPr>
                <w:rFonts w:ascii="Verdana" w:eastAsia="Times New Roman" w:hAnsi="Verdana" w:cs="Times New Roman"/>
                <w:sz w:val="16"/>
                <w:szCs w:val="16"/>
              </w:rPr>
            </w:pPr>
            <w:r w:rsidRPr="00B96519">
              <w:rPr>
                <w:rFonts w:ascii="Verdana" w:eastAsia="Times New Roman" w:hAnsi="Verdana" w:cs="Times New Roman"/>
                <w:sz w:val="16"/>
                <w:szCs w:val="16"/>
              </w:rPr>
              <w:t>Velocity</w:t>
            </w:r>
          </w:p>
        </w:tc>
        <w:tc>
          <w:tcPr>
            <w:tcW w:w="5982" w:type="dxa"/>
            <w:hideMark/>
          </w:tcPr>
          <w:p w:rsidR="000E223B" w:rsidRPr="00B96519"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6"/>
                <w:szCs w:val="16"/>
              </w:rPr>
            </w:pPr>
            <w:r w:rsidRPr="00B96519">
              <w:rPr>
                <w:rFonts w:ascii="Verdana" w:eastAsia="Times New Roman" w:hAnsi="Verdana" w:cs="Times New Roman"/>
                <w:color w:val="000000"/>
                <w:sz w:val="16"/>
                <w:szCs w:val="16"/>
              </w:rPr>
              <w:t>Buhl et al. (2013), Morabito (2014), Chen, Mao, Liu (2014), Katal, Wazid, Goudar (2013), Ali-ud-din Khan,</w:t>
            </w:r>
            <w:r w:rsidR="000C3167">
              <w:rPr>
                <w:rFonts w:ascii="Verdana" w:eastAsia="Times New Roman" w:hAnsi="Verdana" w:cs="Times New Roman"/>
                <w:color w:val="000000"/>
                <w:sz w:val="16"/>
                <w:szCs w:val="16"/>
              </w:rPr>
              <w:t xml:space="preserve"> </w:t>
            </w:r>
            <w:r w:rsidRPr="00B96519">
              <w:rPr>
                <w:rFonts w:ascii="Verdana" w:eastAsia="Times New Roman" w:hAnsi="Verdana" w:cs="Times New Roman"/>
                <w:color w:val="000000"/>
                <w:sz w:val="16"/>
                <w:szCs w:val="16"/>
              </w:rPr>
              <w:t>Uddin,</w:t>
            </w:r>
            <w:r w:rsidR="000C3167">
              <w:rPr>
                <w:rFonts w:ascii="Verdana" w:eastAsia="Times New Roman" w:hAnsi="Verdana" w:cs="Times New Roman"/>
                <w:color w:val="000000"/>
                <w:sz w:val="16"/>
                <w:szCs w:val="16"/>
              </w:rPr>
              <w:t xml:space="preserve"> </w:t>
            </w:r>
            <w:r w:rsidRPr="00B96519">
              <w:rPr>
                <w:rFonts w:ascii="Verdana" w:eastAsia="Times New Roman" w:hAnsi="Verdana" w:cs="Times New Roman"/>
                <w:color w:val="000000"/>
                <w:sz w:val="16"/>
                <w:szCs w:val="16"/>
              </w:rPr>
              <w:t xml:space="preserve">Gupta (2014), Liu, Yang, Zhang (2013), Bedi, Jindal, Gautam (2014), Hu, Wen, Chua, Li ( 2014), Ebner, Bühnen, Urbach (2014), </w:t>
            </w:r>
            <w:r w:rsidRPr="00B96519">
              <w:rPr>
                <w:rFonts w:ascii="Verdana" w:eastAsia="Times New Roman" w:hAnsi="Verdana" w:cs="Times New Roman"/>
                <w:color w:val="000000"/>
                <w:sz w:val="16"/>
                <w:szCs w:val="16"/>
              </w:rPr>
              <w:br/>
              <w:t>Zhang, Chen,Li (2013)</w:t>
            </w:r>
          </w:p>
        </w:tc>
        <w:tc>
          <w:tcPr>
            <w:tcW w:w="1259" w:type="dxa"/>
            <w:noWrap/>
            <w:hideMark/>
          </w:tcPr>
          <w:p w:rsidR="000E223B" w:rsidRPr="00B96519"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6"/>
                <w:szCs w:val="16"/>
              </w:rPr>
            </w:pPr>
            <w:r w:rsidRPr="00B96519">
              <w:rPr>
                <w:rFonts w:ascii="Verdana" w:eastAsia="Times New Roman" w:hAnsi="Verdana" w:cs="Times New Roman"/>
                <w:color w:val="000000"/>
                <w:sz w:val="16"/>
                <w:szCs w:val="16"/>
              </w:rPr>
              <w:t>10</w:t>
            </w:r>
          </w:p>
        </w:tc>
      </w:tr>
      <w:tr w:rsidR="000E223B" w:rsidRPr="00B96519" w:rsidTr="001106BD">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1939" w:type="dxa"/>
            <w:noWrap/>
            <w:hideMark/>
          </w:tcPr>
          <w:p w:rsidR="000E223B" w:rsidRPr="00B96519" w:rsidRDefault="000E223B" w:rsidP="001106BD">
            <w:pPr>
              <w:jc w:val="both"/>
              <w:rPr>
                <w:rFonts w:ascii="Verdana" w:eastAsia="Times New Roman" w:hAnsi="Verdana" w:cs="Times New Roman"/>
                <w:sz w:val="16"/>
                <w:szCs w:val="16"/>
              </w:rPr>
            </w:pPr>
            <w:r w:rsidRPr="00B96519">
              <w:rPr>
                <w:rFonts w:ascii="Verdana" w:eastAsia="Times New Roman" w:hAnsi="Verdana" w:cs="Times New Roman"/>
                <w:sz w:val="16"/>
                <w:szCs w:val="16"/>
              </w:rPr>
              <w:t>Veracity</w:t>
            </w:r>
          </w:p>
        </w:tc>
        <w:tc>
          <w:tcPr>
            <w:tcW w:w="5982" w:type="dxa"/>
            <w:hideMark/>
          </w:tcPr>
          <w:p w:rsidR="000E223B" w:rsidRPr="00B96519"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6"/>
                <w:szCs w:val="16"/>
              </w:rPr>
            </w:pPr>
            <w:r w:rsidRPr="00B96519">
              <w:rPr>
                <w:rFonts w:ascii="Verdana" w:eastAsia="Times New Roman" w:hAnsi="Verdana" w:cs="Times New Roman"/>
                <w:color w:val="000000"/>
                <w:sz w:val="16"/>
                <w:szCs w:val="16"/>
              </w:rPr>
              <w:t>Buhl et al. (2013), Morabito (2014), Ali-ud-din Khan,</w:t>
            </w:r>
            <w:r w:rsidR="000C3167">
              <w:rPr>
                <w:rFonts w:ascii="Verdana" w:eastAsia="Times New Roman" w:hAnsi="Verdana" w:cs="Times New Roman"/>
                <w:color w:val="000000"/>
                <w:sz w:val="16"/>
                <w:szCs w:val="16"/>
              </w:rPr>
              <w:t xml:space="preserve"> </w:t>
            </w:r>
            <w:r w:rsidRPr="00B96519">
              <w:rPr>
                <w:rFonts w:ascii="Verdana" w:eastAsia="Times New Roman" w:hAnsi="Verdana" w:cs="Times New Roman"/>
                <w:color w:val="000000"/>
                <w:sz w:val="16"/>
                <w:szCs w:val="16"/>
              </w:rPr>
              <w:t>Uddin,</w:t>
            </w:r>
            <w:r w:rsidR="000C3167">
              <w:rPr>
                <w:rFonts w:ascii="Verdana" w:eastAsia="Times New Roman" w:hAnsi="Verdana" w:cs="Times New Roman"/>
                <w:color w:val="000000"/>
                <w:sz w:val="16"/>
                <w:szCs w:val="16"/>
              </w:rPr>
              <w:t xml:space="preserve"> </w:t>
            </w:r>
            <w:r w:rsidRPr="00B96519">
              <w:rPr>
                <w:rFonts w:ascii="Verdana" w:eastAsia="Times New Roman" w:hAnsi="Verdana" w:cs="Times New Roman"/>
                <w:color w:val="000000"/>
                <w:sz w:val="16"/>
                <w:szCs w:val="16"/>
              </w:rPr>
              <w:t xml:space="preserve">Gupta (2014), Bedi, Jindal, Gautam (2014), Ebner, Bühnen, Urbach (2014), </w:t>
            </w:r>
          </w:p>
        </w:tc>
        <w:tc>
          <w:tcPr>
            <w:tcW w:w="1259" w:type="dxa"/>
            <w:noWrap/>
            <w:hideMark/>
          </w:tcPr>
          <w:p w:rsidR="000E223B" w:rsidRPr="00B96519"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6"/>
                <w:szCs w:val="16"/>
              </w:rPr>
            </w:pPr>
            <w:r w:rsidRPr="00B96519">
              <w:rPr>
                <w:rFonts w:ascii="Verdana" w:eastAsia="Times New Roman" w:hAnsi="Verdana" w:cs="Times New Roman"/>
                <w:color w:val="000000"/>
                <w:sz w:val="16"/>
                <w:szCs w:val="16"/>
              </w:rPr>
              <w:t>5</w:t>
            </w:r>
          </w:p>
        </w:tc>
      </w:tr>
      <w:tr w:rsidR="000E223B" w:rsidRPr="00B96519" w:rsidTr="001106BD">
        <w:trPr>
          <w:trHeight w:val="1447"/>
        </w:trPr>
        <w:tc>
          <w:tcPr>
            <w:cnfStyle w:val="001000000000" w:firstRow="0" w:lastRow="0" w:firstColumn="1" w:lastColumn="0" w:oddVBand="0" w:evenVBand="0" w:oddHBand="0" w:evenHBand="0" w:firstRowFirstColumn="0" w:firstRowLastColumn="0" w:lastRowFirstColumn="0" w:lastRowLastColumn="0"/>
            <w:tcW w:w="1939" w:type="dxa"/>
            <w:noWrap/>
            <w:hideMark/>
          </w:tcPr>
          <w:p w:rsidR="000E223B" w:rsidRPr="00B96519" w:rsidRDefault="000E223B" w:rsidP="001106BD">
            <w:pPr>
              <w:jc w:val="both"/>
              <w:rPr>
                <w:rFonts w:ascii="Verdana" w:eastAsia="Times New Roman" w:hAnsi="Verdana" w:cs="Times New Roman"/>
                <w:sz w:val="16"/>
                <w:szCs w:val="16"/>
              </w:rPr>
            </w:pPr>
            <w:r w:rsidRPr="00B96519">
              <w:rPr>
                <w:rFonts w:ascii="Verdana" w:eastAsia="Times New Roman" w:hAnsi="Verdana" w:cs="Times New Roman"/>
                <w:sz w:val="16"/>
                <w:szCs w:val="16"/>
              </w:rPr>
              <w:t>Variety</w:t>
            </w:r>
          </w:p>
        </w:tc>
        <w:tc>
          <w:tcPr>
            <w:tcW w:w="5982" w:type="dxa"/>
            <w:hideMark/>
          </w:tcPr>
          <w:p w:rsidR="000E223B" w:rsidRPr="00B96519"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6"/>
                <w:szCs w:val="16"/>
              </w:rPr>
            </w:pPr>
            <w:r w:rsidRPr="00B96519">
              <w:rPr>
                <w:rFonts w:ascii="Verdana" w:eastAsia="Times New Roman" w:hAnsi="Verdana" w:cs="Times New Roman"/>
                <w:color w:val="000000"/>
                <w:sz w:val="16"/>
                <w:szCs w:val="16"/>
              </w:rPr>
              <w:t>Buhl et al. (2013), Morabito (2014), Chen, Mao, Liu (2014), Katal, Wazid, Goudar (2013), Ali-ud-din Khan,</w:t>
            </w:r>
            <w:r w:rsidR="000C3167">
              <w:rPr>
                <w:rFonts w:ascii="Verdana" w:eastAsia="Times New Roman" w:hAnsi="Verdana" w:cs="Times New Roman"/>
                <w:color w:val="000000"/>
                <w:sz w:val="16"/>
                <w:szCs w:val="16"/>
              </w:rPr>
              <w:t xml:space="preserve"> </w:t>
            </w:r>
            <w:r w:rsidRPr="00B96519">
              <w:rPr>
                <w:rFonts w:ascii="Verdana" w:eastAsia="Times New Roman" w:hAnsi="Verdana" w:cs="Times New Roman"/>
                <w:color w:val="000000"/>
                <w:sz w:val="16"/>
                <w:szCs w:val="16"/>
              </w:rPr>
              <w:t>Uddin,</w:t>
            </w:r>
            <w:r w:rsidR="000C3167">
              <w:rPr>
                <w:rFonts w:ascii="Verdana" w:eastAsia="Times New Roman" w:hAnsi="Verdana" w:cs="Times New Roman"/>
                <w:color w:val="000000"/>
                <w:sz w:val="16"/>
                <w:szCs w:val="16"/>
              </w:rPr>
              <w:t xml:space="preserve"> </w:t>
            </w:r>
            <w:r w:rsidRPr="00B96519">
              <w:rPr>
                <w:rFonts w:ascii="Verdana" w:eastAsia="Times New Roman" w:hAnsi="Verdana" w:cs="Times New Roman"/>
                <w:color w:val="000000"/>
                <w:sz w:val="16"/>
                <w:szCs w:val="16"/>
              </w:rPr>
              <w:t xml:space="preserve">Gupta (2014), Liu, Yang, Zhang (2013), Bedi, Jindal, Gautam (2014), Hu, Wen, Chua, Li ( 2014), Ebner, Bühnen, Urbach (2014), </w:t>
            </w:r>
            <w:r w:rsidRPr="00B96519">
              <w:rPr>
                <w:rFonts w:ascii="Verdana" w:eastAsia="Times New Roman" w:hAnsi="Verdana" w:cs="Times New Roman"/>
                <w:color w:val="000000"/>
                <w:sz w:val="16"/>
                <w:szCs w:val="16"/>
              </w:rPr>
              <w:br/>
              <w:t>Zhang, Chen,Li (2013)</w:t>
            </w:r>
          </w:p>
        </w:tc>
        <w:tc>
          <w:tcPr>
            <w:tcW w:w="1259" w:type="dxa"/>
            <w:noWrap/>
            <w:hideMark/>
          </w:tcPr>
          <w:p w:rsidR="000E223B" w:rsidRPr="00B96519"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6"/>
                <w:szCs w:val="16"/>
              </w:rPr>
            </w:pPr>
            <w:r w:rsidRPr="00B96519">
              <w:rPr>
                <w:rFonts w:ascii="Verdana" w:eastAsia="Times New Roman" w:hAnsi="Verdana" w:cs="Times New Roman"/>
                <w:color w:val="000000"/>
                <w:sz w:val="16"/>
                <w:szCs w:val="16"/>
              </w:rPr>
              <w:t>10</w:t>
            </w:r>
          </w:p>
        </w:tc>
      </w:tr>
      <w:tr w:rsidR="000E223B" w:rsidRPr="00B96519" w:rsidTr="001106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9" w:type="dxa"/>
            <w:noWrap/>
            <w:hideMark/>
          </w:tcPr>
          <w:p w:rsidR="000E223B" w:rsidRPr="00B96519" w:rsidRDefault="000E223B" w:rsidP="001106BD">
            <w:pPr>
              <w:jc w:val="both"/>
              <w:rPr>
                <w:rFonts w:ascii="Verdana" w:eastAsia="Times New Roman" w:hAnsi="Verdana" w:cs="Times New Roman"/>
                <w:sz w:val="16"/>
                <w:szCs w:val="16"/>
              </w:rPr>
            </w:pPr>
            <w:r w:rsidRPr="00B96519">
              <w:rPr>
                <w:rFonts w:ascii="Verdana" w:eastAsia="Times New Roman" w:hAnsi="Verdana" w:cs="Times New Roman"/>
                <w:sz w:val="16"/>
                <w:szCs w:val="16"/>
              </w:rPr>
              <w:t>Accessibility</w:t>
            </w:r>
          </w:p>
        </w:tc>
        <w:tc>
          <w:tcPr>
            <w:tcW w:w="5982" w:type="dxa"/>
            <w:noWrap/>
            <w:hideMark/>
          </w:tcPr>
          <w:p w:rsidR="000E223B" w:rsidRPr="00B96519"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6"/>
                <w:szCs w:val="16"/>
              </w:rPr>
            </w:pPr>
            <w:r w:rsidRPr="00B96519">
              <w:rPr>
                <w:rFonts w:ascii="Verdana" w:eastAsia="Times New Roman" w:hAnsi="Verdana" w:cs="Times New Roman"/>
                <w:color w:val="000000"/>
                <w:sz w:val="16"/>
                <w:szCs w:val="16"/>
              </w:rPr>
              <w:t>Morabito (2014)</w:t>
            </w:r>
          </w:p>
        </w:tc>
        <w:tc>
          <w:tcPr>
            <w:tcW w:w="1259" w:type="dxa"/>
            <w:noWrap/>
            <w:hideMark/>
          </w:tcPr>
          <w:p w:rsidR="000E223B" w:rsidRPr="00B96519"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6"/>
                <w:szCs w:val="16"/>
              </w:rPr>
            </w:pPr>
            <w:r w:rsidRPr="00B96519">
              <w:rPr>
                <w:rFonts w:ascii="Verdana" w:eastAsia="Times New Roman" w:hAnsi="Verdana" w:cs="Times New Roman"/>
                <w:color w:val="000000"/>
                <w:sz w:val="16"/>
                <w:szCs w:val="16"/>
              </w:rPr>
              <w:t>1</w:t>
            </w:r>
          </w:p>
        </w:tc>
      </w:tr>
      <w:tr w:rsidR="000E223B" w:rsidRPr="00B96519" w:rsidTr="001106BD">
        <w:trPr>
          <w:trHeight w:val="300"/>
        </w:trPr>
        <w:tc>
          <w:tcPr>
            <w:cnfStyle w:val="001000000000" w:firstRow="0" w:lastRow="0" w:firstColumn="1" w:lastColumn="0" w:oddVBand="0" w:evenVBand="0" w:oddHBand="0" w:evenHBand="0" w:firstRowFirstColumn="0" w:firstRowLastColumn="0" w:lastRowFirstColumn="0" w:lastRowLastColumn="0"/>
            <w:tcW w:w="1939" w:type="dxa"/>
            <w:noWrap/>
            <w:hideMark/>
          </w:tcPr>
          <w:p w:rsidR="000E223B" w:rsidRPr="00B96519" w:rsidRDefault="000E223B" w:rsidP="001106BD">
            <w:pPr>
              <w:jc w:val="both"/>
              <w:rPr>
                <w:rFonts w:ascii="Verdana" w:eastAsia="Times New Roman" w:hAnsi="Verdana" w:cs="Times New Roman"/>
                <w:iCs/>
                <w:sz w:val="16"/>
                <w:szCs w:val="16"/>
              </w:rPr>
            </w:pPr>
            <w:r w:rsidRPr="00B96519">
              <w:rPr>
                <w:rFonts w:ascii="Verdana" w:eastAsia="Times New Roman" w:hAnsi="Verdana" w:cs="Times New Roman"/>
                <w:iCs/>
                <w:sz w:val="16"/>
                <w:szCs w:val="16"/>
              </w:rPr>
              <w:t>Quality</w:t>
            </w:r>
          </w:p>
        </w:tc>
        <w:tc>
          <w:tcPr>
            <w:tcW w:w="5982" w:type="dxa"/>
            <w:noWrap/>
            <w:hideMark/>
          </w:tcPr>
          <w:p w:rsidR="000E223B" w:rsidRPr="00B96519"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iCs/>
                <w:color w:val="000000"/>
                <w:sz w:val="16"/>
                <w:szCs w:val="16"/>
              </w:rPr>
            </w:pPr>
            <w:r w:rsidRPr="00B96519">
              <w:rPr>
                <w:rFonts w:ascii="Verdana" w:eastAsia="Times New Roman" w:hAnsi="Verdana" w:cs="Times New Roman"/>
                <w:iCs/>
                <w:color w:val="000000"/>
                <w:sz w:val="16"/>
                <w:szCs w:val="16"/>
              </w:rPr>
              <w:t>Morabito (2014)</w:t>
            </w:r>
          </w:p>
        </w:tc>
        <w:tc>
          <w:tcPr>
            <w:tcW w:w="1259" w:type="dxa"/>
            <w:noWrap/>
            <w:hideMark/>
          </w:tcPr>
          <w:p w:rsidR="000E223B" w:rsidRPr="00B96519"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6"/>
                <w:szCs w:val="16"/>
              </w:rPr>
            </w:pPr>
            <w:r w:rsidRPr="00B96519">
              <w:rPr>
                <w:rFonts w:ascii="Verdana" w:eastAsia="Times New Roman" w:hAnsi="Verdana" w:cs="Times New Roman"/>
                <w:color w:val="000000"/>
                <w:sz w:val="16"/>
                <w:szCs w:val="16"/>
              </w:rPr>
              <w:t>1</w:t>
            </w:r>
          </w:p>
        </w:tc>
      </w:tr>
      <w:tr w:rsidR="000E223B" w:rsidRPr="00B96519" w:rsidTr="001106BD">
        <w:trPr>
          <w:cnfStyle w:val="000000100000" w:firstRow="0" w:lastRow="0" w:firstColumn="0" w:lastColumn="0" w:oddVBand="0" w:evenVBand="0" w:oddHBand="1" w:evenHBand="0" w:firstRowFirstColumn="0" w:firstRowLastColumn="0" w:lastRowFirstColumn="0" w:lastRowLastColumn="0"/>
          <w:trHeight w:val="1257"/>
        </w:trPr>
        <w:tc>
          <w:tcPr>
            <w:cnfStyle w:val="001000000000" w:firstRow="0" w:lastRow="0" w:firstColumn="1" w:lastColumn="0" w:oddVBand="0" w:evenVBand="0" w:oddHBand="0" w:evenHBand="0" w:firstRowFirstColumn="0" w:firstRowLastColumn="0" w:lastRowFirstColumn="0" w:lastRowLastColumn="0"/>
            <w:tcW w:w="1939" w:type="dxa"/>
            <w:noWrap/>
            <w:hideMark/>
          </w:tcPr>
          <w:p w:rsidR="000E223B" w:rsidRPr="00B96519" w:rsidRDefault="000E223B" w:rsidP="001106BD">
            <w:pPr>
              <w:jc w:val="both"/>
              <w:rPr>
                <w:rFonts w:ascii="Verdana" w:eastAsia="Times New Roman" w:hAnsi="Verdana" w:cs="Times New Roman"/>
                <w:sz w:val="16"/>
                <w:szCs w:val="16"/>
              </w:rPr>
            </w:pPr>
            <w:r w:rsidRPr="00B96519">
              <w:rPr>
                <w:rFonts w:ascii="Verdana" w:eastAsia="Times New Roman" w:hAnsi="Verdana" w:cs="Times New Roman"/>
                <w:sz w:val="16"/>
                <w:szCs w:val="16"/>
              </w:rPr>
              <w:t>Value</w:t>
            </w:r>
          </w:p>
        </w:tc>
        <w:tc>
          <w:tcPr>
            <w:tcW w:w="5982" w:type="dxa"/>
            <w:hideMark/>
          </w:tcPr>
          <w:p w:rsidR="000E223B" w:rsidRPr="00B96519"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6"/>
                <w:szCs w:val="16"/>
              </w:rPr>
            </w:pPr>
            <w:r w:rsidRPr="00B96519">
              <w:rPr>
                <w:rFonts w:ascii="Verdana" w:eastAsia="Times New Roman" w:hAnsi="Verdana" w:cs="Times New Roman"/>
                <w:color w:val="000000"/>
                <w:sz w:val="16"/>
                <w:szCs w:val="16"/>
              </w:rPr>
              <w:t>Chen, Mao, Liu (2014), Katal, Wazid, Goudar (2013), Ali-ud-din Khan,</w:t>
            </w:r>
            <w:r w:rsidR="000C3167">
              <w:rPr>
                <w:rFonts w:ascii="Verdana" w:eastAsia="Times New Roman" w:hAnsi="Verdana" w:cs="Times New Roman"/>
                <w:color w:val="000000"/>
                <w:sz w:val="16"/>
                <w:szCs w:val="16"/>
              </w:rPr>
              <w:t xml:space="preserve"> </w:t>
            </w:r>
            <w:r w:rsidRPr="00B96519">
              <w:rPr>
                <w:rFonts w:ascii="Verdana" w:eastAsia="Times New Roman" w:hAnsi="Verdana" w:cs="Times New Roman"/>
                <w:color w:val="000000"/>
                <w:sz w:val="16"/>
                <w:szCs w:val="16"/>
              </w:rPr>
              <w:t>Uddin,</w:t>
            </w:r>
            <w:r w:rsidR="000C3167">
              <w:rPr>
                <w:rFonts w:ascii="Verdana" w:eastAsia="Times New Roman" w:hAnsi="Verdana" w:cs="Times New Roman"/>
                <w:color w:val="000000"/>
                <w:sz w:val="16"/>
                <w:szCs w:val="16"/>
              </w:rPr>
              <w:t xml:space="preserve"> </w:t>
            </w:r>
            <w:r w:rsidRPr="00B96519">
              <w:rPr>
                <w:rFonts w:ascii="Verdana" w:eastAsia="Times New Roman" w:hAnsi="Verdana" w:cs="Times New Roman"/>
                <w:color w:val="000000"/>
                <w:sz w:val="16"/>
                <w:szCs w:val="16"/>
              </w:rPr>
              <w:t xml:space="preserve">Gupta (2014), Liu, Yang, Zhang (2013), Bedi, Jindal, Gautam (2014), Hu, Wen, Chua, Li ( 2014), </w:t>
            </w:r>
            <w:r w:rsidRPr="00B96519">
              <w:rPr>
                <w:rFonts w:ascii="Verdana" w:eastAsia="Times New Roman" w:hAnsi="Verdana" w:cs="Times New Roman"/>
                <w:color w:val="000000"/>
                <w:sz w:val="16"/>
                <w:szCs w:val="16"/>
              </w:rPr>
              <w:br/>
              <w:t>Zhang, Chen,</w:t>
            </w:r>
            <w:r w:rsidR="000C3167">
              <w:rPr>
                <w:rFonts w:ascii="Verdana" w:eastAsia="Times New Roman" w:hAnsi="Verdana" w:cs="Times New Roman"/>
                <w:color w:val="000000"/>
                <w:sz w:val="16"/>
                <w:szCs w:val="16"/>
              </w:rPr>
              <w:t xml:space="preserve"> </w:t>
            </w:r>
            <w:r w:rsidRPr="00B96519">
              <w:rPr>
                <w:rFonts w:ascii="Verdana" w:eastAsia="Times New Roman" w:hAnsi="Verdana" w:cs="Times New Roman"/>
                <w:color w:val="000000"/>
                <w:sz w:val="16"/>
                <w:szCs w:val="16"/>
              </w:rPr>
              <w:t>Li (2013)</w:t>
            </w:r>
          </w:p>
        </w:tc>
        <w:tc>
          <w:tcPr>
            <w:tcW w:w="1259" w:type="dxa"/>
            <w:noWrap/>
            <w:hideMark/>
          </w:tcPr>
          <w:p w:rsidR="000E223B" w:rsidRPr="00B96519"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6"/>
                <w:szCs w:val="16"/>
              </w:rPr>
            </w:pPr>
            <w:r w:rsidRPr="00B96519">
              <w:rPr>
                <w:rFonts w:ascii="Verdana" w:eastAsia="Times New Roman" w:hAnsi="Verdana" w:cs="Times New Roman"/>
                <w:color w:val="000000"/>
                <w:sz w:val="16"/>
                <w:szCs w:val="16"/>
              </w:rPr>
              <w:t>7</w:t>
            </w:r>
          </w:p>
        </w:tc>
      </w:tr>
      <w:tr w:rsidR="000E223B" w:rsidRPr="00B96519" w:rsidTr="001106BD">
        <w:trPr>
          <w:trHeight w:val="300"/>
        </w:trPr>
        <w:tc>
          <w:tcPr>
            <w:cnfStyle w:val="001000000000" w:firstRow="0" w:lastRow="0" w:firstColumn="1" w:lastColumn="0" w:oddVBand="0" w:evenVBand="0" w:oddHBand="0" w:evenHBand="0" w:firstRowFirstColumn="0" w:firstRowLastColumn="0" w:lastRowFirstColumn="0" w:lastRowLastColumn="0"/>
            <w:tcW w:w="1939" w:type="dxa"/>
            <w:noWrap/>
            <w:hideMark/>
          </w:tcPr>
          <w:p w:rsidR="000E223B" w:rsidRPr="00B96519" w:rsidRDefault="000E223B" w:rsidP="001106BD">
            <w:pPr>
              <w:jc w:val="both"/>
              <w:rPr>
                <w:rFonts w:ascii="Verdana" w:eastAsia="Times New Roman" w:hAnsi="Verdana" w:cs="Times New Roman"/>
                <w:sz w:val="16"/>
                <w:szCs w:val="16"/>
              </w:rPr>
            </w:pPr>
            <w:r w:rsidRPr="00B96519">
              <w:rPr>
                <w:rFonts w:ascii="Verdana" w:eastAsia="Times New Roman" w:hAnsi="Verdana" w:cs="Times New Roman"/>
                <w:sz w:val="16"/>
                <w:szCs w:val="16"/>
              </w:rPr>
              <w:t>Variability</w:t>
            </w:r>
          </w:p>
        </w:tc>
        <w:tc>
          <w:tcPr>
            <w:tcW w:w="5982" w:type="dxa"/>
            <w:noWrap/>
            <w:hideMark/>
          </w:tcPr>
          <w:p w:rsidR="000E223B" w:rsidRPr="00B96519"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6"/>
                <w:szCs w:val="16"/>
              </w:rPr>
            </w:pPr>
            <w:r w:rsidRPr="00B96519">
              <w:rPr>
                <w:rFonts w:ascii="Verdana" w:eastAsia="Times New Roman" w:hAnsi="Verdana" w:cs="Times New Roman"/>
                <w:color w:val="000000"/>
                <w:sz w:val="16"/>
                <w:szCs w:val="16"/>
              </w:rPr>
              <w:t>Katal, Wazid, Goudar (2013), Bedi, Jindal, Gautam (2014)</w:t>
            </w:r>
          </w:p>
        </w:tc>
        <w:tc>
          <w:tcPr>
            <w:tcW w:w="1259" w:type="dxa"/>
            <w:noWrap/>
            <w:hideMark/>
          </w:tcPr>
          <w:p w:rsidR="000E223B" w:rsidRPr="00B96519"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6"/>
                <w:szCs w:val="16"/>
              </w:rPr>
            </w:pPr>
            <w:r w:rsidRPr="00B96519">
              <w:rPr>
                <w:rFonts w:ascii="Verdana" w:eastAsia="Times New Roman" w:hAnsi="Verdana" w:cs="Times New Roman"/>
                <w:color w:val="000000"/>
                <w:sz w:val="16"/>
                <w:szCs w:val="16"/>
              </w:rPr>
              <w:t>2</w:t>
            </w:r>
          </w:p>
        </w:tc>
      </w:tr>
      <w:tr w:rsidR="000E223B" w:rsidRPr="00B96519" w:rsidTr="001106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9" w:type="dxa"/>
            <w:noWrap/>
            <w:hideMark/>
          </w:tcPr>
          <w:p w:rsidR="000E223B" w:rsidRPr="00B96519" w:rsidRDefault="000E223B" w:rsidP="001106BD">
            <w:pPr>
              <w:jc w:val="both"/>
              <w:rPr>
                <w:rFonts w:ascii="Verdana" w:eastAsia="Times New Roman" w:hAnsi="Verdana" w:cs="Times New Roman"/>
                <w:sz w:val="16"/>
                <w:szCs w:val="16"/>
              </w:rPr>
            </w:pPr>
            <w:r w:rsidRPr="00B96519">
              <w:rPr>
                <w:rFonts w:ascii="Verdana" w:eastAsia="Times New Roman" w:hAnsi="Verdana" w:cs="Times New Roman"/>
                <w:sz w:val="16"/>
                <w:szCs w:val="16"/>
              </w:rPr>
              <w:t>Complexity</w:t>
            </w:r>
          </w:p>
        </w:tc>
        <w:tc>
          <w:tcPr>
            <w:tcW w:w="5982" w:type="dxa"/>
            <w:noWrap/>
            <w:hideMark/>
          </w:tcPr>
          <w:p w:rsidR="000E223B" w:rsidRPr="00B96519"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6"/>
                <w:szCs w:val="16"/>
              </w:rPr>
            </w:pPr>
            <w:r w:rsidRPr="00B96519">
              <w:rPr>
                <w:rFonts w:ascii="Verdana" w:eastAsia="Times New Roman" w:hAnsi="Verdana" w:cs="Times New Roman"/>
                <w:color w:val="000000"/>
                <w:sz w:val="16"/>
                <w:szCs w:val="16"/>
              </w:rPr>
              <w:t>Katal, Wazid, Goudar (2013)</w:t>
            </w:r>
          </w:p>
        </w:tc>
        <w:tc>
          <w:tcPr>
            <w:tcW w:w="1259" w:type="dxa"/>
            <w:noWrap/>
            <w:hideMark/>
          </w:tcPr>
          <w:p w:rsidR="000E223B" w:rsidRPr="00B96519"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6"/>
                <w:szCs w:val="16"/>
              </w:rPr>
            </w:pPr>
            <w:r w:rsidRPr="00B96519">
              <w:rPr>
                <w:rFonts w:ascii="Verdana" w:eastAsia="Times New Roman" w:hAnsi="Verdana" w:cs="Times New Roman"/>
                <w:color w:val="000000"/>
                <w:sz w:val="16"/>
                <w:szCs w:val="16"/>
              </w:rPr>
              <w:t>1</w:t>
            </w:r>
          </w:p>
        </w:tc>
      </w:tr>
      <w:tr w:rsidR="000E223B" w:rsidRPr="00B96519" w:rsidTr="001106BD">
        <w:trPr>
          <w:trHeight w:val="300"/>
        </w:trPr>
        <w:tc>
          <w:tcPr>
            <w:cnfStyle w:val="001000000000" w:firstRow="0" w:lastRow="0" w:firstColumn="1" w:lastColumn="0" w:oddVBand="0" w:evenVBand="0" w:oddHBand="0" w:evenHBand="0" w:firstRowFirstColumn="0" w:firstRowLastColumn="0" w:lastRowFirstColumn="0" w:lastRowLastColumn="0"/>
            <w:tcW w:w="1939" w:type="dxa"/>
            <w:noWrap/>
            <w:hideMark/>
          </w:tcPr>
          <w:p w:rsidR="000E223B" w:rsidRPr="00B96519" w:rsidRDefault="000E223B" w:rsidP="001106BD">
            <w:pPr>
              <w:jc w:val="both"/>
              <w:rPr>
                <w:rFonts w:ascii="Verdana" w:eastAsia="Times New Roman" w:hAnsi="Verdana" w:cs="Times New Roman"/>
                <w:sz w:val="16"/>
                <w:szCs w:val="16"/>
              </w:rPr>
            </w:pPr>
            <w:r w:rsidRPr="00B96519">
              <w:rPr>
                <w:rFonts w:ascii="Verdana" w:eastAsia="Times New Roman" w:hAnsi="Verdana" w:cs="Times New Roman"/>
                <w:sz w:val="16"/>
                <w:szCs w:val="16"/>
              </w:rPr>
              <w:t>Validity</w:t>
            </w:r>
          </w:p>
        </w:tc>
        <w:tc>
          <w:tcPr>
            <w:tcW w:w="5982" w:type="dxa"/>
            <w:noWrap/>
            <w:hideMark/>
          </w:tcPr>
          <w:p w:rsidR="000E223B" w:rsidRPr="001A0FAF"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6"/>
                <w:szCs w:val="16"/>
                <w:lang w:val="en-GB"/>
              </w:rPr>
            </w:pPr>
            <w:r w:rsidRPr="001A0FAF">
              <w:rPr>
                <w:rFonts w:ascii="Verdana" w:eastAsia="Times New Roman" w:hAnsi="Verdana" w:cs="Times New Roman"/>
                <w:color w:val="000000"/>
                <w:sz w:val="16"/>
                <w:szCs w:val="16"/>
                <w:lang w:val="en-GB"/>
              </w:rPr>
              <w:t>Ali-ud-din Khan,</w:t>
            </w:r>
            <w:r w:rsidR="000C3167" w:rsidRPr="001A0FAF">
              <w:rPr>
                <w:rFonts w:ascii="Verdana" w:eastAsia="Times New Roman" w:hAnsi="Verdana" w:cs="Times New Roman"/>
                <w:color w:val="000000"/>
                <w:sz w:val="16"/>
                <w:szCs w:val="16"/>
                <w:lang w:val="en-GB"/>
              </w:rPr>
              <w:t xml:space="preserve"> </w:t>
            </w:r>
            <w:r w:rsidRPr="001A0FAF">
              <w:rPr>
                <w:rFonts w:ascii="Verdana" w:eastAsia="Times New Roman" w:hAnsi="Verdana" w:cs="Times New Roman"/>
                <w:color w:val="000000"/>
                <w:sz w:val="16"/>
                <w:szCs w:val="16"/>
                <w:lang w:val="en-GB"/>
              </w:rPr>
              <w:t>Uddin,</w:t>
            </w:r>
            <w:r w:rsidR="000C3167" w:rsidRPr="001A0FAF">
              <w:rPr>
                <w:rFonts w:ascii="Verdana" w:eastAsia="Times New Roman" w:hAnsi="Verdana" w:cs="Times New Roman"/>
                <w:color w:val="000000"/>
                <w:sz w:val="16"/>
                <w:szCs w:val="16"/>
                <w:lang w:val="en-GB"/>
              </w:rPr>
              <w:t xml:space="preserve"> </w:t>
            </w:r>
            <w:r w:rsidRPr="001A0FAF">
              <w:rPr>
                <w:rFonts w:ascii="Verdana" w:eastAsia="Times New Roman" w:hAnsi="Verdana" w:cs="Times New Roman"/>
                <w:color w:val="000000"/>
                <w:sz w:val="16"/>
                <w:szCs w:val="16"/>
                <w:lang w:val="en-GB"/>
              </w:rPr>
              <w:t>Gupta (2014)</w:t>
            </w:r>
          </w:p>
        </w:tc>
        <w:tc>
          <w:tcPr>
            <w:tcW w:w="1259" w:type="dxa"/>
            <w:noWrap/>
            <w:hideMark/>
          </w:tcPr>
          <w:p w:rsidR="000E223B" w:rsidRPr="00B96519"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6"/>
                <w:szCs w:val="16"/>
              </w:rPr>
            </w:pPr>
            <w:r w:rsidRPr="00B96519">
              <w:rPr>
                <w:rFonts w:ascii="Verdana" w:eastAsia="Times New Roman" w:hAnsi="Verdana" w:cs="Times New Roman"/>
                <w:color w:val="000000"/>
                <w:sz w:val="16"/>
                <w:szCs w:val="16"/>
              </w:rPr>
              <w:t>1</w:t>
            </w:r>
          </w:p>
        </w:tc>
      </w:tr>
      <w:tr w:rsidR="000E223B" w:rsidRPr="00B96519" w:rsidTr="001106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9" w:type="dxa"/>
            <w:noWrap/>
            <w:hideMark/>
          </w:tcPr>
          <w:p w:rsidR="000E223B" w:rsidRPr="00B96519" w:rsidRDefault="000E223B" w:rsidP="001106BD">
            <w:pPr>
              <w:jc w:val="both"/>
              <w:rPr>
                <w:rFonts w:ascii="Verdana" w:eastAsia="Times New Roman" w:hAnsi="Verdana" w:cs="Times New Roman"/>
                <w:sz w:val="16"/>
                <w:szCs w:val="16"/>
              </w:rPr>
            </w:pPr>
            <w:r w:rsidRPr="00B96519">
              <w:rPr>
                <w:rFonts w:ascii="Verdana" w:eastAsia="Times New Roman" w:hAnsi="Verdana" w:cs="Times New Roman"/>
                <w:sz w:val="16"/>
                <w:szCs w:val="16"/>
              </w:rPr>
              <w:t>Volatility</w:t>
            </w:r>
          </w:p>
        </w:tc>
        <w:tc>
          <w:tcPr>
            <w:tcW w:w="5982" w:type="dxa"/>
            <w:noWrap/>
            <w:hideMark/>
          </w:tcPr>
          <w:p w:rsidR="000E223B" w:rsidRPr="001A0FAF"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6"/>
                <w:szCs w:val="16"/>
                <w:lang w:val="en-GB"/>
              </w:rPr>
            </w:pPr>
            <w:r w:rsidRPr="001A0FAF">
              <w:rPr>
                <w:rFonts w:ascii="Verdana" w:eastAsia="Times New Roman" w:hAnsi="Verdana" w:cs="Times New Roman"/>
                <w:color w:val="000000"/>
                <w:sz w:val="16"/>
                <w:szCs w:val="16"/>
                <w:lang w:val="en-GB"/>
              </w:rPr>
              <w:t>Ali-ud-din Khan,</w:t>
            </w:r>
            <w:r w:rsidR="000C3167" w:rsidRPr="001A0FAF">
              <w:rPr>
                <w:rFonts w:ascii="Verdana" w:eastAsia="Times New Roman" w:hAnsi="Verdana" w:cs="Times New Roman"/>
                <w:color w:val="000000"/>
                <w:sz w:val="16"/>
                <w:szCs w:val="16"/>
                <w:lang w:val="en-GB"/>
              </w:rPr>
              <w:t xml:space="preserve"> </w:t>
            </w:r>
            <w:r w:rsidRPr="001A0FAF">
              <w:rPr>
                <w:rFonts w:ascii="Verdana" w:eastAsia="Times New Roman" w:hAnsi="Verdana" w:cs="Times New Roman"/>
                <w:color w:val="000000"/>
                <w:sz w:val="16"/>
                <w:szCs w:val="16"/>
                <w:lang w:val="en-GB"/>
              </w:rPr>
              <w:t>Uddin,</w:t>
            </w:r>
            <w:r w:rsidR="000C3167" w:rsidRPr="001A0FAF">
              <w:rPr>
                <w:rFonts w:ascii="Verdana" w:eastAsia="Times New Roman" w:hAnsi="Verdana" w:cs="Times New Roman"/>
                <w:color w:val="000000"/>
                <w:sz w:val="16"/>
                <w:szCs w:val="16"/>
                <w:lang w:val="en-GB"/>
              </w:rPr>
              <w:t xml:space="preserve"> </w:t>
            </w:r>
            <w:r w:rsidRPr="001A0FAF">
              <w:rPr>
                <w:rFonts w:ascii="Verdana" w:eastAsia="Times New Roman" w:hAnsi="Verdana" w:cs="Times New Roman"/>
                <w:color w:val="000000"/>
                <w:sz w:val="16"/>
                <w:szCs w:val="16"/>
                <w:lang w:val="en-GB"/>
              </w:rPr>
              <w:t>Gupta (2014)</w:t>
            </w:r>
          </w:p>
        </w:tc>
        <w:tc>
          <w:tcPr>
            <w:tcW w:w="1259" w:type="dxa"/>
            <w:noWrap/>
            <w:hideMark/>
          </w:tcPr>
          <w:p w:rsidR="000E223B" w:rsidRPr="00B96519"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6"/>
                <w:szCs w:val="16"/>
              </w:rPr>
            </w:pPr>
            <w:r w:rsidRPr="00B96519">
              <w:rPr>
                <w:rFonts w:ascii="Verdana" w:eastAsia="Times New Roman" w:hAnsi="Verdana" w:cs="Times New Roman"/>
                <w:color w:val="000000"/>
                <w:sz w:val="16"/>
                <w:szCs w:val="16"/>
              </w:rPr>
              <w:t>1</w:t>
            </w:r>
          </w:p>
        </w:tc>
      </w:tr>
      <w:tr w:rsidR="000E223B" w:rsidRPr="00B96519" w:rsidTr="001106BD">
        <w:trPr>
          <w:trHeight w:val="300"/>
        </w:trPr>
        <w:tc>
          <w:tcPr>
            <w:cnfStyle w:val="001000000000" w:firstRow="0" w:lastRow="0" w:firstColumn="1" w:lastColumn="0" w:oddVBand="0" w:evenVBand="0" w:oddHBand="0" w:evenHBand="0" w:firstRowFirstColumn="0" w:firstRowLastColumn="0" w:lastRowFirstColumn="0" w:lastRowLastColumn="0"/>
            <w:tcW w:w="1939" w:type="dxa"/>
            <w:noWrap/>
            <w:hideMark/>
          </w:tcPr>
          <w:p w:rsidR="000E223B" w:rsidRPr="00B96519" w:rsidRDefault="000E223B" w:rsidP="001106BD">
            <w:pPr>
              <w:jc w:val="both"/>
              <w:rPr>
                <w:rFonts w:ascii="Verdana" w:eastAsia="Times New Roman" w:hAnsi="Verdana" w:cs="Times New Roman"/>
                <w:sz w:val="16"/>
                <w:szCs w:val="16"/>
              </w:rPr>
            </w:pPr>
            <w:r w:rsidRPr="00B96519">
              <w:rPr>
                <w:rFonts w:ascii="Verdana" w:eastAsia="Times New Roman" w:hAnsi="Verdana" w:cs="Times New Roman"/>
                <w:sz w:val="16"/>
                <w:szCs w:val="16"/>
              </w:rPr>
              <w:t>Viability</w:t>
            </w:r>
          </w:p>
        </w:tc>
        <w:tc>
          <w:tcPr>
            <w:tcW w:w="5982" w:type="dxa"/>
            <w:noWrap/>
            <w:hideMark/>
          </w:tcPr>
          <w:p w:rsidR="000E223B" w:rsidRPr="00B96519"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6"/>
                <w:szCs w:val="16"/>
              </w:rPr>
            </w:pPr>
            <w:r w:rsidRPr="00B96519">
              <w:rPr>
                <w:rFonts w:ascii="Verdana" w:eastAsia="Times New Roman" w:hAnsi="Verdana" w:cs="Times New Roman"/>
                <w:color w:val="000000"/>
                <w:sz w:val="16"/>
                <w:szCs w:val="16"/>
              </w:rPr>
              <w:t>Bedi, Jindal, Gautam (2014)</w:t>
            </w:r>
          </w:p>
        </w:tc>
        <w:tc>
          <w:tcPr>
            <w:tcW w:w="1259" w:type="dxa"/>
            <w:noWrap/>
            <w:hideMark/>
          </w:tcPr>
          <w:p w:rsidR="000E223B" w:rsidRPr="00B96519"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6"/>
                <w:szCs w:val="16"/>
              </w:rPr>
            </w:pPr>
            <w:r w:rsidRPr="00B96519">
              <w:rPr>
                <w:rFonts w:ascii="Verdana" w:eastAsia="Times New Roman" w:hAnsi="Verdana" w:cs="Times New Roman"/>
                <w:color w:val="000000"/>
                <w:sz w:val="16"/>
                <w:szCs w:val="16"/>
              </w:rPr>
              <w:t>1</w:t>
            </w:r>
          </w:p>
        </w:tc>
      </w:tr>
    </w:tbl>
    <w:p w:rsidR="000E223B" w:rsidRPr="00753959" w:rsidRDefault="000E223B" w:rsidP="000E223B">
      <w:pPr>
        <w:spacing w:line="360" w:lineRule="auto"/>
        <w:jc w:val="center"/>
        <w:rPr>
          <w:rFonts w:ascii="Verdana" w:hAnsi="Verdana" w:cs="Times New Roman"/>
          <w:sz w:val="18"/>
          <w:szCs w:val="18"/>
          <w:lang w:val="en-US"/>
        </w:rPr>
      </w:pPr>
      <w:r w:rsidRPr="00753959">
        <w:rPr>
          <w:rFonts w:ascii="Verdana" w:hAnsi="Verdana" w:cs="Times New Roman"/>
          <w:sz w:val="18"/>
          <w:szCs w:val="18"/>
          <w:lang w:val="en-US"/>
        </w:rPr>
        <w:t>Table 5.2 The most frequently mentioned dimensions of Big Data</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lastRenderedPageBreak/>
        <w:t xml:space="preserve">When characterizing big data by its dimensions model, as is often the case in literature, the initial 3V Gartner model is the most commonly referenced. However, value appears as a runner-up for the fourth dimension, with veracity as fifth. We also notice some marginal dimensions such as volatility and quality but these dimensions are mostly linked to the subject of research of the paper: research on big data technologies and infrastructure such as Ebner et al. (2014) use a simplified 3V or 4V model because the topic deals with the theoretical aspects of the big data concept; research on innovation, opportunities and potential challenges big data brings about, such as Morabito (2014) tend to present a 360° picture of big data as a phenomenon and not as a concept, exploring thus all facets and characteristics through the adding of extra-dimensions. </w:t>
      </w:r>
    </w:p>
    <w:p w:rsidR="000E223B" w:rsidRPr="00FB5C1D" w:rsidRDefault="000E223B" w:rsidP="000E223B">
      <w:pPr>
        <w:pStyle w:val="Heading2"/>
        <w:spacing w:line="360" w:lineRule="auto"/>
        <w:jc w:val="both"/>
        <w:rPr>
          <w:rFonts w:ascii="Verdana" w:hAnsi="Verdana" w:cs="Times New Roman"/>
          <w:sz w:val="20"/>
          <w:szCs w:val="20"/>
        </w:rPr>
      </w:pPr>
      <w:bookmarkStart w:id="88" w:name="_Toc423597548"/>
      <w:r w:rsidRPr="00FB5C1D">
        <w:rPr>
          <w:rFonts w:ascii="Verdana" w:hAnsi="Verdana" w:cs="Times New Roman"/>
          <w:sz w:val="20"/>
          <w:szCs w:val="20"/>
        </w:rPr>
        <w:t>5.2.4 Proposed definition and dimensions model</w:t>
      </w:r>
      <w:bookmarkEnd w:id="88"/>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Based on the results presented in table 5.1 and 5.2, we have derived a potential big data dimensions model, as a </w:t>
      </w:r>
      <w:r w:rsidRPr="000E223B">
        <w:rPr>
          <w:rFonts w:ascii="Verdana" w:hAnsi="Verdana" w:cs="Times New Roman"/>
          <w:sz w:val="20"/>
          <w:szCs w:val="20"/>
          <w:u w:val="single"/>
          <w:lang w:val="en-US"/>
        </w:rPr>
        <w:t>4(5)V dimensions model</w:t>
      </w:r>
      <w:r w:rsidRPr="000E223B">
        <w:rPr>
          <w:rFonts w:ascii="Verdana" w:hAnsi="Verdana" w:cs="Times New Roman"/>
          <w:sz w:val="20"/>
          <w:szCs w:val="20"/>
          <w:lang w:val="en-US"/>
        </w:rPr>
        <w:t xml:space="preserve"> : </w:t>
      </w:r>
    </w:p>
    <w:p w:rsidR="000E223B" w:rsidRPr="00FB5C1D" w:rsidRDefault="000E223B" w:rsidP="000E223B">
      <w:pPr>
        <w:pStyle w:val="ListParagraph"/>
        <w:numPr>
          <w:ilvl w:val="0"/>
          <w:numId w:val="23"/>
        </w:numPr>
        <w:spacing w:line="360" w:lineRule="auto"/>
        <w:ind w:left="0" w:firstLine="567"/>
        <w:jc w:val="both"/>
        <w:rPr>
          <w:rFonts w:ascii="Verdana" w:hAnsi="Verdana" w:cs="Times New Roman"/>
          <w:sz w:val="20"/>
          <w:szCs w:val="20"/>
        </w:rPr>
      </w:pPr>
      <w:r w:rsidRPr="00FB5C1D">
        <w:rPr>
          <w:rFonts w:ascii="Verdana" w:hAnsi="Verdana" w:cs="Times New Roman"/>
          <w:sz w:val="20"/>
          <w:szCs w:val="20"/>
          <w:u w:val="single"/>
        </w:rPr>
        <w:t>Volume</w:t>
      </w:r>
      <w:r w:rsidRPr="00FB5C1D">
        <w:rPr>
          <w:rFonts w:ascii="Verdana" w:hAnsi="Verdana" w:cs="Times New Roman"/>
          <w:sz w:val="20"/>
          <w:szCs w:val="20"/>
        </w:rPr>
        <w:t xml:space="preserve"> : data volumes and dataset size;</w:t>
      </w:r>
    </w:p>
    <w:p w:rsidR="000E223B" w:rsidRPr="00FB5C1D" w:rsidRDefault="000E223B" w:rsidP="000E223B">
      <w:pPr>
        <w:pStyle w:val="ListParagraph"/>
        <w:numPr>
          <w:ilvl w:val="0"/>
          <w:numId w:val="23"/>
        </w:numPr>
        <w:spacing w:line="360" w:lineRule="auto"/>
        <w:ind w:left="0" w:firstLine="567"/>
        <w:jc w:val="both"/>
        <w:rPr>
          <w:rFonts w:ascii="Verdana" w:hAnsi="Verdana" w:cs="Times New Roman"/>
          <w:sz w:val="20"/>
          <w:szCs w:val="20"/>
        </w:rPr>
      </w:pPr>
      <w:r w:rsidRPr="00FB5C1D">
        <w:rPr>
          <w:rFonts w:ascii="Verdana" w:hAnsi="Verdana" w:cs="Times New Roman"/>
          <w:sz w:val="20"/>
          <w:szCs w:val="20"/>
          <w:u w:val="single"/>
        </w:rPr>
        <w:t>Variety</w:t>
      </w:r>
      <w:r w:rsidRPr="00FB5C1D">
        <w:rPr>
          <w:rFonts w:ascii="Verdana" w:hAnsi="Verdana" w:cs="Times New Roman"/>
          <w:sz w:val="20"/>
          <w:szCs w:val="20"/>
        </w:rPr>
        <w:t xml:space="preserve"> : structured, semi- and unstructured data;</w:t>
      </w:r>
    </w:p>
    <w:p w:rsidR="000E223B" w:rsidRPr="00FB5C1D" w:rsidRDefault="000E223B" w:rsidP="000E223B">
      <w:pPr>
        <w:pStyle w:val="ListParagraph"/>
        <w:numPr>
          <w:ilvl w:val="0"/>
          <w:numId w:val="23"/>
        </w:numPr>
        <w:spacing w:line="360" w:lineRule="auto"/>
        <w:ind w:left="0" w:firstLine="567"/>
        <w:jc w:val="both"/>
        <w:rPr>
          <w:rFonts w:ascii="Verdana" w:hAnsi="Verdana" w:cs="Times New Roman"/>
          <w:sz w:val="20"/>
          <w:szCs w:val="20"/>
        </w:rPr>
      </w:pPr>
      <w:r w:rsidRPr="00FB5C1D">
        <w:rPr>
          <w:rFonts w:ascii="Verdana" w:hAnsi="Verdana" w:cs="Times New Roman"/>
          <w:sz w:val="20"/>
          <w:szCs w:val="20"/>
          <w:u w:val="single"/>
        </w:rPr>
        <w:t>Velocity</w:t>
      </w:r>
      <w:r w:rsidRPr="00FB5C1D">
        <w:rPr>
          <w:rFonts w:ascii="Verdana" w:hAnsi="Verdana" w:cs="Times New Roman"/>
          <w:sz w:val="20"/>
          <w:szCs w:val="20"/>
        </w:rPr>
        <w:t xml:space="preserve"> : speed of data creation;</w:t>
      </w:r>
    </w:p>
    <w:p w:rsidR="000E223B" w:rsidRPr="00FB5C1D" w:rsidRDefault="000E223B" w:rsidP="000E223B">
      <w:pPr>
        <w:pStyle w:val="ListParagraph"/>
        <w:numPr>
          <w:ilvl w:val="0"/>
          <w:numId w:val="23"/>
        </w:numPr>
        <w:spacing w:line="360" w:lineRule="auto"/>
        <w:ind w:left="0" w:firstLine="567"/>
        <w:jc w:val="both"/>
        <w:rPr>
          <w:rFonts w:ascii="Verdana" w:hAnsi="Verdana" w:cs="Times New Roman"/>
          <w:sz w:val="20"/>
          <w:szCs w:val="20"/>
        </w:rPr>
      </w:pPr>
      <w:r w:rsidRPr="00FB5C1D">
        <w:rPr>
          <w:rFonts w:ascii="Verdana" w:hAnsi="Verdana" w:cs="Times New Roman"/>
          <w:sz w:val="20"/>
          <w:szCs w:val="20"/>
          <w:u w:val="single"/>
        </w:rPr>
        <w:t>Value</w:t>
      </w:r>
      <w:r w:rsidRPr="00FB5C1D">
        <w:rPr>
          <w:rFonts w:ascii="Verdana" w:hAnsi="Verdana" w:cs="Times New Roman"/>
          <w:sz w:val="20"/>
          <w:szCs w:val="20"/>
        </w:rPr>
        <w:t xml:space="preserve"> : the outcome of data processing;</w:t>
      </w:r>
    </w:p>
    <w:p w:rsidR="000E223B" w:rsidRPr="00FB5C1D" w:rsidRDefault="000E223B" w:rsidP="000E223B">
      <w:pPr>
        <w:pStyle w:val="ListParagraph"/>
        <w:numPr>
          <w:ilvl w:val="0"/>
          <w:numId w:val="23"/>
        </w:numPr>
        <w:spacing w:line="360" w:lineRule="auto"/>
        <w:ind w:left="0" w:firstLine="567"/>
        <w:jc w:val="both"/>
        <w:rPr>
          <w:rFonts w:ascii="Verdana" w:hAnsi="Verdana" w:cs="Times New Roman"/>
          <w:sz w:val="20"/>
          <w:szCs w:val="20"/>
        </w:rPr>
      </w:pPr>
      <w:r w:rsidRPr="00FB5C1D">
        <w:rPr>
          <w:rFonts w:ascii="Verdana" w:hAnsi="Verdana" w:cs="Times New Roman"/>
          <w:sz w:val="20"/>
          <w:szCs w:val="20"/>
          <w:u w:val="single"/>
        </w:rPr>
        <w:t>(Veracity)</w:t>
      </w:r>
      <w:r w:rsidRPr="00FB5C1D">
        <w:rPr>
          <w:rFonts w:ascii="Verdana" w:hAnsi="Verdana" w:cs="Times New Roman"/>
          <w:sz w:val="20"/>
          <w:szCs w:val="20"/>
        </w:rPr>
        <w:t xml:space="preserve"> : truthfulness of data and how certain we can (or not be) of it;</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The reason for which the model contains either 4 or 5 dimensions stems from the frequency of use for the veracity dimension : it is mentioned in 50% of the cases while the other identified dimensions are present in over 70% of the cases. As a dimension, veracity is important in assuring the data we use is the authentic data but as it relies entirely on the security infr</w:t>
      </w:r>
      <w:r w:rsidR="00AC1BC4">
        <w:rPr>
          <w:rFonts w:ascii="Verdana" w:hAnsi="Verdana" w:cs="Times New Roman"/>
          <w:sz w:val="20"/>
          <w:szCs w:val="20"/>
          <w:lang w:val="en-US"/>
        </w:rPr>
        <w:t>astructure deployed (Demchenko,</w:t>
      </w:r>
      <w:r w:rsidRPr="000E223B">
        <w:rPr>
          <w:rFonts w:ascii="Verdana" w:hAnsi="Verdana" w:cs="Times New Roman"/>
          <w:sz w:val="20"/>
          <w:szCs w:val="20"/>
          <w:lang w:val="en-US"/>
        </w:rPr>
        <w:t xml:space="preserve"> De Laat &amp; Membrey, 2013), we will leave veracity as a dimension to be considered when dealing with pure big data infrastructure or technology issues. It is not a coincidence that veracity appears in 50% of the cases as most research papers currently available deal with big data as a technology and not as a solution. For this reason, we include veracity in our model to be considered only when the nature of the project to be deployed involves dealing with advanced security infrastructure issues. When defining a big data roadmap consisting of most important use cases, then we advise the use of the 4V dimension model. New dimensions can be added along a project if the need arises to treat challenges which could not be previously forecasted or to accommodate new emerging trends in the theory.</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In line with our findings, the definition we agreed upon to use for the remaining of this research is a combined version of  the IDC definition presented by Hu et al.(2014) and the Diebold et al.(2013) definition presented by Hansmann and Niemeyer (2014) :</w:t>
      </w:r>
    </w:p>
    <w:p w:rsidR="000E223B" w:rsidRPr="000E223B" w:rsidRDefault="000E223B" w:rsidP="000E223B">
      <w:pPr>
        <w:spacing w:line="360" w:lineRule="auto"/>
        <w:ind w:left="284"/>
        <w:jc w:val="both"/>
        <w:rPr>
          <w:rFonts w:ascii="Verdana" w:hAnsi="Verdana" w:cs="Times New Roman"/>
          <w:sz w:val="20"/>
          <w:szCs w:val="20"/>
          <w:lang w:val="en-US"/>
        </w:rPr>
      </w:pPr>
      <w:r w:rsidRPr="000E223B">
        <w:rPr>
          <w:rFonts w:ascii="Verdana" w:hAnsi="Verdana" w:cs="Times New Roman"/>
          <w:sz w:val="20"/>
          <w:szCs w:val="20"/>
          <w:lang w:val="en-US"/>
        </w:rPr>
        <w:lastRenderedPageBreak/>
        <w:t xml:space="preserve">A new generation of technologies and architectures, designed to economically extract </w:t>
      </w:r>
      <w:r w:rsidRPr="000E223B">
        <w:rPr>
          <w:rFonts w:ascii="Verdana" w:hAnsi="Verdana" w:cs="Times New Roman"/>
          <w:sz w:val="20"/>
          <w:szCs w:val="20"/>
          <w:u w:val="single"/>
          <w:lang w:val="en-US"/>
        </w:rPr>
        <w:t>value</w:t>
      </w:r>
      <w:r w:rsidRPr="000E223B">
        <w:rPr>
          <w:rFonts w:ascii="Verdana" w:hAnsi="Verdana" w:cs="Times New Roman"/>
          <w:sz w:val="20"/>
          <w:szCs w:val="20"/>
          <w:lang w:val="en-US"/>
        </w:rPr>
        <w:t xml:space="preserve"> from very large </w:t>
      </w:r>
      <w:r w:rsidRPr="000E223B">
        <w:rPr>
          <w:rFonts w:ascii="Verdana" w:hAnsi="Verdana" w:cs="Times New Roman"/>
          <w:sz w:val="20"/>
          <w:szCs w:val="20"/>
          <w:u w:val="single"/>
          <w:lang w:val="en-US"/>
        </w:rPr>
        <w:t>volumes</w:t>
      </w:r>
      <w:r w:rsidRPr="000E223B">
        <w:rPr>
          <w:rFonts w:ascii="Verdana" w:hAnsi="Verdana" w:cs="Times New Roman"/>
          <w:sz w:val="20"/>
          <w:szCs w:val="20"/>
          <w:lang w:val="en-US"/>
        </w:rPr>
        <w:t xml:space="preserve"> of a wide variety of data, by enabling the high-</w:t>
      </w:r>
      <w:r w:rsidRPr="000E223B">
        <w:rPr>
          <w:rFonts w:ascii="Verdana" w:hAnsi="Verdana" w:cs="Times New Roman"/>
          <w:sz w:val="20"/>
          <w:szCs w:val="20"/>
          <w:u w:val="single"/>
          <w:lang w:val="en-US"/>
        </w:rPr>
        <w:t>velocity</w:t>
      </w:r>
      <w:r w:rsidRPr="000E223B">
        <w:rPr>
          <w:rFonts w:ascii="Verdana" w:hAnsi="Verdana" w:cs="Times New Roman"/>
          <w:sz w:val="20"/>
          <w:szCs w:val="20"/>
          <w:lang w:val="en-US"/>
        </w:rPr>
        <w:t xml:space="preserve"> capture, analysis and discovery of potentially relevant data (</w:t>
      </w:r>
      <w:r w:rsidRPr="000E223B">
        <w:rPr>
          <w:rFonts w:ascii="Verdana" w:hAnsi="Verdana" w:cs="Times New Roman"/>
          <w:sz w:val="20"/>
          <w:szCs w:val="20"/>
          <w:u w:val="single"/>
          <w:lang w:val="en-US"/>
        </w:rPr>
        <w:t>veracity</w:t>
      </w:r>
      <w:r w:rsidRPr="000E223B">
        <w:rPr>
          <w:rFonts w:ascii="Verdana" w:hAnsi="Verdana" w:cs="Times New Roman"/>
          <w:sz w:val="20"/>
          <w:szCs w:val="20"/>
          <w:lang w:val="en-US"/>
        </w:rPr>
        <w:t xml:space="preserve">) </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The reason of choice behind this definition is 3 folded: 1) it refers to big data largely from a technological and architectural point of view without solely focusing on data characteristics; 2) it incorporates all the identified dimensions in our research which positions it in line with our own findings and 3) it underlines the economic potential of extracting value from big data. </w:t>
      </w:r>
    </w:p>
    <w:p w:rsidR="000E223B" w:rsidRPr="000E223B" w:rsidRDefault="000E223B" w:rsidP="000E223B">
      <w:pPr>
        <w:pStyle w:val="Heading1"/>
        <w:spacing w:line="360" w:lineRule="auto"/>
        <w:jc w:val="both"/>
        <w:rPr>
          <w:rFonts w:ascii="Verdana" w:hAnsi="Verdana" w:cs="Times New Roman"/>
          <w:sz w:val="20"/>
          <w:szCs w:val="20"/>
          <w:lang w:val="en-US"/>
        </w:rPr>
      </w:pPr>
      <w:bookmarkStart w:id="89" w:name="_Toc423597549"/>
      <w:r w:rsidRPr="000E223B">
        <w:rPr>
          <w:rFonts w:ascii="Verdana" w:hAnsi="Verdana" w:cs="Times New Roman"/>
          <w:sz w:val="20"/>
          <w:szCs w:val="20"/>
          <w:lang w:val="en-US"/>
        </w:rPr>
        <w:t>5.3 Big data features</w:t>
      </w:r>
      <w:bookmarkEnd w:id="89"/>
    </w:p>
    <w:p w:rsidR="000E223B" w:rsidRPr="00FB5C1D" w:rsidRDefault="000E223B" w:rsidP="000E223B">
      <w:pPr>
        <w:pStyle w:val="Heading2"/>
        <w:spacing w:line="360" w:lineRule="auto"/>
        <w:jc w:val="both"/>
        <w:rPr>
          <w:rFonts w:ascii="Verdana" w:hAnsi="Verdana" w:cs="Times New Roman"/>
          <w:sz w:val="20"/>
          <w:szCs w:val="20"/>
        </w:rPr>
      </w:pPr>
      <w:bookmarkStart w:id="90" w:name="_Toc423597550"/>
      <w:r w:rsidRPr="00FB5C1D">
        <w:rPr>
          <w:rFonts w:ascii="Verdana" w:hAnsi="Verdana" w:cs="Times New Roman"/>
          <w:sz w:val="20"/>
          <w:szCs w:val="20"/>
        </w:rPr>
        <w:t>5.3.1 Origin and size</w:t>
      </w:r>
      <w:bookmarkEnd w:id="90"/>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The “Big Data” term was first coined by Doug Laney, an analyst at the META Group (now Gartner), in 2001, in an annual report regarding emerging technologies called “</w:t>
      </w:r>
      <w:r w:rsidRPr="00FB5C1D">
        <w:rPr>
          <w:rFonts w:ascii="Verdana" w:hAnsi="Verdana" w:cs="Times New Roman"/>
          <w:i/>
          <w:sz w:val="20"/>
          <w:szCs w:val="20"/>
        </w:rPr>
        <w:t>3-D Data management: controlling data volume, velocity &amp; variety</w:t>
      </w:r>
      <w:r w:rsidRPr="00FB5C1D">
        <w:rPr>
          <w:rFonts w:ascii="Verdana" w:hAnsi="Verdana" w:cs="Times New Roman"/>
          <w:sz w:val="20"/>
          <w:szCs w:val="20"/>
        </w:rPr>
        <w:t>” (Bohlouli, Schulz, Angelis &amp; Pahor, 2013). Gartner has meanwhile, posited big data at its tipping point nowadays, with a broad adoption to be expected in the next 5 years (Buhl</w:t>
      </w:r>
      <w:r w:rsidR="00AC1BC4">
        <w:rPr>
          <w:rFonts w:ascii="Verdana" w:hAnsi="Verdana" w:cs="Times New Roman"/>
          <w:sz w:val="20"/>
          <w:szCs w:val="20"/>
        </w:rPr>
        <w:t xml:space="preserve"> et al.,</w:t>
      </w:r>
      <w:r w:rsidRPr="00FB5C1D">
        <w:rPr>
          <w:rFonts w:ascii="Verdana" w:hAnsi="Verdana" w:cs="Times New Roman"/>
          <w:sz w:val="20"/>
          <w:szCs w:val="20"/>
        </w:rPr>
        <w:t xml:space="preserve"> 2013). </w:t>
      </w:r>
    </w:p>
    <w:p w:rsidR="000E223B" w:rsidRPr="00FB5C1D" w:rsidRDefault="00AC1BC4" w:rsidP="000E223B">
      <w:pPr>
        <w:pStyle w:val="ListParagraph"/>
        <w:spacing w:line="360" w:lineRule="auto"/>
        <w:ind w:left="0"/>
        <w:jc w:val="both"/>
        <w:rPr>
          <w:rFonts w:ascii="Verdana" w:hAnsi="Verdana" w:cs="Times New Roman"/>
          <w:sz w:val="20"/>
          <w:szCs w:val="20"/>
        </w:rPr>
      </w:pPr>
      <w:r>
        <w:rPr>
          <w:rFonts w:ascii="Verdana" w:hAnsi="Verdana" w:cs="Times New Roman"/>
          <w:sz w:val="20"/>
          <w:szCs w:val="20"/>
        </w:rPr>
        <w:t xml:space="preserve">Chen et al. </w:t>
      </w:r>
      <w:r w:rsidR="000E223B" w:rsidRPr="00FB5C1D">
        <w:rPr>
          <w:rFonts w:ascii="Verdana" w:hAnsi="Verdana" w:cs="Times New Roman"/>
          <w:sz w:val="20"/>
          <w:szCs w:val="20"/>
        </w:rPr>
        <w:t xml:space="preserve">(2014) note that in 2011, the total amount of data copied and created in the world was 1.8ZB, roughly 10 at the power of 21 bytes. This number has, at that period, been estimated to increase nine-fold in 5 years. Hu, Wen, Chua and Li (2014) reference an IDC report (2012) which predicts that from 2005 to 2020, global data will increase 300 fold from 130 exabytes to 40,000 exabytes which translates into data doubling every two years. They also expected, that by 2012, this data will be 90% unstructured </w:t>
      </w:r>
      <w:r w:rsidR="008768D5">
        <w:rPr>
          <w:rFonts w:ascii="Verdana" w:hAnsi="Verdana" w:cs="Times New Roman"/>
          <w:sz w:val="20"/>
          <w:szCs w:val="20"/>
        </w:rPr>
        <w:t>(Ebner et al.</w:t>
      </w:r>
      <w:r w:rsidR="000E223B" w:rsidRPr="00FB5C1D">
        <w:rPr>
          <w:rFonts w:ascii="Verdana" w:hAnsi="Verdana" w:cs="Times New Roman"/>
          <w:sz w:val="20"/>
          <w:szCs w:val="20"/>
        </w:rPr>
        <w:t xml:space="preserve"> 2014). Wielki (2013) quantified that in 2012, 2.5 exabytes of data were created every day, this amount being estimated to double every 4 months onwards. </w:t>
      </w:r>
    </w:p>
    <w:p w:rsidR="000E223B" w:rsidRPr="000E223B" w:rsidRDefault="000E223B" w:rsidP="000E223B">
      <w:pPr>
        <w:spacing w:line="360" w:lineRule="auto"/>
        <w:jc w:val="both"/>
        <w:rPr>
          <w:rFonts w:ascii="Verdana" w:hAnsi="Verdana" w:cs="Times New Roman"/>
          <w:sz w:val="20"/>
          <w:szCs w:val="20"/>
          <w:lang w:val="en-US"/>
        </w:rPr>
      </w:pPr>
    </w:p>
    <w:p w:rsidR="000E223B" w:rsidRPr="00FB5C1D" w:rsidRDefault="000E223B" w:rsidP="000E223B">
      <w:pPr>
        <w:pStyle w:val="Heading2"/>
        <w:spacing w:line="360" w:lineRule="auto"/>
        <w:jc w:val="both"/>
        <w:rPr>
          <w:rFonts w:ascii="Verdana" w:hAnsi="Verdana" w:cs="Times New Roman"/>
          <w:sz w:val="20"/>
          <w:szCs w:val="20"/>
        </w:rPr>
      </w:pPr>
      <w:bookmarkStart w:id="91" w:name="_Toc423597551"/>
      <w:r w:rsidRPr="00FB5C1D">
        <w:rPr>
          <w:rFonts w:ascii="Verdana" w:hAnsi="Verdana" w:cs="Times New Roman"/>
          <w:sz w:val="20"/>
          <w:szCs w:val="20"/>
        </w:rPr>
        <w:t>5.3.2 Early trends</w:t>
      </w:r>
      <w:bookmarkEnd w:id="91"/>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Understanding the starting point of big data in today’s digital landscape is an important step in being able to categorize the data deluge it brings with. To this matter, Wielki (2013) has identified </w:t>
      </w:r>
      <w:r w:rsidRPr="00DD3960">
        <w:rPr>
          <w:rFonts w:ascii="Verdana" w:hAnsi="Verdana" w:cs="Times New Roman"/>
          <w:sz w:val="20"/>
          <w:szCs w:val="20"/>
          <w:u w:val="single"/>
        </w:rPr>
        <w:t>a number of trends</w:t>
      </w:r>
      <w:r w:rsidRPr="00FB5C1D">
        <w:rPr>
          <w:rFonts w:ascii="Verdana" w:hAnsi="Verdana" w:cs="Times New Roman"/>
          <w:sz w:val="20"/>
          <w:szCs w:val="20"/>
        </w:rPr>
        <w:t xml:space="preserve"> which have contributed to the development of the big data phenomenon such as: </w:t>
      </w:r>
    </w:p>
    <w:p w:rsidR="000E223B" w:rsidRPr="00FB5C1D" w:rsidRDefault="000E223B" w:rsidP="000E223B">
      <w:pPr>
        <w:pStyle w:val="ListParagraph"/>
        <w:numPr>
          <w:ilvl w:val="0"/>
          <w:numId w:val="24"/>
        </w:numPr>
        <w:spacing w:line="360" w:lineRule="auto"/>
        <w:ind w:left="0" w:firstLine="567"/>
        <w:jc w:val="both"/>
        <w:rPr>
          <w:rFonts w:ascii="Verdana" w:hAnsi="Verdana" w:cs="Times New Roman"/>
          <w:sz w:val="20"/>
          <w:szCs w:val="20"/>
        </w:rPr>
      </w:pPr>
      <w:r w:rsidRPr="00FB5C1D">
        <w:rPr>
          <w:rFonts w:ascii="Verdana" w:hAnsi="Verdana" w:cs="Times New Roman"/>
          <w:sz w:val="20"/>
          <w:szCs w:val="20"/>
        </w:rPr>
        <w:t xml:space="preserve">the </w:t>
      </w:r>
      <w:r w:rsidRPr="00FB5C1D">
        <w:rPr>
          <w:rFonts w:ascii="Verdana" w:hAnsi="Verdana" w:cs="Times New Roman"/>
          <w:sz w:val="20"/>
          <w:szCs w:val="20"/>
          <w:u w:val="single"/>
        </w:rPr>
        <w:t>growth in traditional transactional databases</w:t>
      </w:r>
      <w:r w:rsidRPr="00FB5C1D">
        <w:rPr>
          <w:rFonts w:ascii="Verdana" w:hAnsi="Verdana" w:cs="Times New Roman"/>
          <w:sz w:val="20"/>
          <w:szCs w:val="20"/>
        </w:rPr>
        <w:t xml:space="preserve"> which forced companies to collect more and more data about the customer as a potential competitive advantage but also the increasing expectations from customers regarding products and services; </w:t>
      </w:r>
    </w:p>
    <w:p w:rsidR="000E223B" w:rsidRPr="00FB5C1D" w:rsidRDefault="000E223B" w:rsidP="000E223B">
      <w:pPr>
        <w:pStyle w:val="ListParagraph"/>
        <w:numPr>
          <w:ilvl w:val="0"/>
          <w:numId w:val="24"/>
        </w:numPr>
        <w:spacing w:line="360" w:lineRule="auto"/>
        <w:ind w:left="0" w:firstLine="567"/>
        <w:jc w:val="both"/>
        <w:rPr>
          <w:rFonts w:ascii="Verdana" w:hAnsi="Verdana" w:cs="Times New Roman"/>
          <w:sz w:val="20"/>
          <w:szCs w:val="20"/>
        </w:rPr>
      </w:pPr>
      <w:r w:rsidRPr="00FB5C1D">
        <w:rPr>
          <w:rFonts w:ascii="Verdana" w:hAnsi="Verdana" w:cs="Times New Roman"/>
          <w:sz w:val="20"/>
          <w:szCs w:val="20"/>
        </w:rPr>
        <w:t xml:space="preserve">the </w:t>
      </w:r>
      <w:r w:rsidRPr="00FB5C1D">
        <w:rPr>
          <w:rFonts w:ascii="Verdana" w:hAnsi="Verdana" w:cs="Times New Roman"/>
          <w:sz w:val="20"/>
          <w:szCs w:val="20"/>
          <w:u w:val="single"/>
        </w:rPr>
        <w:t>growth in multimedia content</w:t>
      </w:r>
      <w:r w:rsidRPr="00FB5C1D">
        <w:rPr>
          <w:rFonts w:ascii="Verdana" w:hAnsi="Verdana" w:cs="Times New Roman"/>
          <w:sz w:val="20"/>
          <w:szCs w:val="20"/>
        </w:rPr>
        <w:t xml:space="preserve"> which constitutes more than half of internet traffic data;</w:t>
      </w:r>
    </w:p>
    <w:p w:rsidR="000E223B" w:rsidRPr="00FB5C1D" w:rsidRDefault="000E223B" w:rsidP="000E223B">
      <w:pPr>
        <w:pStyle w:val="ListParagraph"/>
        <w:numPr>
          <w:ilvl w:val="0"/>
          <w:numId w:val="24"/>
        </w:numPr>
        <w:spacing w:line="360" w:lineRule="auto"/>
        <w:ind w:left="0" w:firstLine="567"/>
        <w:jc w:val="both"/>
        <w:rPr>
          <w:rFonts w:ascii="Verdana" w:hAnsi="Verdana" w:cs="Times New Roman"/>
          <w:sz w:val="20"/>
          <w:szCs w:val="20"/>
        </w:rPr>
      </w:pPr>
      <w:r w:rsidRPr="00FB5C1D">
        <w:rPr>
          <w:rFonts w:ascii="Verdana" w:hAnsi="Verdana" w:cs="Times New Roman"/>
          <w:sz w:val="20"/>
          <w:szCs w:val="20"/>
        </w:rPr>
        <w:lastRenderedPageBreak/>
        <w:t xml:space="preserve">the </w:t>
      </w:r>
      <w:r w:rsidRPr="00FB5C1D">
        <w:rPr>
          <w:rFonts w:ascii="Verdana" w:hAnsi="Verdana" w:cs="Times New Roman"/>
          <w:sz w:val="20"/>
          <w:szCs w:val="20"/>
          <w:u w:val="single"/>
        </w:rPr>
        <w:t>development of the Internet of Things (IoT)</w:t>
      </w:r>
      <w:r w:rsidRPr="00FB5C1D">
        <w:rPr>
          <w:rFonts w:ascii="Verdana" w:hAnsi="Verdana" w:cs="Times New Roman"/>
          <w:sz w:val="20"/>
          <w:szCs w:val="20"/>
        </w:rPr>
        <w:t xml:space="preserve"> where devices communicate with each other and exchange information without human interference;</w:t>
      </w:r>
    </w:p>
    <w:p w:rsidR="000E223B" w:rsidRPr="00FB5C1D" w:rsidRDefault="000E223B" w:rsidP="000E223B">
      <w:pPr>
        <w:pStyle w:val="ListParagraph"/>
        <w:numPr>
          <w:ilvl w:val="0"/>
          <w:numId w:val="24"/>
        </w:numPr>
        <w:spacing w:line="360" w:lineRule="auto"/>
        <w:ind w:left="0" w:firstLine="567"/>
        <w:jc w:val="both"/>
        <w:rPr>
          <w:rFonts w:ascii="Verdana" w:hAnsi="Verdana" w:cs="Times New Roman"/>
          <w:sz w:val="20"/>
          <w:szCs w:val="20"/>
        </w:rPr>
      </w:pPr>
      <w:r w:rsidRPr="00FB5C1D">
        <w:rPr>
          <w:rFonts w:ascii="Verdana" w:hAnsi="Verdana" w:cs="Times New Roman"/>
          <w:sz w:val="20"/>
          <w:szCs w:val="20"/>
          <w:u w:val="single"/>
        </w:rPr>
        <w:t>social media</w:t>
      </w:r>
      <w:r w:rsidRPr="00FB5C1D">
        <w:rPr>
          <w:rFonts w:ascii="Verdana" w:hAnsi="Verdana" w:cs="Times New Roman"/>
          <w:sz w:val="20"/>
          <w:szCs w:val="20"/>
        </w:rPr>
        <w:t xml:space="preserve"> and social networking information. </w:t>
      </w:r>
    </w:p>
    <w:p w:rsidR="000E223B" w:rsidRPr="00FB5C1D" w:rsidRDefault="000E223B" w:rsidP="000E223B">
      <w:pPr>
        <w:pStyle w:val="Heading2"/>
        <w:spacing w:line="360" w:lineRule="auto"/>
        <w:jc w:val="both"/>
        <w:rPr>
          <w:rFonts w:ascii="Verdana" w:hAnsi="Verdana" w:cs="Times New Roman"/>
          <w:sz w:val="20"/>
          <w:szCs w:val="20"/>
        </w:rPr>
      </w:pPr>
      <w:bookmarkStart w:id="92" w:name="_Toc423597552"/>
      <w:r w:rsidRPr="00FB5C1D">
        <w:rPr>
          <w:rFonts w:ascii="Verdana" w:hAnsi="Verdana" w:cs="Times New Roman"/>
          <w:sz w:val="20"/>
          <w:szCs w:val="20"/>
        </w:rPr>
        <w:t>5.3.3 Data sources</w:t>
      </w:r>
      <w:bookmarkEnd w:id="92"/>
    </w:p>
    <w:p w:rsidR="000E223B" w:rsidRPr="000E223B" w:rsidRDefault="000E223B" w:rsidP="000E223B">
      <w:pPr>
        <w:spacing w:line="360" w:lineRule="auto"/>
        <w:jc w:val="both"/>
        <w:rPr>
          <w:rFonts w:ascii="Verdana" w:hAnsi="Verdana" w:cs="Times New Roman"/>
          <w:sz w:val="20"/>
          <w:szCs w:val="20"/>
          <w:lang w:val="en-US"/>
        </w:rPr>
      </w:pP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As a result of these developing trends, Georges, Haas and Pentland (2014) have identified and categorized 5 key sources of big data:</w:t>
      </w:r>
    </w:p>
    <w:p w:rsidR="000E223B" w:rsidRPr="00FB5C1D" w:rsidRDefault="000E223B" w:rsidP="000E223B">
      <w:pPr>
        <w:pStyle w:val="ListParagraph"/>
        <w:numPr>
          <w:ilvl w:val="0"/>
          <w:numId w:val="25"/>
        </w:numPr>
        <w:spacing w:line="360" w:lineRule="auto"/>
        <w:ind w:left="0" w:firstLine="567"/>
        <w:jc w:val="both"/>
        <w:rPr>
          <w:rFonts w:ascii="Verdana" w:hAnsi="Verdana" w:cs="Times New Roman"/>
          <w:sz w:val="20"/>
          <w:szCs w:val="20"/>
        </w:rPr>
      </w:pPr>
      <w:r w:rsidRPr="00FB5C1D">
        <w:rPr>
          <w:rFonts w:ascii="Verdana" w:hAnsi="Verdana" w:cs="Times New Roman"/>
          <w:sz w:val="20"/>
          <w:szCs w:val="20"/>
          <w:u w:val="single"/>
        </w:rPr>
        <w:t>Public data</w:t>
      </w:r>
      <w:r w:rsidRPr="00FB5C1D">
        <w:rPr>
          <w:rFonts w:ascii="Verdana" w:hAnsi="Verdana" w:cs="Times New Roman"/>
          <w:sz w:val="20"/>
          <w:szCs w:val="20"/>
        </w:rPr>
        <w:t xml:space="preserve"> as data held by governments and governmental bodies as well as national &amp; local communities over topics such as : transportation, energy use and health care;</w:t>
      </w:r>
    </w:p>
    <w:p w:rsidR="000E223B" w:rsidRPr="00FB5C1D" w:rsidRDefault="000E223B" w:rsidP="000E223B">
      <w:pPr>
        <w:pStyle w:val="ListParagraph"/>
        <w:numPr>
          <w:ilvl w:val="0"/>
          <w:numId w:val="25"/>
        </w:numPr>
        <w:spacing w:line="360" w:lineRule="auto"/>
        <w:ind w:left="0" w:firstLine="567"/>
        <w:jc w:val="both"/>
        <w:rPr>
          <w:rFonts w:ascii="Verdana" w:hAnsi="Verdana" w:cs="Times New Roman"/>
          <w:sz w:val="20"/>
          <w:szCs w:val="20"/>
        </w:rPr>
      </w:pPr>
      <w:r w:rsidRPr="00FB5C1D">
        <w:rPr>
          <w:rFonts w:ascii="Verdana" w:hAnsi="Verdana" w:cs="Times New Roman"/>
          <w:sz w:val="20"/>
          <w:szCs w:val="20"/>
          <w:u w:val="single"/>
        </w:rPr>
        <w:t>Private data</w:t>
      </w:r>
      <w:r w:rsidRPr="00FB5C1D">
        <w:rPr>
          <w:rFonts w:ascii="Verdana" w:hAnsi="Verdana" w:cs="Times New Roman"/>
          <w:sz w:val="20"/>
          <w:szCs w:val="20"/>
        </w:rPr>
        <w:t xml:space="preserve"> as data held by private businesses, NGO’s and other individuals like consumer transactions, RFID tags, mobile phone usage, website browsing;</w:t>
      </w:r>
    </w:p>
    <w:p w:rsidR="000E223B" w:rsidRPr="00FB5C1D" w:rsidRDefault="000E223B" w:rsidP="000E223B">
      <w:pPr>
        <w:pStyle w:val="ListParagraph"/>
        <w:numPr>
          <w:ilvl w:val="0"/>
          <w:numId w:val="25"/>
        </w:numPr>
        <w:spacing w:line="360" w:lineRule="auto"/>
        <w:ind w:left="0" w:firstLine="567"/>
        <w:jc w:val="both"/>
        <w:rPr>
          <w:rFonts w:ascii="Verdana" w:hAnsi="Verdana" w:cs="Times New Roman"/>
          <w:sz w:val="20"/>
          <w:szCs w:val="20"/>
        </w:rPr>
      </w:pPr>
      <w:r w:rsidRPr="00FB5C1D">
        <w:rPr>
          <w:rFonts w:ascii="Verdana" w:hAnsi="Verdana" w:cs="Times New Roman"/>
          <w:sz w:val="20"/>
          <w:szCs w:val="20"/>
          <w:u w:val="single"/>
        </w:rPr>
        <w:t>Data exhaust</w:t>
      </w:r>
      <w:r w:rsidRPr="00FB5C1D">
        <w:rPr>
          <w:rFonts w:ascii="Verdana" w:hAnsi="Verdana" w:cs="Times New Roman"/>
          <w:sz w:val="20"/>
          <w:szCs w:val="20"/>
        </w:rPr>
        <w:t xml:space="preserve"> as data which is passively collected like internet search logs, telephone hotlines, information-seeking behavior;</w:t>
      </w:r>
    </w:p>
    <w:p w:rsidR="000E223B" w:rsidRPr="00FB5C1D" w:rsidRDefault="000E223B" w:rsidP="000E223B">
      <w:pPr>
        <w:pStyle w:val="ListParagraph"/>
        <w:numPr>
          <w:ilvl w:val="0"/>
          <w:numId w:val="25"/>
        </w:numPr>
        <w:spacing w:line="360" w:lineRule="auto"/>
        <w:ind w:left="0" w:firstLine="567"/>
        <w:jc w:val="both"/>
        <w:rPr>
          <w:rFonts w:ascii="Verdana" w:hAnsi="Verdana" w:cs="Times New Roman"/>
          <w:sz w:val="20"/>
          <w:szCs w:val="20"/>
        </w:rPr>
      </w:pPr>
      <w:r w:rsidRPr="00FB5C1D">
        <w:rPr>
          <w:rFonts w:ascii="Verdana" w:hAnsi="Verdana" w:cs="Times New Roman"/>
          <w:sz w:val="20"/>
          <w:szCs w:val="20"/>
          <w:u w:val="single"/>
        </w:rPr>
        <w:t>Community data</w:t>
      </w:r>
      <w:r w:rsidRPr="00FB5C1D">
        <w:rPr>
          <w:rFonts w:ascii="Verdana" w:hAnsi="Verdana" w:cs="Times New Roman"/>
          <w:sz w:val="20"/>
          <w:szCs w:val="20"/>
        </w:rPr>
        <w:t xml:space="preserve"> like consumer reviews, voting buttons, feeds ;</w:t>
      </w:r>
    </w:p>
    <w:p w:rsidR="000E223B" w:rsidRPr="00FB5C1D" w:rsidRDefault="000E223B" w:rsidP="000E223B">
      <w:pPr>
        <w:pStyle w:val="ListParagraph"/>
        <w:numPr>
          <w:ilvl w:val="0"/>
          <w:numId w:val="25"/>
        </w:numPr>
        <w:spacing w:line="360" w:lineRule="auto"/>
        <w:ind w:left="0" w:firstLine="567"/>
        <w:jc w:val="both"/>
        <w:rPr>
          <w:rFonts w:ascii="Verdana" w:hAnsi="Verdana" w:cs="Times New Roman"/>
          <w:sz w:val="20"/>
          <w:szCs w:val="20"/>
        </w:rPr>
      </w:pPr>
      <w:r w:rsidRPr="00FB5C1D">
        <w:rPr>
          <w:rFonts w:ascii="Verdana" w:hAnsi="Verdana" w:cs="Times New Roman"/>
          <w:sz w:val="20"/>
          <w:szCs w:val="20"/>
          <w:u w:val="single"/>
        </w:rPr>
        <w:t>Self-quantification</w:t>
      </w:r>
      <w:r w:rsidRPr="00FB5C1D">
        <w:rPr>
          <w:rFonts w:ascii="Verdana" w:hAnsi="Verdana" w:cs="Times New Roman"/>
          <w:sz w:val="20"/>
          <w:szCs w:val="20"/>
        </w:rPr>
        <w:t xml:space="preserve"> data as quantified information about an individual’s behavior and preferences.</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Another common distinction made between categories of (big) data is a </w:t>
      </w:r>
      <w:r w:rsidRPr="000E223B">
        <w:rPr>
          <w:rFonts w:ascii="Verdana" w:hAnsi="Verdana" w:cs="Times New Roman"/>
          <w:sz w:val="20"/>
          <w:szCs w:val="20"/>
          <w:u w:val="single"/>
          <w:lang w:val="en-US"/>
        </w:rPr>
        <w:t>taxonomy</w:t>
      </w:r>
      <w:r w:rsidRPr="000E223B">
        <w:rPr>
          <w:rFonts w:ascii="Verdana" w:hAnsi="Verdana" w:cs="Times New Roman"/>
          <w:sz w:val="20"/>
          <w:szCs w:val="20"/>
          <w:lang w:val="en-US"/>
        </w:rPr>
        <w:t xml:space="preserve"> proposed by Oracle, used both by Khan, Udding and Gupta (2014) and Liu, Yang and Zhang (2013) :</w:t>
      </w:r>
    </w:p>
    <w:p w:rsidR="000E223B" w:rsidRPr="00FB5C1D" w:rsidRDefault="000E223B" w:rsidP="000E223B">
      <w:pPr>
        <w:pStyle w:val="ListParagraph"/>
        <w:numPr>
          <w:ilvl w:val="0"/>
          <w:numId w:val="26"/>
        </w:numPr>
        <w:spacing w:line="360" w:lineRule="auto"/>
        <w:ind w:left="0" w:firstLine="567"/>
        <w:jc w:val="both"/>
        <w:rPr>
          <w:rFonts w:ascii="Verdana" w:hAnsi="Verdana" w:cs="Times New Roman"/>
          <w:sz w:val="20"/>
          <w:szCs w:val="20"/>
        </w:rPr>
      </w:pPr>
      <w:r w:rsidRPr="00FB5C1D">
        <w:rPr>
          <w:rFonts w:ascii="Verdana" w:hAnsi="Verdana" w:cs="Times New Roman"/>
          <w:sz w:val="20"/>
          <w:szCs w:val="20"/>
          <w:u w:val="single"/>
        </w:rPr>
        <w:t>Traditional enterprise data</w:t>
      </w:r>
      <w:r w:rsidRPr="00FB5C1D">
        <w:rPr>
          <w:rFonts w:ascii="Verdana" w:hAnsi="Verdana" w:cs="Times New Roman"/>
          <w:sz w:val="20"/>
          <w:szCs w:val="20"/>
        </w:rPr>
        <w:t xml:space="preserve"> : CRM systems, ERP, Web stores,  General ledger data;</w:t>
      </w:r>
    </w:p>
    <w:p w:rsidR="000E223B" w:rsidRPr="00FB5C1D" w:rsidRDefault="000E223B" w:rsidP="000E223B">
      <w:pPr>
        <w:pStyle w:val="ListParagraph"/>
        <w:numPr>
          <w:ilvl w:val="0"/>
          <w:numId w:val="26"/>
        </w:numPr>
        <w:spacing w:line="360" w:lineRule="auto"/>
        <w:ind w:left="0" w:firstLine="567"/>
        <w:jc w:val="both"/>
        <w:rPr>
          <w:rFonts w:ascii="Verdana" w:hAnsi="Verdana" w:cs="Times New Roman"/>
          <w:sz w:val="20"/>
          <w:szCs w:val="20"/>
        </w:rPr>
      </w:pPr>
      <w:r w:rsidRPr="00FB5C1D">
        <w:rPr>
          <w:rFonts w:ascii="Verdana" w:hAnsi="Verdana" w:cs="Times New Roman"/>
          <w:sz w:val="20"/>
          <w:szCs w:val="20"/>
          <w:u w:val="single"/>
        </w:rPr>
        <w:t>Machine/sensor generated data</w:t>
      </w:r>
      <w:r w:rsidRPr="00FB5C1D">
        <w:rPr>
          <w:rFonts w:ascii="Verdana" w:hAnsi="Verdana" w:cs="Times New Roman"/>
          <w:sz w:val="20"/>
          <w:szCs w:val="20"/>
        </w:rPr>
        <w:t xml:space="preserve"> : Call detail records, Weblogs, Digital exhaust, Trading systems;</w:t>
      </w:r>
    </w:p>
    <w:p w:rsidR="000E223B" w:rsidRPr="00FB5C1D" w:rsidRDefault="000E223B" w:rsidP="000E223B">
      <w:pPr>
        <w:pStyle w:val="ListParagraph"/>
        <w:numPr>
          <w:ilvl w:val="0"/>
          <w:numId w:val="26"/>
        </w:numPr>
        <w:spacing w:line="360" w:lineRule="auto"/>
        <w:ind w:left="0" w:firstLine="567"/>
        <w:jc w:val="both"/>
        <w:rPr>
          <w:rFonts w:ascii="Verdana" w:hAnsi="Verdana" w:cs="Times New Roman"/>
          <w:sz w:val="20"/>
          <w:szCs w:val="20"/>
        </w:rPr>
      </w:pPr>
      <w:r w:rsidRPr="00FB5C1D">
        <w:rPr>
          <w:rFonts w:ascii="Verdana" w:hAnsi="Verdana" w:cs="Times New Roman"/>
          <w:sz w:val="20"/>
          <w:szCs w:val="20"/>
          <w:u w:val="single"/>
        </w:rPr>
        <w:t xml:space="preserve">Social data </w:t>
      </w:r>
      <w:r w:rsidRPr="00FB5C1D">
        <w:rPr>
          <w:rFonts w:ascii="Verdana" w:hAnsi="Verdana" w:cs="Times New Roman"/>
          <w:sz w:val="20"/>
          <w:szCs w:val="20"/>
        </w:rPr>
        <w:t>: Posts, Tweets, Blogs, Emails, Reviews.</w:t>
      </w:r>
    </w:p>
    <w:p w:rsidR="000E223B" w:rsidRPr="008768D5" w:rsidRDefault="008768D5" w:rsidP="000E223B">
      <w:pPr>
        <w:spacing w:line="360" w:lineRule="auto"/>
        <w:jc w:val="both"/>
        <w:rPr>
          <w:rFonts w:ascii="Verdana" w:hAnsi="Verdana" w:cs="Times New Roman"/>
          <w:sz w:val="20"/>
          <w:szCs w:val="20"/>
          <w:lang w:val="en-US"/>
        </w:rPr>
      </w:pPr>
      <w:r w:rsidRPr="008768D5">
        <w:rPr>
          <w:rFonts w:ascii="Verdana" w:hAnsi="Verdana" w:cs="Times New Roman"/>
          <w:sz w:val="20"/>
          <w:szCs w:val="20"/>
          <w:lang w:val="en-US"/>
        </w:rPr>
        <w:t>Ebner et al.</w:t>
      </w:r>
      <w:r w:rsidR="000E223B" w:rsidRPr="008768D5">
        <w:rPr>
          <w:rFonts w:ascii="Verdana" w:hAnsi="Verdana" w:cs="Times New Roman"/>
          <w:sz w:val="20"/>
          <w:szCs w:val="20"/>
          <w:lang w:val="en-US"/>
        </w:rPr>
        <w:t>(2014) divide data in 4 different classes:</w:t>
      </w:r>
    </w:p>
    <w:p w:rsidR="000E223B" w:rsidRPr="00FB5C1D" w:rsidRDefault="000E223B" w:rsidP="000E223B">
      <w:pPr>
        <w:pStyle w:val="ListParagraph"/>
        <w:numPr>
          <w:ilvl w:val="0"/>
          <w:numId w:val="27"/>
        </w:numPr>
        <w:spacing w:line="360" w:lineRule="auto"/>
        <w:ind w:left="0" w:firstLine="567"/>
        <w:jc w:val="both"/>
        <w:rPr>
          <w:rFonts w:ascii="Verdana" w:hAnsi="Verdana" w:cs="Times New Roman"/>
          <w:sz w:val="20"/>
          <w:szCs w:val="20"/>
        </w:rPr>
      </w:pPr>
      <w:r w:rsidRPr="00FB5C1D">
        <w:rPr>
          <w:rFonts w:ascii="Verdana" w:hAnsi="Verdana" w:cs="Times New Roman"/>
          <w:sz w:val="20"/>
          <w:szCs w:val="20"/>
          <w:u w:val="single"/>
        </w:rPr>
        <w:t>External structured data</w:t>
      </w:r>
      <w:r w:rsidRPr="00FB5C1D">
        <w:rPr>
          <w:rFonts w:ascii="Verdana" w:hAnsi="Verdana" w:cs="Times New Roman"/>
          <w:sz w:val="20"/>
          <w:szCs w:val="20"/>
        </w:rPr>
        <w:t xml:space="preserve"> (GPS location data, credit history,…);</w:t>
      </w:r>
    </w:p>
    <w:p w:rsidR="000E223B" w:rsidRPr="00FB5C1D" w:rsidRDefault="000E223B" w:rsidP="000E223B">
      <w:pPr>
        <w:pStyle w:val="ListParagraph"/>
        <w:numPr>
          <w:ilvl w:val="0"/>
          <w:numId w:val="27"/>
        </w:numPr>
        <w:spacing w:line="360" w:lineRule="auto"/>
        <w:ind w:left="0" w:firstLine="567"/>
        <w:jc w:val="both"/>
        <w:rPr>
          <w:rFonts w:ascii="Verdana" w:hAnsi="Verdana" w:cs="Times New Roman"/>
          <w:sz w:val="20"/>
          <w:szCs w:val="20"/>
        </w:rPr>
      </w:pPr>
      <w:r w:rsidRPr="00FB5C1D">
        <w:rPr>
          <w:rFonts w:ascii="Verdana" w:hAnsi="Verdana" w:cs="Times New Roman"/>
          <w:sz w:val="20"/>
          <w:szCs w:val="20"/>
          <w:u w:val="single"/>
        </w:rPr>
        <w:t>Internal structured data</w:t>
      </w:r>
      <w:r w:rsidRPr="00FB5C1D">
        <w:rPr>
          <w:rFonts w:ascii="Verdana" w:hAnsi="Verdana" w:cs="Times New Roman"/>
          <w:sz w:val="20"/>
          <w:szCs w:val="20"/>
        </w:rPr>
        <w:t xml:space="preserve"> (CRM, ERP, inventory systems,…);</w:t>
      </w:r>
    </w:p>
    <w:p w:rsidR="000E223B" w:rsidRPr="00FB5C1D" w:rsidRDefault="000E223B" w:rsidP="000E223B">
      <w:pPr>
        <w:pStyle w:val="ListParagraph"/>
        <w:numPr>
          <w:ilvl w:val="0"/>
          <w:numId w:val="27"/>
        </w:numPr>
        <w:spacing w:line="360" w:lineRule="auto"/>
        <w:ind w:left="0" w:firstLine="567"/>
        <w:jc w:val="both"/>
        <w:rPr>
          <w:rFonts w:ascii="Verdana" w:hAnsi="Verdana" w:cs="Times New Roman"/>
          <w:sz w:val="20"/>
          <w:szCs w:val="20"/>
        </w:rPr>
      </w:pPr>
      <w:r w:rsidRPr="00FB5C1D">
        <w:rPr>
          <w:rFonts w:ascii="Verdana" w:hAnsi="Verdana" w:cs="Times New Roman"/>
          <w:sz w:val="20"/>
          <w:szCs w:val="20"/>
          <w:u w:val="single"/>
        </w:rPr>
        <w:t>External unstructured data</w:t>
      </w:r>
      <w:r w:rsidRPr="00FB5C1D">
        <w:rPr>
          <w:rFonts w:ascii="Verdana" w:hAnsi="Verdana" w:cs="Times New Roman"/>
          <w:sz w:val="20"/>
          <w:szCs w:val="20"/>
        </w:rPr>
        <w:t xml:space="preserve"> (Facebook &amp; Twitter posts,…);</w:t>
      </w:r>
    </w:p>
    <w:p w:rsidR="000E223B" w:rsidRPr="00FB5C1D" w:rsidRDefault="000E223B" w:rsidP="000E223B">
      <w:pPr>
        <w:pStyle w:val="ListParagraph"/>
        <w:numPr>
          <w:ilvl w:val="0"/>
          <w:numId w:val="27"/>
        </w:numPr>
        <w:spacing w:line="360" w:lineRule="auto"/>
        <w:ind w:left="0" w:firstLine="567"/>
        <w:jc w:val="both"/>
        <w:rPr>
          <w:rFonts w:ascii="Verdana" w:hAnsi="Verdana" w:cs="Times New Roman"/>
          <w:sz w:val="20"/>
          <w:szCs w:val="20"/>
        </w:rPr>
      </w:pPr>
      <w:r w:rsidRPr="00FB5C1D">
        <w:rPr>
          <w:rFonts w:ascii="Verdana" w:hAnsi="Verdana" w:cs="Times New Roman"/>
          <w:sz w:val="20"/>
          <w:szCs w:val="20"/>
          <w:u w:val="single"/>
        </w:rPr>
        <w:t>Internal unstructured data</w:t>
      </w:r>
      <w:r w:rsidRPr="00FB5C1D">
        <w:rPr>
          <w:rFonts w:ascii="Verdana" w:hAnsi="Verdana" w:cs="Times New Roman"/>
          <w:sz w:val="20"/>
          <w:szCs w:val="20"/>
        </w:rPr>
        <w:t xml:space="preserve"> (sensor data, text documents,…).</w:t>
      </w:r>
    </w:p>
    <w:p w:rsidR="000E223B" w:rsidRPr="000E223B" w:rsidRDefault="000E223B" w:rsidP="000E223B">
      <w:pPr>
        <w:spacing w:line="360" w:lineRule="auto"/>
        <w:jc w:val="both"/>
        <w:rPr>
          <w:rFonts w:ascii="Verdana" w:hAnsi="Verdana" w:cs="Times New Roman"/>
          <w:sz w:val="20"/>
          <w:szCs w:val="20"/>
          <w:lang w:val="en-US"/>
        </w:rPr>
      </w:pPr>
    </w:p>
    <w:p w:rsidR="000E223B" w:rsidRPr="00FB5C1D" w:rsidRDefault="000E223B" w:rsidP="000E223B">
      <w:pPr>
        <w:pStyle w:val="Heading2"/>
        <w:spacing w:line="360" w:lineRule="auto"/>
        <w:jc w:val="both"/>
        <w:rPr>
          <w:rFonts w:ascii="Verdana" w:hAnsi="Verdana" w:cs="Times New Roman"/>
          <w:sz w:val="20"/>
          <w:szCs w:val="20"/>
        </w:rPr>
      </w:pPr>
      <w:bookmarkStart w:id="93" w:name="_Toc423597553"/>
      <w:r w:rsidRPr="00FB5C1D">
        <w:rPr>
          <w:rFonts w:ascii="Verdana" w:hAnsi="Verdana" w:cs="Times New Roman"/>
          <w:sz w:val="20"/>
          <w:szCs w:val="20"/>
        </w:rPr>
        <w:t>5.3.4 Traditional data and big data</w:t>
      </w:r>
      <w:bookmarkEnd w:id="93"/>
      <w:r w:rsidRPr="00FB5C1D">
        <w:rPr>
          <w:rFonts w:ascii="Verdana" w:hAnsi="Verdana" w:cs="Times New Roman"/>
          <w:sz w:val="20"/>
          <w:szCs w:val="20"/>
        </w:rPr>
        <w:t xml:space="preserve"> </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Understanding the new data sources also means understanding the difference between traditional data and big data. Hu et al. (2014, pp.654) have used such a </w:t>
      </w:r>
      <w:r w:rsidRPr="000E223B">
        <w:rPr>
          <w:rFonts w:ascii="Verdana" w:hAnsi="Verdana" w:cs="Times New Roman"/>
          <w:sz w:val="20"/>
          <w:szCs w:val="20"/>
          <w:u w:val="single"/>
          <w:lang w:val="en-US"/>
        </w:rPr>
        <w:t xml:space="preserve">comparative </w:t>
      </w:r>
      <w:r w:rsidRPr="000E223B">
        <w:rPr>
          <w:rFonts w:ascii="Verdana" w:hAnsi="Verdana" w:cs="Times New Roman"/>
          <w:sz w:val="20"/>
          <w:szCs w:val="20"/>
          <w:u w:val="single"/>
          <w:lang w:val="en-US"/>
        </w:rPr>
        <w:lastRenderedPageBreak/>
        <w:t>model</w:t>
      </w:r>
      <w:r w:rsidRPr="000E223B">
        <w:rPr>
          <w:rFonts w:ascii="Verdana" w:hAnsi="Verdana" w:cs="Times New Roman"/>
          <w:b/>
          <w:sz w:val="20"/>
          <w:szCs w:val="20"/>
          <w:lang w:val="en-US"/>
        </w:rPr>
        <w:t xml:space="preserve"> </w:t>
      </w:r>
      <w:r w:rsidRPr="000E223B">
        <w:rPr>
          <w:rFonts w:ascii="Verdana" w:hAnsi="Verdana" w:cs="Times New Roman"/>
          <w:sz w:val="20"/>
          <w:szCs w:val="20"/>
          <w:lang w:val="en-US"/>
        </w:rPr>
        <w:t xml:space="preserve">in figure 5.1 to distinguish big data on all 4 dimensions (volume, variety, velocity, veracity), with structured data being centralized while semi- and unstructured data being fully distributed. </w:t>
      </w:r>
    </w:p>
    <w:p w:rsidR="000E223B" w:rsidRPr="000E223B" w:rsidRDefault="000E223B" w:rsidP="000E223B">
      <w:pPr>
        <w:spacing w:line="360" w:lineRule="auto"/>
        <w:jc w:val="both"/>
        <w:rPr>
          <w:rFonts w:ascii="Verdana" w:hAnsi="Verdana" w:cs="Times New Roman"/>
          <w:sz w:val="20"/>
          <w:szCs w:val="20"/>
          <w:lang w:val="en-US"/>
        </w:rPr>
      </w:pPr>
      <w:r w:rsidRPr="00FB5C1D">
        <w:rPr>
          <w:rFonts w:ascii="Verdana" w:hAnsi="Verdana" w:cs="Times New Roman"/>
          <w:noProof/>
          <w:sz w:val="20"/>
          <w:szCs w:val="20"/>
          <w:lang w:val="en-GB" w:eastAsia="en-GB"/>
        </w:rPr>
        <w:drawing>
          <wp:anchor distT="0" distB="0" distL="114300" distR="114300" simplePos="0" relativeHeight="251673088" behindDoc="1" locked="0" layoutInCell="1" allowOverlap="1" wp14:anchorId="7A5BC387" wp14:editId="2D691638">
            <wp:simplePos x="0" y="0"/>
            <wp:positionH relativeFrom="column">
              <wp:posOffset>381000</wp:posOffset>
            </wp:positionH>
            <wp:positionV relativeFrom="paragraph">
              <wp:posOffset>624205</wp:posOffset>
            </wp:positionV>
            <wp:extent cx="4867275" cy="1857375"/>
            <wp:effectExtent l="0" t="0" r="9525" b="9525"/>
            <wp:wrapTight wrapText="bothSides">
              <wp:wrapPolygon edited="0">
                <wp:start x="0" y="0"/>
                <wp:lineTo x="0" y="21489"/>
                <wp:lineTo x="21558" y="21489"/>
                <wp:lineTo x="2155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867275" cy="1857375"/>
                    </a:xfrm>
                    <a:prstGeom prst="rect">
                      <a:avLst/>
                    </a:prstGeom>
                  </pic:spPr>
                </pic:pic>
              </a:graphicData>
            </a:graphic>
            <wp14:sizeRelH relativeFrom="page">
              <wp14:pctWidth>0</wp14:pctWidth>
            </wp14:sizeRelH>
            <wp14:sizeRelV relativeFrom="page">
              <wp14:pctHeight>0</wp14:pctHeight>
            </wp14:sizeRelV>
          </wp:anchor>
        </w:drawing>
      </w:r>
    </w:p>
    <w:p w:rsidR="000E223B" w:rsidRPr="000E223B" w:rsidRDefault="000E223B" w:rsidP="000E223B">
      <w:pPr>
        <w:spacing w:line="360" w:lineRule="auto"/>
        <w:jc w:val="both"/>
        <w:rPr>
          <w:rFonts w:ascii="Verdana" w:hAnsi="Verdana" w:cs="Times New Roman"/>
          <w:sz w:val="20"/>
          <w:szCs w:val="20"/>
          <w:lang w:val="en-US"/>
        </w:rPr>
      </w:pPr>
    </w:p>
    <w:p w:rsidR="000E223B" w:rsidRPr="000E223B" w:rsidRDefault="000E223B" w:rsidP="000E223B">
      <w:pPr>
        <w:spacing w:line="360" w:lineRule="auto"/>
        <w:jc w:val="both"/>
        <w:rPr>
          <w:rFonts w:ascii="Verdana" w:hAnsi="Verdana" w:cs="Times New Roman"/>
          <w:sz w:val="20"/>
          <w:szCs w:val="20"/>
          <w:lang w:val="en-US"/>
        </w:rPr>
      </w:pPr>
    </w:p>
    <w:p w:rsidR="000E223B" w:rsidRPr="000E223B" w:rsidRDefault="000E223B" w:rsidP="000E223B">
      <w:pPr>
        <w:spacing w:line="360" w:lineRule="auto"/>
        <w:jc w:val="both"/>
        <w:rPr>
          <w:rFonts w:ascii="Verdana" w:hAnsi="Verdana" w:cs="Times New Roman"/>
          <w:sz w:val="20"/>
          <w:szCs w:val="20"/>
          <w:lang w:val="en-US"/>
        </w:rPr>
      </w:pPr>
    </w:p>
    <w:p w:rsidR="000E223B" w:rsidRPr="000E223B" w:rsidRDefault="000E223B" w:rsidP="000E223B">
      <w:pPr>
        <w:spacing w:line="360" w:lineRule="auto"/>
        <w:jc w:val="both"/>
        <w:rPr>
          <w:rFonts w:ascii="Verdana" w:hAnsi="Verdana" w:cs="Times New Roman"/>
          <w:sz w:val="20"/>
          <w:szCs w:val="20"/>
          <w:lang w:val="en-US"/>
        </w:rPr>
      </w:pPr>
    </w:p>
    <w:p w:rsidR="000E223B" w:rsidRPr="000E223B" w:rsidRDefault="000E223B" w:rsidP="000E223B">
      <w:pPr>
        <w:spacing w:line="360" w:lineRule="auto"/>
        <w:jc w:val="both"/>
        <w:rPr>
          <w:rFonts w:ascii="Verdana" w:hAnsi="Verdana" w:cs="Times New Roman"/>
          <w:sz w:val="20"/>
          <w:szCs w:val="20"/>
          <w:lang w:val="en-US"/>
        </w:rPr>
      </w:pPr>
    </w:p>
    <w:p w:rsidR="00753959" w:rsidRDefault="00753959" w:rsidP="000E223B">
      <w:pPr>
        <w:spacing w:line="360" w:lineRule="auto"/>
        <w:jc w:val="center"/>
        <w:rPr>
          <w:rFonts w:ascii="Verdana" w:hAnsi="Verdana" w:cs="Times New Roman"/>
          <w:sz w:val="18"/>
          <w:szCs w:val="18"/>
          <w:lang w:val="en-US"/>
        </w:rPr>
      </w:pPr>
    </w:p>
    <w:p w:rsidR="000E223B" w:rsidRPr="00753959" w:rsidRDefault="000E223B" w:rsidP="000E223B">
      <w:pPr>
        <w:spacing w:line="360" w:lineRule="auto"/>
        <w:jc w:val="center"/>
        <w:rPr>
          <w:rFonts w:ascii="Verdana" w:hAnsi="Verdana" w:cs="Times New Roman"/>
          <w:sz w:val="18"/>
          <w:szCs w:val="18"/>
          <w:lang w:val="en-US"/>
        </w:rPr>
      </w:pPr>
      <w:r w:rsidRPr="00753959">
        <w:rPr>
          <w:rFonts w:ascii="Verdana" w:hAnsi="Verdana" w:cs="Times New Roman"/>
          <w:sz w:val="18"/>
          <w:szCs w:val="18"/>
          <w:lang w:val="en-US"/>
        </w:rPr>
        <w:t>Figure 5.1 Comparative model between traditional data and big data (Hu et al.,2014, pp.654)</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Morabito (2014) makes a similar distinction between </w:t>
      </w:r>
      <w:r w:rsidRPr="000E223B">
        <w:rPr>
          <w:rFonts w:ascii="Verdana" w:hAnsi="Verdana" w:cs="Times New Roman"/>
          <w:sz w:val="20"/>
          <w:szCs w:val="20"/>
          <w:u w:val="single"/>
          <w:lang w:val="en-US"/>
        </w:rPr>
        <w:t>stocks and streams</w:t>
      </w:r>
      <w:r w:rsidRPr="000E223B">
        <w:rPr>
          <w:rFonts w:ascii="Verdana" w:hAnsi="Verdana" w:cs="Times New Roman"/>
          <w:sz w:val="20"/>
          <w:szCs w:val="20"/>
          <w:lang w:val="en-US"/>
        </w:rPr>
        <w:t xml:space="preserve">: digital data streams (DDS) and big data are different because big data is more or less static and has as main use to be mined for insight. Digital data streams on the other hand evolve over time dynamically and call for immediate action. This distinction spans also in the scope and target of decision-making: DDS is more suited for marketing and operations when the impact of the reaction is high while big data can be used more for strategy, long term decisions and business innovations. Hu et al. (2014) make the same distinction only between streaming and batch processing : streaming processing relates to using data in real time in order to derive insights and results and re-insert them back into the stream while batch processing implies first storing the data and then analyzing it which makes data more static. </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The different distinctions made in literature between data sources and types seem to converge to a consensus on using two axes for classification : whether the data is internal or external to a company and whether the data is structured or unstructured. We advise on using this dis</w:t>
      </w:r>
      <w:r w:rsidR="008768D5">
        <w:rPr>
          <w:rFonts w:ascii="Verdana" w:hAnsi="Verdana" w:cs="Times New Roman"/>
          <w:sz w:val="20"/>
          <w:szCs w:val="20"/>
          <w:lang w:val="en-US"/>
        </w:rPr>
        <w:t xml:space="preserve">tinction as presented by Ebner et al. </w:t>
      </w:r>
      <w:r w:rsidRPr="000E223B">
        <w:rPr>
          <w:rFonts w:ascii="Verdana" w:hAnsi="Verdana" w:cs="Times New Roman"/>
          <w:sz w:val="20"/>
          <w:szCs w:val="20"/>
          <w:lang w:val="en-US"/>
        </w:rPr>
        <w:t xml:space="preserve">(2014) because it is intuitive and simple to implement and because it encompasses and integrates the other distinctions as well : internal structured data can include stocks of data fitted for batch processing while external unstructured data can include digital data streams. </w:t>
      </w:r>
    </w:p>
    <w:p w:rsidR="000E223B" w:rsidRPr="00FB5C1D" w:rsidRDefault="000E223B" w:rsidP="000E223B">
      <w:pPr>
        <w:pStyle w:val="Heading2"/>
        <w:spacing w:line="360" w:lineRule="auto"/>
        <w:jc w:val="both"/>
        <w:rPr>
          <w:rFonts w:ascii="Verdana" w:hAnsi="Verdana" w:cs="Times New Roman"/>
          <w:sz w:val="20"/>
          <w:szCs w:val="20"/>
        </w:rPr>
      </w:pPr>
      <w:bookmarkStart w:id="94" w:name="_Toc423597554"/>
      <w:r w:rsidRPr="00FB5C1D">
        <w:rPr>
          <w:rFonts w:ascii="Verdana" w:hAnsi="Verdana" w:cs="Times New Roman"/>
          <w:sz w:val="20"/>
          <w:szCs w:val="20"/>
        </w:rPr>
        <w:t>5.3.5 Themes</w:t>
      </w:r>
      <w:bookmarkEnd w:id="94"/>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Big data is an extensive subject as it can refer, as has been shown in the different definitions and research, to multiple facets of one phenomenon. Bohlouli</w:t>
      </w:r>
      <w:r w:rsidR="00BC1F27">
        <w:rPr>
          <w:rFonts w:ascii="Verdana" w:hAnsi="Verdana" w:cs="Times New Roman"/>
          <w:sz w:val="20"/>
          <w:szCs w:val="20"/>
        </w:rPr>
        <w:t xml:space="preserve"> et al.</w:t>
      </w:r>
      <w:r w:rsidRPr="00FB5C1D">
        <w:rPr>
          <w:rFonts w:ascii="Verdana" w:hAnsi="Verdana" w:cs="Times New Roman"/>
          <w:sz w:val="20"/>
          <w:szCs w:val="20"/>
        </w:rPr>
        <w:t xml:space="preserve"> (2013) </w:t>
      </w:r>
      <w:r w:rsidRPr="00FB5C1D">
        <w:rPr>
          <w:rFonts w:ascii="Verdana" w:hAnsi="Verdana" w:cs="Times New Roman"/>
          <w:sz w:val="20"/>
          <w:szCs w:val="20"/>
        </w:rPr>
        <w:lastRenderedPageBreak/>
        <w:t xml:space="preserve">have distinguished between different factors and strategy points for big data lifecycle phases : as such big data can refer to storage and integration, as it can refer to use and technologies such as analytics and infrastructure but it can also span to management and organization issues such as investment in appropriate human resources. </w:t>
      </w: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Because the subject of big data is quite extensive, Hansmann and Niemeyer (2014) have chosen to research it by using topic models. They used the Webster and Watson approach and applied a structured literature review in order to validate the derived dimensions of big data and then apply topic models to enrich these dimensions accordingly. It is important to note that big data “dimensions” term as it is used here should not be mistaken with the 3V/4(5)V model as areas of interest which characterize data as such but rather as the most common research subjects on the topic of big data. For this reason, to avoid confusion, we will use the term “theme” to name and discuss these dimensions. </w:t>
      </w: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In their research, the authors have thus derived 4 themes on big data:</w:t>
      </w:r>
    </w:p>
    <w:p w:rsidR="000E223B" w:rsidRPr="00FB5C1D" w:rsidRDefault="000E223B" w:rsidP="000E223B">
      <w:pPr>
        <w:pStyle w:val="ListParagraph"/>
        <w:spacing w:line="360" w:lineRule="auto"/>
        <w:ind w:left="0"/>
        <w:jc w:val="both"/>
        <w:rPr>
          <w:rFonts w:ascii="Verdana" w:hAnsi="Verdana" w:cs="Times New Roman"/>
          <w:sz w:val="20"/>
          <w:szCs w:val="20"/>
        </w:rPr>
      </w:pPr>
    </w:p>
    <w:p w:rsidR="000E223B" w:rsidRPr="00FB5C1D" w:rsidRDefault="000E223B" w:rsidP="000E223B">
      <w:pPr>
        <w:pStyle w:val="ListParagraph"/>
        <w:numPr>
          <w:ilvl w:val="0"/>
          <w:numId w:val="29"/>
        </w:numPr>
        <w:spacing w:line="360" w:lineRule="auto"/>
        <w:ind w:left="0" w:firstLine="567"/>
        <w:jc w:val="both"/>
        <w:rPr>
          <w:rFonts w:ascii="Verdana" w:hAnsi="Verdana" w:cs="Times New Roman"/>
          <w:sz w:val="20"/>
          <w:szCs w:val="20"/>
        </w:rPr>
      </w:pPr>
      <w:r w:rsidRPr="00FB5C1D">
        <w:rPr>
          <w:rFonts w:ascii="Verdana" w:hAnsi="Verdana" w:cs="Times New Roman"/>
          <w:sz w:val="20"/>
          <w:szCs w:val="20"/>
        </w:rPr>
        <w:t xml:space="preserve">A </w:t>
      </w:r>
      <w:r w:rsidRPr="00A7697E">
        <w:rPr>
          <w:rFonts w:ascii="Verdana" w:hAnsi="Verdana" w:cs="Times New Roman"/>
          <w:sz w:val="20"/>
          <w:szCs w:val="20"/>
        </w:rPr>
        <w:t>data</w:t>
      </w:r>
      <w:r w:rsidRPr="00FB5C1D">
        <w:rPr>
          <w:rFonts w:ascii="Verdana" w:hAnsi="Verdana" w:cs="Times New Roman"/>
          <w:sz w:val="20"/>
          <w:szCs w:val="20"/>
        </w:rPr>
        <w:t xml:space="preserve"> theme referring to the amount and structure of data; </w:t>
      </w:r>
    </w:p>
    <w:p w:rsidR="000E223B" w:rsidRPr="00A7697E" w:rsidRDefault="000E223B" w:rsidP="000E223B">
      <w:pPr>
        <w:pStyle w:val="ListParagraph"/>
        <w:numPr>
          <w:ilvl w:val="0"/>
          <w:numId w:val="28"/>
        </w:numPr>
        <w:spacing w:line="360" w:lineRule="auto"/>
        <w:ind w:left="0" w:firstLine="567"/>
        <w:jc w:val="both"/>
        <w:rPr>
          <w:rFonts w:ascii="Verdana" w:hAnsi="Verdana" w:cs="Times New Roman"/>
          <w:sz w:val="20"/>
          <w:szCs w:val="20"/>
        </w:rPr>
      </w:pPr>
      <w:r w:rsidRPr="00FB5C1D">
        <w:rPr>
          <w:rFonts w:ascii="Verdana" w:hAnsi="Verdana" w:cs="Times New Roman"/>
          <w:sz w:val="20"/>
          <w:szCs w:val="20"/>
        </w:rPr>
        <w:t xml:space="preserve">An </w:t>
      </w:r>
      <w:r w:rsidRPr="00A7697E">
        <w:rPr>
          <w:rFonts w:ascii="Verdana" w:hAnsi="Verdana" w:cs="Times New Roman"/>
          <w:sz w:val="20"/>
          <w:szCs w:val="20"/>
        </w:rPr>
        <w:t>application theme referring to how the insight gained from data is applied to the business environment;</w:t>
      </w:r>
    </w:p>
    <w:p w:rsidR="000E223B" w:rsidRPr="00A7697E" w:rsidRDefault="000E223B" w:rsidP="000E223B">
      <w:pPr>
        <w:pStyle w:val="ListParagraph"/>
        <w:numPr>
          <w:ilvl w:val="0"/>
          <w:numId w:val="28"/>
        </w:numPr>
        <w:spacing w:line="360" w:lineRule="auto"/>
        <w:ind w:left="0" w:firstLine="567"/>
        <w:jc w:val="both"/>
        <w:rPr>
          <w:rFonts w:ascii="Verdana" w:hAnsi="Verdana" w:cs="Times New Roman"/>
          <w:sz w:val="20"/>
          <w:szCs w:val="20"/>
        </w:rPr>
      </w:pPr>
      <w:r w:rsidRPr="00A7697E">
        <w:rPr>
          <w:rFonts w:ascii="Verdana" w:hAnsi="Verdana" w:cs="Times New Roman"/>
          <w:sz w:val="20"/>
          <w:szCs w:val="20"/>
        </w:rPr>
        <w:t>An IT Infrastructure theme which refers to the tools and databases used to store and manipulate data;</w:t>
      </w:r>
    </w:p>
    <w:p w:rsidR="000E223B" w:rsidRPr="00FB5C1D" w:rsidRDefault="000E223B" w:rsidP="000E223B">
      <w:pPr>
        <w:pStyle w:val="ListParagraph"/>
        <w:numPr>
          <w:ilvl w:val="0"/>
          <w:numId w:val="28"/>
        </w:numPr>
        <w:spacing w:line="360" w:lineRule="auto"/>
        <w:ind w:left="0" w:firstLine="567"/>
        <w:jc w:val="both"/>
        <w:rPr>
          <w:rFonts w:ascii="Verdana" w:hAnsi="Verdana" w:cs="Times New Roman"/>
          <w:sz w:val="20"/>
          <w:szCs w:val="20"/>
        </w:rPr>
      </w:pPr>
      <w:r w:rsidRPr="00A7697E">
        <w:rPr>
          <w:rFonts w:ascii="Verdana" w:hAnsi="Verdana" w:cs="Times New Roman"/>
          <w:sz w:val="20"/>
          <w:szCs w:val="20"/>
        </w:rPr>
        <w:t>A methods theme</w:t>
      </w:r>
      <w:r w:rsidRPr="00FB5C1D">
        <w:rPr>
          <w:rFonts w:ascii="Verdana" w:hAnsi="Verdana" w:cs="Times New Roman"/>
          <w:sz w:val="20"/>
          <w:szCs w:val="20"/>
        </w:rPr>
        <w:t xml:space="preserve"> referring to the analysis tools used for (big) data processing;</w:t>
      </w:r>
    </w:p>
    <w:p w:rsidR="000E223B" w:rsidRPr="00FB5C1D" w:rsidRDefault="000E223B" w:rsidP="000E223B">
      <w:pPr>
        <w:pStyle w:val="ListParagraph"/>
        <w:spacing w:line="360" w:lineRule="auto"/>
        <w:ind w:left="0"/>
        <w:jc w:val="both"/>
        <w:rPr>
          <w:rFonts w:ascii="Verdana" w:hAnsi="Verdana" w:cs="Times New Roman"/>
          <w:sz w:val="20"/>
          <w:szCs w:val="20"/>
        </w:rPr>
      </w:pPr>
    </w:p>
    <w:p w:rsidR="000E223B" w:rsidRPr="00FB5C1D" w:rsidRDefault="000E223B" w:rsidP="000E223B">
      <w:pPr>
        <w:pStyle w:val="Heading2"/>
        <w:spacing w:line="360" w:lineRule="auto"/>
        <w:jc w:val="both"/>
        <w:rPr>
          <w:rFonts w:ascii="Verdana" w:hAnsi="Verdana" w:cs="Times New Roman"/>
          <w:sz w:val="20"/>
          <w:szCs w:val="20"/>
        </w:rPr>
      </w:pPr>
      <w:bookmarkStart w:id="95" w:name="_Toc423597555"/>
      <w:r w:rsidRPr="00FB5C1D">
        <w:rPr>
          <w:rFonts w:ascii="Verdana" w:hAnsi="Verdana" w:cs="Times New Roman"/>
          <w:sz w:val="20"/>
          <w:szCs w:val="20"/>
        </w:rPr>
        <w:t>5.3.6 Technologies</w:t>
      </w:r>
      <w:bookmarkEnd w:id="95"/>
    </w:p>
    <w:p w:rsidR="000E223B" w:rsidRPr="00FB5C1D" w:rsidRDefault="000E223B" w:rsidP="000E223B">
      <w:pPr>
        <w:pStyle w:val="ListParagraph"/>
        <w:spacing w:after="200" w:line="360" w:lineRule="auto"/>
        <w:ind w:left="0"/>
        <w:jc w:val="both"/>
        <w:rPr>
          <w:rFonts w:ascii="Verdana" w:hAnsi="Verdana" w:cs="Times New Roman"/>
          <w:sz w:val="20"/>
          <w:szCs w:val="20"/>
        </w:rPr>
      </w:pPr>
      <w:r w:rsidRPr="00FB5C1D">
        <w:rPr>
          <w:rFonts w:ascii="Verdana" w:hAnsi="Verdana" w:cs="Times New Roman"/>
          <w:sz w:val="20"/>
          <w:szCs w:val="20"/>
        </w:rPr>
        <w:t xml:space="preserve">In the same line of research, from </w:t>
      </w:r>
      <w:r w:rsidRPr="00FB5C1D">
        <w:rPr>
          <w:rFonts w:ascii="Verdana" w:hAnsi="Verdana" w:cs="Times New Roman"/>
          <w:sz w:val="20"/>
          <w:szCs w:val="20"/>
          <w:u w:val="single"/>
        </w:rPr>
        <w:t>an IT infrastructure view</w:t>
      </w:r>
      <w:r w:rsidRPr="00FB5C1D">
        <w:rPr>
          <w:rFonts w:ascii="Verdana" w:hAnsi="Verdana" w:cs="Times New Roman"/>
          <w:sz w:val="20"/>
          <w:szCs w:val="20"/>
        </w:rPr>
        <w:t>, Liu, Yang and Zhang (2013) have sketched big data through the use of the different technologies, either for data management and analytics or infrastructure. In their paper called “</w:t>
      </w:r>
      <w:r w:rsidRPr="00FB5C1D">
        <w:rPr>
          <w:rFonts w:ascii="Verdana" w:hAnsi="Verdana" w:cs="Times New Roman"/>
          <w:i/>
          <w:sz w:val="20"/>
          <w:szCs w:val="20"/>
        </w:rPr>
        <w:t>A sketch of big data technologies</w:t>
      </w:r>
      <w:r w:rsidRPr="00FB5C1D">
        <w:rPr>
          <w:rFonts w:ascii="Verdana" w:hAnsi="Verdana" w:cs="Times New Roman"/>
          <w:sz w:val="20"/>
          <w:szCs w:val="20"/>
        </w:rPr>
        <w:t xml:space="preserve">” they explain what big data is from a pure technology theory approach by highlighting points of interest when delving into technical details about big data : </w:t>
      </w:r>
    </w:p>
    <w:p w:rsidR="000E223B" w:rsidRPr="00FB5C1D" w:rsidRDefault="000E223B" w:rsidP="000E223B">
      <w:pPr>
        <w:pStyle w:val="ListParagraph"/>
        <w:spacing w:after="200" w:line="360" w:lineRule="auto"/>
        <w:ind w:left="0"/>
        <w:jc w:val="both"/>
        <w:rPr>
          <w:rFonts w:ascii="Verdana" w:hAnsi="Verdana" w:cs="Times New Roman"/>
          <w:sz w:val="20"/>
          <w:szCs w:val="20"/>
        </w:rPr>
      </w:pPr>
    </w:p>
    <w:p w:rsidR="000E223B" w:rsidRPr="00FB5C1D" w:rsidRDefault="000E223B" w:rsidP="000E223B">
      <w:pPr>
        <w:pStyle w:val="ListParagraph"/>
        <w:numPr>
          <w:ilvl w:val="0"/>
          <w:numId w:val="30"/>
        </w:numPr>
        <w:spacing w:after="200" w:line="360" w:lineRule="auto"/>
        <w:ind w:left="0" w:firstLine="567"/>
        <w:jc w:val="both"/>
        <w:rPr>
          <w:rFonts w:ascii="Verdana" w:hAnsi="Verdana" w:cs="Times New Roman"/>
          <w:b/>
          <w:sz w:val="20"/>
          <w:szCs w:val="20"/>
        </w:rPr>
      </w:pPr>
      <w:r w:rsidRPr="00FB5C1D">
        <w:rPr>
          <w:rFonts w:ascii="Verdana" w:hAnsi="Verdana" w:cs="Times New Roman"/>
          <w:sz w:val="20"/>
          <w:szCs w:val="20"/>
          <w:u w:val="single"/>
        </w:rPr>
        <w:t>Technology-wise</w:t>
      </w:r>
      <w:r w:rsidRPr="00FB5C1D">
        <w:rPr>
          <w:rFonts w:ascii="Verdana" w:hAnsi="Verdana" w:cs="Times New Roman"/>
          <w:sz w:val="20"/>
          <w:szCs w:val="20"/>
        </w:rPr>
        <w:t>, big data processing in similar to traditional data processing with a difference residing in the fact that big data processing can use parallel processing such as MapReduce which first splits and then merges back the data</w:t>
      </w:r>
    </w:p>
    <w:p w:rsidR="000E223B" w:rsidRPr="00FB5C1D" w:rsidRDefault="000E223B" w:rsidP="000E223B">
      <w:pPr>
        <w:pStyle w:val="ListParagraph"/>
        <w:numPr>
          <w:ilvl w:val="0"/>
          <w:numId w:val="30"/>
        </w:numPr>
        <w:spacing w:after="200" w:line="360" w:lineRule="auto"/>
        <w:ind w:left="0" w:firstLine="567"/>
        <w:jc w:val="both"/>
        <w:rPr>
          <w:rFonts w:ascii="Verdana" w:hAnsi="Verdana" w:cs="Times New Roman"/>
          <w:b/>
          <w:sz w:val="20"/>
          <w:szCs w:val="20"/>
        </w:rPr>
      </w:pPr>
      <w:r w:rsidRPr="00FB5C1D">
        <w:rPr>
          <w:rFonts w:ascii="Verdana" w:hAnsi="Verdana" w:cs="Times New Roman"/>
          <w:sz w:val="20"/>
          <w:szCs w:val="20"/>
        </w:rPr>
        <w:t xml:space="preserve">From a </w:t>
      </w:r>
      <w:r w:rsidRPr="00FB5C1D">
        <w:rPr>
          <w:rFonts w:ascii="Verdana" w:hAnsi="Verdana" w:cs="Times New Roman"/>
          <w:sz w:val="20"/>
          <w:szCs w:val="20"/>
          <w:u w:val="single"/>
        </w:rPr>
        <w:t>data acquisition point of view</w:t>
      </w:r>
      <w:r w:rsidRPr="00FB5C1D">
        <w:rPr>
          <w:rFonts w:ascii="Verdana" w:hAnsi="Verdana" w:cs="Times New Roman"/>
          <w:sz w:val="20"/>
          <w:szCs w:val="20"/>
        </w:rPr>
        <w:t xml:space="preserve">, big data technologies use some specific collecting methods for system logs such as : Chukwa (Chukwa, 2015), Flume (Cloudera, 2014), Scribe (Facebook, 2008). These tools are based on a distributed architecture and thus can record hundreds of MB per second. Network unstructured data collection is done by using bandwidth management technologies such as DPI which can support images, audio &amp; video </w:t>
      </w:r>
    </w:p>
    <w:p w:rsidR="000E223B" w:rsidRPr="00FB5C1D" w:rsidRDefault="000E223B" w:rsidP="000E223B">
      <w:pPr>
        <w:pStyle w:val="ListParagraph"/>
        <w:numPr>
          <w:ilvl w:val="0"/>
          <w:numId w:val="30"/>
        </w:numPr>
        <w:spacing w:after="200" w:line="360" w:lineRule="auto"/>
        <w:ind w:left="0" w:firstLine="567"/>
        <w:jc w:val="both"/>
        <w:rPr>
          <w:rFonts w:ascii="Verdana" w:hAnsi="Verdana" w:cs="Times New Roman"/>
          <w:b/>
          <w:sz w:val="20"/>
          <w:szCs w:val="20"/>
        </w:rPr>
      </w:pPr>
      <w:r w:rsidRPr="00FB5C1D">
        <w:rPr>
          <w:rFonts w:ascii="Verdana" w:hAnsi="Verdana" w:cs="Times New Roman"/>
          <w:sz w:val="20"/>
          <w:szCs w:val="20"/>
          <w:u w:val="single"/>
        </w:rPr>
        <w:lastRenderedPageBreak/>
        <w:t>Data preprocessing</w:t>
      </w:r>
      <w:r w:rsidRPr="00FB5C1D">
        <w:rPr>
          <w:rFonts w:ascii="Verdana" w:hAnsi="Verdana" w:cs="Times New Roman"/>
          <w:sz w:val="20"/>
          <w:szCs w:val="20"/>
        </w:rPr>
        <w:t xml:space="preserve"> is done the same way as traditional data using Extract-Transform-Load (ETL)</w:t>
      </w:r>
    </w:p>
    <w:p w:rsidR="000E223B" w:rsidRPr="00FB5C1D" w:rsidRDefault="000E223B" w:rsidP="000E223B">
      <w:pPr>
        <w:pStyle w:val="ListParagraph"/>
        <w:numPr>
          <w:ilvl w:val="0"/>
          <w:numId w:val="30"/>
        </w:numPr>
        <w:spacing w:after="200" w:line="360" w:lineRule="auto"/>
        <w:ind w:left="0" w:firstLine="567"/>
        <w:jc w:val="both"/>
        <w:rPr>
          <w:rFonts w:ascii="Verdana" w:hAnsi="Verdana" w:cs="Times New Roman"/>
          <w:b/>
          <w:sz w:val="20"/>
          <w:szCs w:val="20"/>
        </w:rPr>
      </w:pPr>
      <w:r w:rsidRPr="00FB5C1D">
        <w:rPr>
          <w:rFonts w:ascii="Verdana" w:hAnsi="Verdana" w:cs="Times New Roman"/>
          <w:sz w:val="20"/>
          <w:szCs w:val="20"/>
          <w:u w:val="single"/>
        </w:rPr>
        <w:t>Data storage</w:t>
      </w:r>
      <w:r w:rsidRPr="00FB5C1D">
        <w:rPr>
          <w:rFonts w:ascii="Verdana" w:hAnsi="Verdana" w:cs="Times New Roman"/>
          <w:sz w:val="20"/>
          <w:szCs w:val="20"/>
        </w:rPr>
        <w:t xml:space="preserve"> is different for big data, the logic being the use of thousands of cheap PC’s in order to save and process data. There are actually 2 known file storage technologies for Big data which are Google File System (Ghemawat, Gobioff, Leung, 2003) and Hadoop Distributed File System (</w:t>
      </w:r>
      <w:r w:rsidR="00AC1BC4">
        <w:rPr>
          <w:rFonts w:ascii="Verdana" w:hAnsi="Verdana" w:cs="Times New Roman"/>
          <w:sz w:val="20"/>
          <w:szCs w:val="20"/>
        </w:rPr>
        <w:t>Bort</w:t>
      </w:r>
      <w:r w:rsidR="00AC1BC4" w:rsidRPr="004578EE">
        <w:rPr>
          <w:rFonts w:ascii="Verdana" w:hAnsi="Verdana" w:cs="Times New Roman"/>
          <w:sz w:val="20"/>
          <w:szCs w:val="20"/>
        </w:rPr>
        <w:t>hakur</w:t>
      </w:r>
      <w:r w:rsidRPr="00FB5C1D">
        <w:rPr>
          <w:rFonts w:ascii="Verdana" w:hAnsi="Verdana" w:cs="Times New Roman"/>
          <w:sz w:val="20"/>
          <w:szCs w:val="20"/>
        </w:rPr>
        <w:t xml:space="preserve">, 2012). These technologies use a master-slave control node which means that it’s only the host node that receives the instructions and metadata while the slave nodes takes charge of data storage </w:t>
      </w:r>
    </w:p>
    <w:p w:rsidR="000E223B" w:rsidRPr="00FB5C1D" w:rsidRDefault="000E223B" w:rsidP="000E223B">
      <w:pPr>
        <w:pStyle w:val="ListParagraph"/>
        <w:numPr>
          <w:ilvl w:val="0"/>
          <w:numId w:val="30"/>
        </w:numPr>
        <w:spacing w:after="200" w:line="360" w:lineRule="auto"/>
        <w:ind w:left="0" w:firstLine="567"/>
        <w:jc w:val="both"/>
        <w:rPr>
          <w:rFonts w:ascii="Verdana" w:hAnsi="Verdana" w:cs="Times New Roman"/>
          <w:b/>
          <w:sz w:val="20"/>
          <w:szCs w:val="20"/>
        </w:rPr>
      </w:pPr>
      <w:r w:rsidRPr="00FB5C1D">
        <w:rPr>
          <w:rFonts w:ascii="Verdana" w:hAnsi="Verdana" w:cs="Times New Roman"/>
          <w:sz w:val="20"/>
          <w:szCs w:val="20"/>
          <w:u w:val="single"/>
        </w:rPr>
        <w:t>Database management technologies</w:t>
      </w:r>
      <w:r w:rsidRPr="00FB5C1D">
        <w:rPr>
          <w:rFonts w:ascii="Verdana" w:hAnsi="Verdana" w:cs="Times New Roman"/>
          <w:b/>
          <w:sz w:val="20"/>
          <w:szCs w:val="20"/>
        </w:rPr>
        <w:t xml:space="preserve"> </w:t>
      </w:r>
      <w:r w:rsidRPr="00FB5C1D">
        <w:rPr>
          <w:rFonts w:ascii="Verdana" w:hAnsi="Verdana" w:cs="Times New Roman"/>
          <w:sz w:val="20"/>
          <w:szCs w:val="20"/>
        </w:rPr>
        <w:t>are not relational (or not to the same extent) anymore but range along different structures such as column-storage technologies and NoSQL databases</w:t>
      </w:r>
    </w:p>
    <w:p w:rsidR="000E223B" w:rsidRPr="00FB5C1D" w:rsidRDefault="000E223B" w:rsidP="000E223B">
      <w:pPr>
        <w:pStyle w:val="ListParagraph"/>
        <w:numPr>
          <w:ilvl w:val="0"/>
          <w:numId w:val="30"/>
        </w:numPr>
        <w:spacing w:after="200" w:line="360" w:lineRule="auto"/>
        <w:ind w:left="0" w:firstLine="567"/>
        <w:jc w:val="both"/>
        <w:rPr>
          <w:rFonts w:ascii="Verdana" w:hAnsi="Verdana" w:cs="Times New Roman"/>
          <w:b/>
          <w:sz w:val="20"/>
          <w:szCs w:val="20"/>
        </w:rPr>
      </w:pPr>
      <w:r w:rsidRPr="00FB5C1D">
        <w:rPr>
          <w:rFonts w:ascii="Verdana" w:hAnsi="Verdana" w:cs="Times New Roman"/>
          <w:sz w:val="20"/>
          <w:szCs w:val="20"/>
        </w:rPr>
        <w:t xml:space="preserve">Typical </w:t>
      </w:r>
      <w:r w:rsidRPr="00FB5C1D">
        <w:rPr>
          <w:rFonts w:ascii="Verdana" w:hAnsi="Verdana" w:cs="Times New Roman"/>
          <w:sz w:val="20"/>
          <w:szCs w:val="20"/>
          <w:u w:val="single"/>
        </w:rPr>
        <w:t>data mining</w:t>
      </w:r>
      <w:r w:rsidRPr="00FB5C1D">
        <w:rPr>
          <w:rFonts w:ascii="Verdana" w:hAnsi="Verdana" w:cs="Times New Roman"/>
          <w:sz w:val="20"/>
          <w:szCs w:val="20"/>
        </w:rPr>
        <w:t xml:space="preserve"> activities are done by using Hive</w:t>
      </w:r>
      <w:r w:rsidR="002C091D">
        <w:rPr>
          <w:rFonts w:ascii="Verdana" w:hAnsi="Verdana" w:cs="Times New Roman"/>
          <w:sz w:val="20"/>
          <w:szCs w:val="20"/>
        </w:rPr>
        <w:t xml:space="preserve"> (Apache Hive, 2015)</w:t>
      </w:r>
      <w:r w:rsidRPr="00FB5C1D">
        <w:rPr>
          <w:rFonts w:ascii="Verdana" w:hAnsi="Verdana" w:cs="Times New Roman"/>
          <w:sz w:val="20"/>
          <w:szCs w:val="20"/>
        </w:rPr>
        <w:t xml:space="preserve"> and Mahout</w:t>
      </w:r>
      <w:r w:rsidR="002C091D">
        <w:rPr>
          <w:rFonts w:ascii="Verdana" w:hAnsi="Verdana" w:cs="Times New Roman"/>
          <w:sz w:val="20"/>
          <w:szCs w:val="20"/>
        </w:rPr>
        <w:t xml:space="preserve"> (Apache Mahout, 2015)</w:t>
      </w:r>
    </w:p>
    <w:p w:rsidR="000E223B" w:rsidRPr="000E223B" w:rsidRDefault="000E223B" w:rsidP="000E223B">
      <w:pPr>
        <w:spacing w:line="360" w:lineRule="auto"/>
        <w:jc w:val="both"/>
        <w:rPr>
          <w:rFonts w:ascii="Verdana" w:hAnsi="Verdana" w:cs="Times New Roman"/>
          <w:b/>
          <w:sz w:val="20"/>
          <w:szCs w:val="20"/>
          <w:lang w:val="en-US"/>
        </w:rPr>
      </w:pPr>
    </w:p>
    <w:p w:rsidR="000E223B" w:rsidRPr="00FB5C1D" w:rsidRDefault="000E223B" w:rsidP="000E223B">
      <w:pPr>
        <w:pStyle w:val="Heading2"/>
        <w:spacing w:line="360" w:lineRule="auto"/>
        <w:jc w:val="both"/>
        <w:rPr>
          <w:rFonts w:ascii="Verdana" w:hAnsi="Verdana" w:cs="Times New Roman"/>
          <w:sz w:val="20"/>
          <w:szCs w:val="20"/>
        </w:rPr>
      </w:pPr>
      <w:bookmarkStart w:id="96" w:name="_Toc423597556"/>
      <w:r w:rsidRPr="00FB5C1D">
        <w:rPr>
          <w:rFonts w:ascii="Verdana" w:hAnsi="Verdana" w:cs="Times New Roman"/>
          <w:sz w:val="20"/>
          <w:szCs w:val="20"/>
        </w:rPr>
        <w:t>5.3.7 Architecture framework</w:t>
      </w:r>
      <w:bookmarkEnd w:id="96"/>
    </w:p>
    <w:p w:rsidR="000E223B" w:rsidRPr="00FB5C1D" w:rsidRDefault="000E223B" w:rsidP="000E223B">
      <w:pPr>
        <w:pStyle w:val="NoSpacing"/>
        <w:spacing w:line="360" w:lineRule="auto"/>
        <w:jc w:val="both"/>
        <w:rPr>
          <w:rFonts w:ascii="Verdana" w:hAnsi="Verdana" w:cs="Times New Roman"/>
          <w:sz w:val="20"/>
          <w:szCs w:val="20"/>
        </w:rPr>
      </w:pPr>
      <w:r w:rsidRPr="00FB5C1D">
        <w:rPr>
          <w:rFonts w:ascii="Verdana" w:hAnsi="Verdana" w:cs="Times New Roman"/>
          <w:noProof/>
          <w:sz w:val="20"/>
          <w:szCs w:val="20"/>
          <w:lang w:val="en-GB" w:eastAsia="en-GB"/>
        </w:rPr>
        <w:drawing>
          <wp:anchor distT="0" distB="0" distL="114300" distR="114300" simplePos="0" relativeHeight="251681280" behindDoc="1" locked="0" layoutInCell="1" allowOverlap="1" wp14:anchorId="338625B5" wp14:editId="3C614F8B">
            <wp:simplePos x="0" y="0"/>
            <wp:positionH relativeFrom="column">
              <wp:posOffset>280670</wp:posOffset>
            </wp:positionH>
            <wp:positionV relativeFrom="paragraph">
              <wp:posOffset>1190625</wp:posOffset>
            </wp:positionV>
            <wp:extent cx="5404485" cy="3981450"/>
            <wp:effectExtent l="19050" t="19050" r="24765" b="19050"/>
            <wp:wrapThrough wrapText="bothSides">
              <wp:wrapPolygon edited="0">
                <wp:start x="-76" y="-103"/>
                <wp:lineTo x="-76" y="21600"/>
                <wp:lineTo x="21623" y="21600"/>
                <wp:lineTo x="21623" y="-103"/>
                <wp:lineTo x="-76" y="-103"/>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404485" cy="39814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FB5C1D">
        <w:rPr>
          <w:rFonts w:ascii="Verdana" w:hAnsi="Verdana" w:cs="Times New Roman"/>
          <w:sz w:val="20"/>
          <w:szCs w:val="20"/>
        </w:rPr>
        <w:t xml:space="preserve">Complementing the research from Hansmann and Niemeyer (2014) on the 4 topics of interest and expanding  the </w:t>
      </w:r>
      <w:r w:rsidRPr="00FB5C1D">
        <w:rPr>
          <w:rFonts w:ascii="Verdana" w:hAnsi="Verdana" w:cs="Times New Roman"/>
          <w:sz w:val="20"/>
          <w:szCs w:val="20"/>
          <w:u w:val="single"/>
        </w:rPr>
        <w:t>IT infrastructure approach</w:t>
      </w:r>
      <w:r w:rsidRPr="00FB5C1D">
        <w:rPr>
          <w:rFonts w:ascii="Verdana" w:hAnsi="Verdana" w:cs="Times New Roman"/>
          <w:sz w:val="20"/>
          <w:szCs w:val="20"/>
        </w:rPr>
        <w:t xml:space="preserve"> taken by Liu, Yang and Zhang (2013),  Tekiner and Keane (2013) propose a big data framework based on 3 stages : choosing the correct data sources (stage 1), data analysis and modelling (stage 2), data organization and interpretation (stage 3). </w:t>
      </w:r>
    </w:p>
    <w:p w:rsidR="000E223B" w:rsidRPr="00FB5C1D" w:rsidRDefault="000E223B" w:rsidP="000E223B">
      <w:pPr>
        <w:pStyle w:val="NoSpacing"/>
        <w:spacing w:line="360" w:lineRule="auto"/>
        <w:jc w:val="both"/>
        <w:rPr>
          <w:rFonts w:ascii="Verdana" w:hAnsi="Verdana" w:cs="Times New Roman"/>
          <w:sz w:val="20"/>
          <w:szCs w:val="20"/>
        </w:rPr>
      </w:pPr>
    </w:p>
    <w:p w:rsidR="000E223B" w:rsidRPr="00FB5C1D" w:rsidRDefault="000E223B" w:rsidP="000E223B">
      <w:pPr>
        <w:pStyle w:val="NoSpacing"/>
        <w:spacing w:line="360" w:lineRule="auto"/>
        <w:jc w:val="both"/>
        <w:rPr>
          <w:rFonts w:ascii="Verdana" w:hAnsi="Verdana" w:cs="Times New Roman"/>
          <w:sz w:val="20"/>
          <w:szCs w:val="20"/>
        </w:rPr>
      </w:pPr>
    </w:p>
    <w:p w:rsidR="000E223B" w:rsidRPr="00FB5C1D" w:rsidRDefault="000E223B" w:rsidP="000E223B">
      <w:pPr>
        <w:pStyle w:val="NoSpacing"/>
        <w:spacing w:line="360" w:lineRule="auto"/>
        <w:jc w:val="both"/>
        <w:rPr>
          <w:rFonts w:ascii="Verdana" w:hAnsi="Verdana" w:cs="Times New Roman"/>
          <w:sz w:val="20"/>
          <w:szCs w:val="20"/>
        </w:rPr>
      </w:pPr>
    </w:p>
    <w:p w:rsidR="000E223B" w:rsidRPr="000E223B" w:rsidRDefault="000E223B" w:rsidP="000E223B">
      <w:pPr>
        <w:spacing w:line="360" w:lineRule="auto"/>
        <w:jc w:val="both"/>
        <w:rPr>
          <w:rFonts w:ascii="Verdana" w:hAnsi="Verdana" w:cs="Times New Roman"/>
          <w:sz w:val="20"/>
          <w:szCs w:val="20"/>
          <w:lang w:val="en-US"/>
        </w:rPr>
      </w:pPr>
    </w:p>
    <w:p w:rsidR="000E223B" w:rsidRPr="000E223B" w:rsidRDefault="000E223B" w:rsidP="000E223B">
      <w:pPr>
        <w:spacing w:line="360" w:lineRule="auto"/>
        <w:jc w:val="both"/>
        <w:rPr>
          <w:rFonts w:ascii="Verdana" w:hAnsi="Verdana" w:cs="Times New Roman"/>
          <w:sz w:val="20"/>
          <w:szCs w:val="20"/>
          <w:lang w:val="en-US"/>
        </w:rPr>
      </w:pPr>
    </w:p>
    <w:p w:rsidR="000E223B" w:rsidRPr="000E223B" w:rsidRDefault="000E223B" w:rsidP="000E223B">
      <w:pPr>
        <w:spacing w:line="360" w:lineRule="auto"/>
        <w:jc w:val="both"/>
        <w:rPr>
          <w:rFonts w:ascii="Verdana" w:hAnsi="Verdana" w:cs="Times New Roman"/>
          <w:sz w:val="20"/>
          <w:szCs w:val="20"/>
          <w:lang w:val="en-US"/>
        </w:rPr>
      </w:pPr>
    </w:p>
    <w:p w:rsidR="000E223B" w:rsidRPr="000E223B" w:rsidRDefault="000E223B" w:rsidP="000E223B">
      <w:pPr>
        <w:spacing w:line="360" w:lineRule="auto"/>
        <w:jc w:val="both"/>
        <w:rPr>
          <w:rFonts w:ascii="Verdana" w:hAnsi="Verdana" w:cs="Times New Roman"/>
          <w:sz w:val="20"/>
          <w:szCs w:val="20"/>
          <w:lang w:val="en-US"/>
        </w:rPr>
      </w:pPr>
    </w:p>
    <w:p w:rsidR="000E223B" w:rsidRPr="000E223B" w:rsidRDefault="000E223B" w:rsidP="000E223B">
      <w:pPr>
        <w:spacing w:line="360" w:lineRule="auto"/>
        <w:jc w:val="both"/>
        <w:rPr>
          <w:rFonts w:ascii="Verdana" w:hAnsi="Verdana" w:cs="Times New Roman"/>
          <w:sz w:val="20"/>
          <w:szCs w:val="20"/>
          <w:lang w:val="en-US"/>
        </w:rPr>
      </w:pPr>
    </w:p>
    <w:p w:rsidR="000E223B" w:rsidRPr="000E223B" w:rsidRDefault="000E223B" w:rsidP="000E223B">
      <w:pPr>
        <w:spacing w:line="360" w:lineRule="auto"/>
        <w:jc w:val="both"/>
        <w:rPr>
          <w:rFonts w:ascii="Verdana" w:hAnsi="Verdana" w:cs="Times New Roman"/>
          <w:sz w:val="20"/>
          <w:szCs w:val="20"/>
          <w:lang w:val="en-US"/>
        </w:rPr>
      </w:pPr>
    </w:p>
    <w:p w:rsidR="000E223B" w:rsidRPr="000E223B" w:rsidRDefault="000E223B" w:rsidP="000E223B">
      <w:pPr>
        <w:spacing w:line="360" w:lineRule="auto"/>
        <w:jc w:val="both"/>
        <w:rPr>
          <w:rFonts w:ascii="Verdana" w:hAnsi="Verdana" w:cs="Times New Roman"/>
          <w:sz w:val="20"/>
          <w:szCs w:val="20"/>
          <w:lang w:val="en-US"/>
        </w:rPr>
      </w:pPr>
    </w:p>
    <w:p w:rsidR="000E223B" w:rsidRPr="000E223B" w:rsidRDefault="000E223B" w:rsidP="000E223B">
      <w:pPr>
        <w:spacing w:line="360" w:lineRule="auto"/>
        <w:jc w:val="both"/>
        <w:rPr>
          <w:rFonts w:ascii="Verdana" w:hAnsi="Verdana" w:cs="Times New Roman"/>
          <w:sz w:val="20"/>
          <w:szCs w:val="20"/>
          <w:lang w:val="en-US"/>
        </w:rPr>
      </w:pPr>
    </w:p>
    <w:p w:rsidR="000E223B" w:rsidRPr="00753959" w:rsidRDefault="000E223B" w:rsidP="000E223B">
      <w:pPr>
        <w:spacing w:line="360" w:lineRule="auto"/>
        <w:jc w:val="center"/>
        <w:rPr>
          <w:rFonts w:ascii="Verdana" w:hAnsi="Verdana" w:cs="Times New Roman"/>
          <w:sz w:val="18"/>
          <w:szCs w:val="18"/>
          <w:lang w:val="en-US"/>
        </w:rPr>
      </w:pPr>
      <w:r w:rsidRPr="00753959">
        <w:rPr>
          <w:rFonts w:ascii="Verdana" w:hAnsi="Verdana" w:cs="Times New Roman"/>
          <w:sz w:val="18"/>
          <w:szCs w:val="18"/>
          <w:lang w:val="en-US"/>
        </w:rPr>
        <w:lastRenderedPageBreak/>
        <w:t xml:space="preserve">Figure 5.2 Big Data architecture &amp; framework (Tekiner </w:t>
      </w:r>
      <w:r w:rsidR="00A33A48" w:rsidRPr="00753959">
        <w:rPr>
          <w:rFonts w:ascii="Verdana" w:hAnsi="Verdana" w:cs="Times New Roman"/>
          <w:sz w:val="18"/>
          <w:szCs w:val="18"/>
          <w:lang w:val="en-US"/>
        </w:rPr>
        <w:t>&amp;</w:t>
      </w:r>
      <w:r w:rsidRPr="00753959">
        <w:rPr>
          <w:rFonts w:ascii="Verdana" w:hAnsi="Verdana" w:cs="Times New Roman"/>
          <w:sz w:val="18"/>
          <w:szCs w:val="18"/>
          <w:lang w:val="en-US"/>
        </w:rPr>
        <w:t xml:space="preserve"> Keane ,2013, pp. 1497)</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Figure 5.2 expands these stages to constitute 7 enterprise layers which are the organized on two axes Map and Reduce. The </w:t>
      </w:r>
      <w:r w:rsidRPr="000E223B">
        <w:rPr>
          <w:rFonts w:ascii="Verdana" w:hAnsi="Verdana" w:cs="Times New Roman"/>
          <w:sz w:val="20"/>
          <w:szCs w:val="20"/>
          <w:u w:val="single"/>
          <w:lang w:val="en-US"/>
        </w:rPr>
        <w:t>system layer</w:t>
      </w:r>
      <w:r w:rsidRPr="000E223B">
        <w:rPr>
          <w:rFonts w:ascii="Verdana" w:hAnsi="Verdana" w:cs="Times New Roman"/>
          <w:sz w:val="20"/>
          <w:szCs w:val="20"/>
          <w:lang w:val="en-US"/>
        </w:rPr>
        <w:t xml:space="preserve"> contains the platform infrastructure capable to integrate, manage and compute large data volumes. The </w:t>
      </w:r>
      <w:r w:rsidRPr="000E223B">
        <w:rPr>
          <w:rFonts w:ascii="Verdana" w:hAnsi="Verdana" w:cs="Times New Roman"/>
          <w:sz w:val="20"/>
          <w:szCs w:val="20"/>
          <w:u w:val="single"/>
          <w:lang w:val="en-US"/>
        </w:rPr>
        <w:t>data layer/multi-model</w:t>
      </w:r>
      <w:r w:rsidRPr="000E223B">
        <w:rPr>
          <w:rFonts w:ascii="Verdana" w:hAnsi="Verdana" w:cs="Times New Roman"/>
          <w:sz w:val="20"/>
          <w:szCs w:val="20"/>
          <w:lang w:val="en-US"/>
        </w:rPr>
        <w:t xml:space="preserve"> identifies sources and types of data used in processing and analysis. The </w:t>
      </w:r>
      <w:r w:rsidRPr="000E223B">
        <w:rPr>
          <w:rFonts w:ascii="Verdana" w:hAnsi="Verdana" w:cs="Times New Roman"/>
          <w:sz w:val="20"/>
          <w:szCs w:val="20"/>
          <w:u w:val="single"/>
          <w:lang w:val="en-US"/>
        </w:rPr>
        <w:t>data collection layer</w:t>
      </w:r>
      <w:r w:rsidRPr="000E223B">
        <w:rPr>
          <w:rFonts w:ascii="Verdana" w:hAnsi="Verdana" w:cs="Times New Roman"/>
          <w:sz w:val="20"/>
          <w:szCs w:val="20"/>
          <w:lang w:val="en-US"/>
        </w:rPr>
        <w:t xml:space="preserve"> is concerned with transforming data into information by integrating and correctly classifying it. The </w:t>
      </w:r>
      <w:r w:rsidRPr="000E223B">
        <w:rPr>
          <w:rFonts w:ascii="Verdana" w:hAnsi="Verdana" w:cs="Times New Roman"/>
          <w:sz w:val="20"/>
          <w:szCs w:val="20"/>
          <w:u w:val="single"/>
          <w:lang w:val="en-US"/>
        </w:rPr>
        <w:t>processing layer</w:t>
      </w:r>
      <w:r w:rsidRPr="000E223B">
        <w:rPr>
          <w:rFonts w:ascii="Verdana" w:hAnsi="Verdana" w:cs="Times New Roman"/>
          <w:sz w:val="20"/>
          <w:szCs w:val="20"/>
          <w:lang w:val="en-US"/>
        </w:rPr>
        <w:t xml:space="preserve"> applies then the necessary data transformation and preparation before applying analytics and predictive models. The </w:t>
      </w:r>
      <w:r w:rsidRPr="000E223B">
        <w:rPr>
          <w:rFonts w:ascii="Verdana" w:hAnsi="Verdana" w:cs="Times New Roman"/>
          <w:sz w:val="20"/>
          <w:szCs w:val="20"/>
          <w:u w:val="single"/>
          <w:lang w:val="en-US"/>
        </w:rPr>
        <w:t>modelling/statistical layer</w:t>
      </w:r>
      <w:r w:rsidRPr="000E223B">
        <w:rPr>
          <w:rFonts w:ascii="Verdana" w:hAnsi="Verdana" w:cs="Times New Roman"/>
          <w:sz w:val="20"/>
          <w:szCs w:val="20"/>
          <w:lang w:val="en-US"/>
        </w:rPr>
        <w:t xml:space="preserve"> turns data into intelligence by applying algorithms and calculations meant to derive useful insight. The </w:t>
      </w:r>
      <w:r w:rsidRPr="000E223B">
        <w:rPr>
          <w:rFonts w:ascii="Verdana" w:hAnsi="Verdana" w:cs="Times New Roman"/>
          <w:sz w:val="20"/>
          <w:szCs w:val="20"/>
          <w:u w:val="single"/>
          <w:lang w:val="en-US"/>
        </w:rPr>
        <w:t xml:space="preserve">service query/access/layer </w:t>
      </w:r>
      <w:r w:rsidRPr="000E223B">
        <w:rPr>
          <w:rFonts w:ascii="Verdana" w:hAnsi="Verdana" w:cs="Times New Roman"/>
          <w:sz w:val="20"/>
          <w:szCs w:val="20"/>
          <w:lang w:val="en-US"/>
        </w:rPr>
        <w:t xml:space="preserve">is necessary in order to map the data to the relational target model which is not directly possible for data sources available in big data applications. The </w:t>
      </w:r>
      <w:r w:rsidRPr="000E223B">
        <w:rPr>
          <w:rFonts w:ascii="Verdana" w:hAnsi="Verdana" w:cs="Times New Roman"/>
          <w:sz w:val="20"/>
          <w:szCs w:val="20"/>
          <w:u w:val="single"/>
          <w:lang w:val="en-US"/>
        </w:rPr>
        <w:t xml:space="preserve">visualization/presentation layer </w:t>
      </w:r>
      <w:r w:rsidRPr="000E223B">
        <w:rPr>
          <w:rFonts w:ascii="Verdana" w:hAnsi="Verdana" w:cs="Times New Roman"/>
          <w:sz w:val="20"/>
          <w:szCs w:val="20"/>
          <w:lang w:val="en-US"/>
        </w:rPr>
        <w:t xml:space="preserve">coordinates the output of the process in a clear and precise way for the business users.  </w:t>
      </w:r>
    </w:p>
    <w:p w:rsidR="000E223B" w:rsidRPr="001A0FAF" w:rsidRDefault="000E223B" w:rsidP="000E223B">
      <w:pPr>
        <w:pStyle w:val="Heading2"/>
        <w:spacing w:line="360" w:lineRule="auto"/>
        <w:jc w:val="both"/>
        <w:rPr>
          <w:rFonts w:ascii="Verdana" w:hAnsi="Verdana" w:cs="Times New Roman"/>
          <w:sz w:val="20"/>
          <w:szCs w:val="20"/>
          <w:lang w:val="fr-BE"/>
        </w:rPr>
      </w:pPr>
      <w:bookmarkStart w:id="97" w:name="_Toc423597557"/>
      <w:r w:rsidRPr="001A0FAF">
        <w:rPr>
          <w:rFonts w:ascii="Verdana" w:hAnsi="Verdana" w:cs="Times New Roman"/>
          <w:sz w:val="20"/>
          <w:szCs w:val="20"/>
          <w:lang w:val="fr-BE"/>
        </w:rPr>
        <w:t>5.3.8 Strategies for implementation</w:t>
      </w:r>
      <w:bookmarkEnd w:id="97"/>
    </w:p>
    <w:p w:rsidR="000E223B" w:rsidRPr="000E223B" w:rsidRDefault="008768D5" w:rsidP="000E223B">
      <w:pPr>
        <w:spacing w:line="360" w:lineRule="auto"/>
        <w:ind w:firstLine="567"/>
        <w:jc w:val="both"/>
        <w:rPr>
          <w:rFonts w:ascii="Verdana" w:hAnsi="Verdana" w:cs="Times New Roman"/>
          <w:sz w:val="20"/>
          <w:szCs w:val="20"/>
          <w:lang w:val="en-US"/>
        </w:rPr>
      </w:pPr>
      <w:r w:rsidRPr="001A0FAF">
        <w:rPr>
          <w:rFonts w:ascii="Verdana" w:hAnsi="Verdana" w:cs="Times New Roman"/>
          <w:sz w:val="20"/>
          <w:szCs w:val="20"/>
          <w:lang w:val="fr-BE"/>
        </w:rPr>
        <w:t xml:space="preserve">Ebner et al. </w:t>
      </w:r>
      <w:r w:rsidR="000E223B" w:rsidRPr="000E223B">
        <w:rPr>
          <w:rFonts w:ascii="Verdana" w:hAnsi="Verdana" w:cs="Times New Roman"/>
          <w:sz w:val="20"/>
          <w:szCs w:val="20"/>
          <w:lang w:val="en-US"/>
        </w:rPr>
        <w:t xml:space="preserve">(2014) follow a more </w:t>
      </w:r>
      <w:r w:rsidR="000E223B" w:rsidRPr="000E223B">
        <w:rPr>
          <w:rFonts w:ascii="Verdana" w:hAnsi="Verdana" w:cs="Times New Roman"/>
          <w:sz w:val="20"/>
          <w:szCs w:val="20"/>
          <w:u w:val="single"/>
          <w:lang w:val="en-US"/>
        </w:rPr>
        <w:t>data and methods oriented approach</w:t>
      </w:r>
      <w:r w:rsidR="000E223B" w:rsidRPr="000E223B">
        <w:rPr>
          <w:rFonts w:ascii="Verdana" w:hAnsi="Verdana" w:cs="Times New Roman"/>
          <w:sz w:val="20"/>
          <w:szCs w:val="20"/>
          <w:lang w:val="en-US"/>
        </w:rPr>
        <w:t xml:space="preserve"> and propose the following 4 strategies for big data implementations:</w:t>
      </w:r>
    </w:p>
    <w:p w:rsidR="000E223B" w:rsidRPr="00FB5C1D" w:rsidRDefault="000E223B" w:rsidP="000E223B">
      <w:pPr>
        <w:pStyle w:val="NoSpacing"/>
        <w:numPr>
          <w:ilvl w:val="0"/>
          <w:numId w:val="31"/>
        </w:numPr>
        <w:spacing w:line="360" w:lineRule="auto"/>
        <w:ind w:left="0" w:firstLine="567"/>
        <w:jc w:val="both"/>
        <w:rPr>
          <w:rFonts w:ascii="Verdana" w:hAnsi="Verdana" w:cs="Times New Roman"/>
          <w:sz w:val="20"/>
          <w:szCs w:val="20"/>
        </w:rPr>
      </w:pPr>
      <w:r w:rsidRPr="00FB5C1D">
        <w:rPr>
          <w:rFonts w:ascii="Verdana" w:hAnsi="Verdana" w:cs="Times New Roman"/>
          <w:sz w:val="20"/>
          <w:szCs w:val="20"/>
          <w:u w:val="single"/>
        </w:rPr>
        <w:t>Relational Database Management Systems (RDBMS)</w:t>
      </w:r>
      <w:r w:rsidRPr="00FB5C1D">
        <w:rPr>
          <w:rFonts w:ascii="Verdana" w:hAnsi="Verdana" w:cs="Times New Roman"/>
          <w:sz w:val="20"/>
          <w:szCs w:val="20"/>
        </w:rPr>
        <w:t xml:space="preserve"> are suited for approaching big data as long as data does not have to frequently be loaded into the system and exclusively for structured data. The authors reference a study by BARC where it is shown that 89% of companies rely on RDBMS when approaching Big Data compared to less than 20% who use pure big data solutions;</w:t>
      </w:r>
    </w:p>
    <w:p w:rsidR="000E223B" w:rsidRPr="00FB5C1D" w:rsidRDefault="000E223B" w:rsidP="000E223B">
      <w:pPr>
        <w:pStyle w:val="NoSpacing"/>
        <w:numPr>
          <w:ilvl w:val="0"/>
          <w:numId w:val="31"/>
        </w:numPr>
        <w:spacing w:line="360" w:lineRule="auto"/>
        <w:ind w:left="0" w:firstLine="567"/>
        <w:jc w:val="both"/>
        <w:rPr>
          <w:rFonts w:ascii="Verdana" w:hAnsi="Verdana" w:cs="Times New Roman"/>
          <w:sz w:val="20"/>
          <w:szCs w:val="20"/>
        </w:rPr>
      </w:pPr>
      <w:r w:rsidRPr="00FB5C1D">
        <w:rPr>
          <w:rFonts w:ascii="Verdana" w:hAnsi="Verdana" w:cs="Times New Roman"/>
          <w:sz w:val="20"/>
          <w:szCs w:val="20"/>
          <w:u w:val="single"/>
        </w:rPr>
        <w:t>MapReduce and DFS systems</w:t>
      </w:r>
      <w:r w:rsidRPr="00FB5C1D">
        <w:rPr>
          <w:rFonts w:ascii="Verdana" w:hAnsi="Verdana" w:cs="Times New Roman"/>
          <w:b/>
          <w:sz w:val="20"/>
          <w:szCs w:val="20"/>
        </w:rPr>
        <w:t xml:space="preserve"> </w:t>
      </w:r>
      <w:r w:rsidRPr="00FB5C1D">
        <w:rPr>
          <w:rFonts w:ascii="Verdana" w:hAnsi="Verdana" w:cs="Times New Roman"/>
          <w:sz w:val="20"/>
          <w:szCs w:val="20"/>
        </w:rPr>
        <w:t>are fit for loading and analyzing unstructured data like text files and Facebook posts (compared to a data warehouse) but are not actually suited for an environment with frequently changing patterns and models because of the complexity of writing MapReduce code (compared to an ad-hoc query in SQL for example). These integrations and solutions are also correlated with high costs (not because of the license in itself cause open source) for migration, consulting and training efforts;</w:t>
      </w:r>
    </w:p>
    <w:p w:rsidR="000E223B" w:rsidRPr="00FB5C1D" w:rsidRDefault="000E223B" w:rsidP="000E223B">
      <w:pPr>
        <w:pStyle w:val="NoSpacing"/>
        <w:numPr>
          <w:ilvl w:val="0"/>
          <w:numId w:val="31"/>
        </w:numPr>
        <w:spacing w:line="360" w:lineRule="auto"/>
        <w:ind w:left="0" w:firstLine="567"/>
        <w:jc w:val="both"/>
        <w:rPr>
          <w:rFonts w:ascii="Verdana" w:hAnsi="Verdana" w:cs="Times New Roman"/>
          <w:sz w:val="20"/>
          <w:szCs w:val="20"/>
        </w:rPr>
      </w:pPr>
      <w:r w:rsidRPr="00FB5C1D">
        <w:rPr>
          <w:rFonts w:ascii="Verdana" w:hAnsi="Verdana" w:cs="Times New Roman"/>
          <w:sz w:val="20"/>
          <w:szCs w:val="20"/>
          <w:u w:val="single"/>
        </w:rPr>
        <w:t>Hybrid approach</w:t>
      </w:r>
      <w:r w:rsidRPr="00FB5C1D">
        <w:rPr>
          <w:rFonts w:ascii="Verdana" w:hAnsi="Verdana" w:cs="Times New Roman"/>
          <w:b/>
          <w:sz w:val="20"/>
          <w:szCs w:val="20"/>
        </w:rPr>
        <w:t xml:space="preserve"> </w:t>
      </w:r>
      <w:r w:rsidRPr="00FB5C1D">
        <w:rPr>
          <w:rFonts w:ascii="Verdana" w:hAnsi="Verdana" w:cs="Times New Roman"/>
          <w:sz w:val="20"/>
          <w:szCs w:val="20"/>
        </w:rPr>
        <w:t>consists of integrating MapReduce capabilities for unstructured data with RDBMS engines for query optimization. However this strategy does not seem to perform better when compared with disparate strategies and it is also more expensive (usually in hardware because more processing power and storage are needed). Such examples are : HadoopDB, Oracle in-database Hadoop, Microsoft Polybase or Greenplum;</w:t>
      </w:r>
    </w:p>
    <w:p w:rsidR="000E223B" w:rsidRPr="00B96519" w:rsidRDefault="000E223B" w:rsidP="000E223B">
      <w:pPr>
        <w:pStyle w:val="NoSpacing"/>
        <w:numPr>
          <w:ilvl w:val="0"/>
          <w:numId w:val="31"/>
        </w:numPr>
        <w:spacing w:line="360" w:lineRule="auto"/>
        <w:ind w:left="0" w:firstLine="567"/>
        <w:jc w:val="both"/>
        <w:rPr>
          <w:rFonts w:ascii="Verdana" w:hAnsi="Verdana" w:cs="Times New Roman"/>
          <w:sz w:val="20"/>
          <w:szCs w:val="20"/>
        </w:rPr>
      </w:pPr>
      <w:r w:rsidRPr="00FB5C1D">
        <w:rPr>
          <w:rFonts w:ascii="Verdana" w:hAnsi="Verdana" w:cs="Times New Roman"/>
          <w:sz w:val="20"/>
          <w:szCs w:val="20"/>
          <w:u w:val="single"/>
        </w:rPr>
        <w:t>Big data analytics as a service</w:t>
      </w:r>
      <w:r w:rsidRPr="00FB5C1D">
        <w:rPr>
          <w:rFonts w:ascii="Verdana" w:hAnsi="Verdana" w:cs="Times New Roman"/>
          <w:b/>
          <w:sz w:val="20"/>
          <w:szCs w:val="20"/>
        </w:rPr>
        <w:t xml:space="preserve">: </w:t>
      </w:r>
      <w:r w:rsidRPr="00FB5C1D">
        <w:rPr>
          <w:rFonts w:ascii="Verdana" w:hAnsi="Verdana" w:cs="Times New Roman"/>
          <w:sz w:val="20"/>
          <w:szCs w:val="20"/>
        </w:rPr>
        <w:t xml:space="preserve">the infrastructure for big data is hosted in the cloud which allows for economies of scale and better integration with current enterprise solutions (e.g : Cloudera). However, issues such as security and encryption are not fully </w:t>
      </w:r>
      <w:r w:rsidRPr="00FB5C1D">
        <w:rPr>
          <w:rFonts w:ascii="Verdana" w:hAnsi="Verdana" w:cs="Times New Roman"/>
          <w:sz w:val="20"/>
          <w:szCs w:val="20"/>
        </w:rPr>
        <w:lastRenderedPageBreak/>
        <w:t>tackled with as well as integration between the cloud and the company-internal infrastructure;</w:t>
      </w:r>
    </w:p>
    <w:p w:rsidR="000E223B" w:rsidRPr="000E223B" w:rsidRDefault="000E223B" w:rsidP="000E223B">
      <w:pPr>
        <w:pStyle w:val="Heading1"/>
        <w:spacing w:line="360" w:lineRule="auto"/>
        <w:jc w:val="both"/>
        <w:rPr>
          <w:rFonts w:ascii="Verdana" w:hAnsi="Verdana" w:cs="Times New Roman"/>
          <w:sz w:val="20"/>
          <w:szCs w:val="20"/>
          <w:lang w:val="en-US"/>
        </w:rPr>
      </w:pPr>
      <w:bookmarkStart w:id="98" w:name="_Toc423597558"/>
      <w:r w:rsidRPr="000E223B">
        <w:rPr>
          <w:rFonts w:ascii="Verdana" w:hAnsi="Verdana" w:cs="Times New Roman"/>
          <w:sz w:val="20"/>
          <w:szCs w:val="20"/>
          <w:lang w:val="en-US"/>
        </w:rPr>
        <w:t>5.4 Big Data projects</w:t>
      </w:r>
      <w:bookmarkEnd w:id="98"/>
    </w:p>
    <w:p w:rsidR="000E223B" w:rsidRPr="00FB5C1D" w:rsidRDefault="000E223B" w:rsidP="000E223B">
      <w:pPr>
        <w:pStyle w:val="Heading2"/>
        <w:spacing w:line="360" w:lineRule="auto"/>
        <w:jc w:val="both"/>
        <w:rPr>
          <w:rFonts w:ascii="Verdana" w:hAnsi="Verdana" w:cs="Times New Roman"/>
          <w:sz w:val="20"/>
          <w:szCs w:val="20"/>
        </w:rPr>
      </w:pPr>
      <w:bookmarkStart w:id="99" w:name="_Toc423597559"/>
      <w:r w:rsidRPr="00FB5C1D">
        <w:rPr>
          <w:rFonts w:ascii="Verdana" w:hAnsi="Verdana" w:cs="Times New Roman"/>
          <w:sz w:val="20"/>
          <w:szCs w:val="20"/>
        </w:rPr>
        <w:t>5.4.1 Financial valuation</w:t>
      </w:r>
      <w:bookmarkEnd w:id="99"/>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Big data projects bring about challenges in the actual business landscape because they involve some specific characteristics one must take into account before and while setting up such a project. If these challenges differ in their nature and focus, there is not much doubt about what big data can actually bring about as a financial advantage. </w:t>
      </w:r>
    </w:p>
    <w:p w:rsidR="000E223B" w:rsidRPr="00FB5C1D" w:rsidRDefault="000E223B" w:rsidP="000E223B">
      <w:pPr>
        <w:pStyle w:val="ListParagraph"/>
        <w:spacing w:line="360" w:lineRule="auto"/>
        <w:ind w:left="0"/>
        <w:jc w:val="both"/>
        <w:rPr>
          <w:rFonts w:ascii="Verdana" w:hAnsi="Verdana" w:cs="Times New Roman"/>
          <w:sz w:val="20"/>
          <w:szCs w:val="20"/>
        </w:rPr>
      </w:pP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The big data phenomenon has had some significant advances in the past few years with many companies harnessing its economic potential, estimated by McKinsey in Hu et al.(2014) at around $100 billion potential revenue for service providers from personal location data to $300 billion expected value over the next 10 years for consumer and business end-users. Ebner et al.(2014) quantified the financial value of big data strategies at $300 billion annual potential for health care, $250 billion annual potential for the public sector and e-governments and around 60% potential increase in operating margins for e-commerce, marketing and merchandising. </w:t>
      </w:r>
    </w:p>
    <w:p w:rsidR="000E223B" w:rsidRPr="00FB5C1D" w:rsidRDefault="000E223B" w:rsidP="000E223B">
      <w:pPr>
        <w:pStyle w:val="ListParagraph"/>
        <w:spacing w:line="360" w:lineRule="auto"/>
        <w:ind w:left="0"/>
        <w:jc w:val="both"/>
        <w:rPr>
          <w:rFonts w:ascii="Verdana" w:hAnsi="Verdana" w:cs="Times New Roman"/>
          <w:sz w:val="20"/>
          <w:szCs w:val="20"/>
        </w:rPr>
      </w:pPr>
    </w:p>
    <w:p w:rsidR="000E223B" w:rsidRPr="00FB5C1D" w:rsidRDefault="000E223B" w:rsidP="000E223B">
      <w:pPr>
        <w:pStyle w:val="Heading2"/>
        <w:spacing w:line="360" w:lineRule="auto"/>
        <w:jc w:val="both"/>
        <w:rPr>
          <w:rFonts w:ascii="Verdana" w:hAnsi="Verdana" w:cs="Times New Roman"/>
          <w:sz w:val="20"/>
          <w:szCs w:val="20"/>
        </w:rPr>
      </w:pPr>
      <w:bookmarkStart w:id="100" w:name="_Toc423597560"/>
      <w:r w:rsidRPr="00FB5C1D">
        <w:rPr>
          <w:rFonts w:ascii="Verdana" w:hAnsi="Verdana" w:cs="Times New Roman"/>
          <w:sz w:val="20"/>
          <w:szCs w:val="20"/>
        </w:rPr>
        <w:t>5.4.2 Cost, privacy and quality</w:t>
      </w:r>
      <w:bookmarkEnd w:id="100"/>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Different authors have identified different challenges or characteristics of successful big data projects. Buhl et al. (2013) identified </w:t>
      </w:r>
      <w:r w:rsidRPr="000B0C2D">
        <w:rPr>
          <w:rFonts w:ascii="Verdana" w:hAnsi="Verdana" w:cs="Times New Roman"/>
          <w:sz w:val="20"/>
          <w:szCs w:val="20"/>
          <w:u w:val="single"/>
        </w:rPr>
        <w:t>cost reduction</w:t>
      </w:r>
      <w:r w:rsidRPr="00FB5C1D">
        <w:rPr>
          <w:rFonts w:ascii="Verdana" w:hAnsi="Verdana" w:cs="Times New Roman"/>
          <w:sz w:val="20"/>
          <w:szCs w:val="20"/>
        </w:rPr>
        <w:t xml:space="preserve"> as one of the first traits for big data technologies, combined with Moore’s law of processing power. So while new technologies like in-memory analytics might be suited for handling big amounts of data efficiently and cost-effective, these must be aligned with the existing infrastructure and business processes already in place in order to effectively integrate and profit from these advancements. Another challenge identified by the same author are the country-specific</w:t>
      </w:r>
      <w:r w:rsidRPr="00FB5C1D">
        <w:rPr>
          <w:rFonts w:ascii="Verdana" w:hAnsi="Verdana" w:cs="Times New Roman"/>
          <w:b/>
          <w:sz w:val="20"/>
          <w:szCs w:val="20"/>
        </w:rPr>
        <w:t xml:space="preserve"> </w:t>
      </w:r>
      <w:r w:rsidRPr="000B0C2D">
        <w:rPr>
          <w:rFonts w:ascii="Verdana" w:hAnsi="Verdana" w:cs="Times New Roman"/>
          <w:sz w:val="20"/>
          <w:szCs w:val="20"/>
          <w:u w:val="single"/>
        </w:rPr>
        <w:t>privacy concerns</w:t>
      </w:r>
      <w:r w:rsidRPr="00FB5C1D">
        <w:rPr>
          <w:rFonts w:ascii="Verdana" w:hAnsi="Verdana" w:cs="Times New Roman"/>
          <w:sz w:val="20"/>
          <w:szCs w:val="20"/>
        </w:rPr>
        <w:t xml:space="preserve"> where a significant number of customers are unwilling to accept that data about themselves might be stored for a long time. Morabito (2013) adds that, because of this increased capacity to analyze and process unstructured data to a very low level of granularity, a lot of third-parties are involved in the process and some sensitive information might get shared. Katal, Wazid and Goudar (2013) also point out that mining and gathering information about customer behavior does not only refer to the sensitive nature of such information but also to possible discriminations which for example, social media behavior can make, much of which people are not even aware of.  </w:t>
      </w:r>
      <w:r w:rsidRPr="000B0C2D">
        <w:rPr>
          <w:rFonts w:ascii="Verdana" w:hAnsi="Verdana" w:cs="Times New Roman"/>
          <w:sz w:val="20"/>
          <w:szCs w:val="20"/>
          <w:u w:val="single"/>
        </w:rPr>
        <w:t>Data quality</w:t>
      </w:r>
      <w:r w:rsidRPr="00FB5C1D">
        <w:rPr>
          <w:rFonts w:ascii="Verdana" w:hAnsi="Verdana" w:cs="Times New Roman"/>
          <w:sz w:val="20"/>
          <w:szCs w:val="20"/>
        </w:rPr>
        <w:t xml:space="preserve"> is another crucial challenge, advises Buhl et al.(2013) because various data sources are exchanged between platforms and these platforms need to sync with each </w:t>
      </w:r>
      <w:r w:rsidRPr="00FB5C1D">
        <w:rPr>
          <w:rFonts w:ascii="Verdana" w:hAnsi="Verdana" w:cs="Times New Roman"/>
          <w:sz w:val="20"/>
          <w:szCs w:val="20"/>
        </w:rPr>
        <w:lastRenderedPageBreak/>
        <w:t>other and offer one version of the truth across all channels. Morabito (2013) also adds the following challenges when deploying a big data solution:</w:t>
      </w:r>
    </w:p>
    <w:p w:rsidR="000E223B" w:rsidRPr="00FB5C1D" w:rsidRDefault="000E223B" w:rsidP="000E223B">
      <w:pPr>
        <w:pStyle w:val="NoSpacing"/>
        <w:numPr>
          <w:ilvl w:val="0"/>
          <w:numId w:val="32"/>
        </w:numPr>
        <w:spacing w:line="360" w:lineRule="auto"/>
        <w:ind w:left="0" w:firstLine="567"/>
        <w:jc w:val="both"/>
        <w:rPr>
          <w:rFonts w:ascii="Verdana" w:hAnsi="Verdana" w:cs="Times New Roman"/>
          <w:sz w:val="20"/>
          <w:szCs w:val="20"/>
        </w:rPr>
      </w:pPr>
      <w:r w:rsidRPr="00FB5C1D">
        <w:rPr>
          <w:rFonts w:ascii="Verdana" w:hAnsi="Verdana" w:cs="Times New Roman"/>
          <w:sz w:val="20"/>
          <w:szCs w:val="20"/>
          <w:u w:val="single"/>
        </w:rPr>
        <w:t>Data lifecycle management</w:t>
      </w:r>
      <w:r w:rsidRPr="00FB5C1D">
        <w:rPr>
          <w:rFonts w:ascii="Verdana" w:hAnsi="Verdana" w:cs="Times New Roman"/>
          <w:sz w:val="20"/>
          <w:szCs w:val="20"/>
        </w:rPr>
        <w:t xml:space="preserve"> which addresses questions such as which data should be stored and which should be discarded;</w:t>
      </w:r>
    </w:p>
    <w:p w:rsidR="000E223B" w:rsidRPr="00FB5C1D" w:rsidRDefault="000E223B" w:rsidP="000E223B">
      <w:pPr>
        <w:pStyle w:val="NoSpacing"/>
        <w:numPr>
          <w:ilvl w:val="0"/>
          <w:numId w:val="32"/>
        </w:numPr>
        <w:spacing w:line="360" w:lineRule="auto"/>
        <w:ind w:left="0" w:firstLine="567"/>
        <w:jc w:val="both"/>
        <w:rPr>
          <w:rFonts w:ascii="Verdana" w:hAnsi="Verdana" w:cs="Times New Roman"/>
          <w:sz w:val="20"/>
          <w:szCs w:val="20"/>
        </w:rPr>
      </w:pPr>
      <w:r w:rsidRPr="00FB5C1D">
        <w:rPr>
          <w:rFonts w:ascii="Verdana" w:hAnsi="Verdana" w:cs="Times New Roman"/>
          <w:sz w:val="20"/>
          <w:szCs w:val="20"/>
          <w:u w:val="single"/>
        </w:rPr>
        <w:t>Energy management</w:t>
      </w:r>
      <w:r w:rsidRPr="00FB5C1D">
        <w:rPr>
          <w:rFonts w:ascii="Verdana" w:hAnsi="Verdana" w:cs="Times New Roman"/>
          <w:sz w:val="20"/>
          <w:szCs w:val="20"/>
        </w:rPr>
        <w:t xml:space="preserve"> because data consumption, processing and storage consume more and more energy;</w:t>
      </w:r>
    </w:p>
    <w:p w:rsidR="000E223B" w:rsidRPr="00FB5C1D" w:rsidRDefault="000E223B" w:rsidP="000E223B">
      <w:pPr>
        <w:pStyle w:val="NoSpacing"/>
        <w:numPr>
          <w:ilvl w:val="0"/>
          <w:numId w:val="32"/>
        </w:numPr>
        <w:spacing w:line="360" w:lineRule="auto"/>
        <w:ind w:left="0" w:firstLine="567"/>
        <w:jc w:val="both"/>
        <w:rPr>
          <w:rFonts w:ascii="Verdana" w:hAnsi="Verdana" w:cs="Times New Roman"/>
          <w:sz w:val="20"/>
          <w:szCs w:val="20"/>
        </w:rPr>
      </w:pPr>
      <w:r w:rsidRPr="00FB5C1D">
        <w:rPr>
          <w:rFonts w:ascii="Verdana" w:hAnsi="Verdana" w:cs="Times New Roman"/>
          <w:sz w:val="20"/>
          <w:szCs w:val="20"/>
          <w:u w:val="single"/>
        </w:rPr>
        <w:t>Expendability &amp; scalability</w:t>
      </w:r>
      <w:r w:rsidRPr="00FB5C1D">
        <w:rPr>
          <w:rFonts w:ascii="Verdana" w:hAnsi="Verdana" w:cs="Times New Roman"/>
          <w:sz w:val="20"/>
          <w:szCs w:val="20"/>
        </w:rPr>
        <w:t xml:space="preserve"> because current systems should be designed to support future data size increase;</w:t>
      </w:r>
    </w:p>
    <w:p w:rsidR="000E223B" w:rsidRPr="00FB5C1D" w:rsidRDefault="000E223B" w:rsidP="000E223B">
      <w:pPr>
        <w:pStyle w:val="NoSpacing"/>
        <w:numPr>
          <w:ilvl w:val="0"/>
          <w:numId w:val="32"/>
        </w:numPr>
        <w:spacing w:line="360" w:lineRule="auto"/>
        <w:ind w:left="0" w:firstLine="567"/>
        <w:jc w:val="both"/>
        <w:rPr>
          <w:rFonts w:ascii="Verdana" w:hAnsi="Verdana" w:cs="Times New Roman"/>
          <w:sz w:val="20"/>
          <w:szCs w:val="20"/>
        </w:rPr>
      </w:pPr>
      <w:r w:rsidRPr="00FB5C1D">
        <w:rPr>
          <w:rFonts w:ascii="Verdana" w:hAnsi="Verdana" w:cs="Times New Roman"/>
          <w:sz w:val="20"/>
          <w:szCs w:val="20"/>
          <w:u w:val="single"/>
        </w:rPr>
        <w:t>Cooperation</w:t>
      </w:r>
      <w:r w:rsidRPr="00FB5C1D">
        <w:rPr>
          <w:rFonts w:ascii="Verdana" w:hAnsi="Verdana" w:cs="Times New Roman"/>
          <w:sz w:val="20"/>
          <w:szCs w:val="20"/>
        </w:rPr>
        <w:t xml:space="preserve"> as different fields must come together to cooperate in harvesting the potential of big data;</w:t>
      </w:r>
    </w:p>
    <w:p w:rsidR="000E223B" w:rsidRPr="00FB5C1D" w:rsidRDefault="000E223B" w:rsidP="000E223B">
      <w:pPr>
        <w:pStyle w:val="NoSpacing"/>
        <w:numPr>
          <w:ilvl w:val="0"/>
          <w:numId w:val="32"/>
        </w:numPr>
        <w:spacing w:line="360" w:lineRule="auto"/>
        <w:ind w:left="0" w:firstLine="567"/>
        <w:jc w:val="both"/>
        <w:rPr>
          <w:rFonts w:ascii="Verdana" w:hAnsi="Verdana" w:cs="Times New Roman"/>
          <w:sz w:val="20"/>
          <w:szCs w:val="20"/>
        </w:rPr>
      </w:pPr>
      <w:r w:rsidRPr="00FB5C1D">
        <w:rPr>
          <w:rFonts w:ascii="Verdana" w:hAnsi="Verdana" w:cs="Times New Roman"/>
          <w:sz w:val="20"/>
          <w:szCs w:val="20"/>
          <w:u w:val="single"/>
        </w:rPr>
        <w:t>Analytical mechanisms</w:t>
      </w:r>
      <w:r w:rsidRPr="00FB5C1D">
        <w:rPr>
          <w:rFonts w:ascii="Verdana" w:hAnsi="Verdana" w:cs="Times New Roman"/>
          <w:sz w:val="20"/>
          <w:szCs w:val="20"/>
        </w:rPr>
        <w:t xml:space="preserve"> which should be able to process masses of heterogeneous data within limited time;</w:t>
      </w:r>
    </w:p>
    <w:p w:rsidR="000E223B" w:rsidRPr="00FB5C1D" w:rsidRDefault="000E223B" w:rsidP="000E223B">
      <w:pPr>
        <w:pStyle w:val="NoSpacing"/>
        <w:spacing w:line="360" w:lineRule="auto"/>
        <w:jc w:val="both"/>
        <w:rPr>
          <w:rFonts w:ascii="Verdana" w:hAnsi="Verdana" w:cs="Times New Roman"/>
          <w:sz w:val="20"/>
          <w:szCs w:val="20"/>
        </w:rPr>
      </w:pPr>
    </w:p>
    <w:p w:rsidR="000E223B" w:rsidRPr="00FB5C1D" w:rsidRDefault="000E223B" w:rsidP="000E223B">
      <w:pPr>
        <w:pStyle w:val="Heading2"/>
        <w:spacing w:line="360" w:lineRule="auto"/>
        <w:jc w:val="both"/>
        <w:rPr>
          <w:rFonts w:ascii="Verdana" w:hAnsi="Verdana" w:cs="Times New Roman"/>
          <w:sz w:val="20"/>
          <w:szCs w:val="20"/>
        </w:rPr>
      </w:pPr>
      <w:bookmarkStart w:id="101" w:name="_Toc423597561"/>
      <w:r w:rsidRPr="00FB5C1D">
        <w:rPr>
          <w:rFonts w:ascii="Verdana" w:hAnsi="Verdana" w:cs="Times New Roman"/>
          <w:sz w:val="20"/>
          <w:szCs w:val="20"/>
        </w:rPr>
        <w:t>5.4.3 Analytics</w:t>
      </w:r>
      <w:bookmarkEnd w:id="101"/>
      <w:r w:rsidRPr="00FB5C1D">
        <w:rPr>
          <w:rFonts w:ascii="Verdana" w:hAnsi="Verdana" w:cs="Times New Roman"/>
          <w:sz w:val="20"/>
          <w:szCs w:val="20"/>
        </w:rPr>
        <w:t xml:space="preserve"> </w:t>
      </w:r>
    </w:p>
    <w:p w:rsidR="000E223B" w:rsidRPr="00FB5C1D" w:rsidRDefault="000E223B" w:rsidP="000E223B">
      <w:pPr>
        <w:pStyle w:val="NoSpacing"/>
        <w:spacing w:line="360" w:lineRule="auto"/>
        <w:jc w:val="both"/>
        <w:rPr>
          <w:rFonts w:ascii="Verdana" w:hAnsi="Verdana" w:cs="Times New Roman"/>
          <w:sz w:val="20"/>
          <w:szCs w:val="20"/>
        </w:rPr>
      </w:pPr>
      <w:r w:rsidRPr="00FB5C1D">
        <w:rPr>
          <w:rFonts w:ascii="Verdana" w:hAnsi="Verdana" w:cs="Times New Roman"/>
          <w:sz w:val="20"/>
          <w:szCs w:val="20"/>
        </w:rPr>
        <w:t>Analytics as a challenge to big data projects has been mentioned by multiple authors in literature. Katal</w:t>
      </w:r>
      <w:r w:rsidR="00716FA5">
        <w:rPr>
          <w:rFonts w:ascii="Verdana" w:hAnsi="Verdana" w:cs="Times New Roman"/>
          <w:sz w:val="20"/>
          <w:szCs w:val="20"/>
        </w:rPr>
        <w:t xml:space="preserve"> et al.</w:t>
      </w:r>
      <w:r w:rsidRPr="00FB5C1D">
        <w:rPr>
          <w:rFonts w:ascii="Verdana" w:hAnsi="Verdana" w:cs="Times New Roman"/>
          <w:sz w:val="20"/>
          <w:szCs w:val="20"/>
        </w:rPr>
        <w:t xml:space="preserve"> (2013) mention analytical challenges in the sense that not all data needs to be stored and analyzed but without such a proper analysis, we can never know which data is redundant and which is insightful. However, according to Johnson (2012), this endeavor is apparently constricted by insufficient understanding of how to use data for analytics insights or how to manage the risk associated to it accordingly. </w:t>
      </w:r>
    </w:p>
    <w:p w:rsidR="000E223B" w:rsidRPr="00FB5C1D" w:rsidRDefault="000E223B" w:rsidP="000E223B">
      <w:pPr>
        <w:pStyle w:val="NoSpacing"/>
        <w:spacing w:line="360" w:lineRule="auto"/>
        <w:jc w:val="both"/>
        <w:rPr>
          <w:rFonts w:ascii="Verdana" w:hAnsi="Verdana" w:cs="Times New Roman"/>
          <w:sz w:val="20"/>
          <w:szCs w:val="20"/>
        </w:rPr>
      </w:pPr>
      <w:r w:rsidRPr="00FB5C1D">
        <w:rPr>
          <w:rFonts w:ascii="Verdana" w:hAnsi="Verdana" w:cs="Times New Roman"/>
          <w:sz w:val="20"/>
          <w:szCs w:val="20"/>
        </w:rPr>
        <w:t>For Georges</w:t>
      </w:r>
      <w:r w:rsidR="00345FC8">
        <w:rPr>
          <w:rFonts w:ascii="Verdana" w:hAnsi="Verdana" w:cs="Times New Roman"/>
          <w:sz w:val="20"/>
          <w:szCs w:val="20"/>
        </w:rPr>
        <w:t xml:space="preserve"> et al.</w:t>
      </w:r>
      <w:r w:rsidRPr="00FB5C1D">
        <w:rPr>
          <w:rFonts w:ascii="Verdana" w:hAnsi="Verdana" w:cs="Times New Roman"/>
          <w:sz w:val="20"/>
          <w:szCs w:val="20"/>
        </w:rPr>
        <w:t xml:space="preserve"> (2014), the trade-off between big data analytics and traditional analytics is the changing rigor of methodologies used in theoretical and empirical contributions : the use of the p-value of significance has to be revised because in the immense volume of data everything can be considered as significant. However, the authors advise on not developing too complicated models of analysis either because then we could fall into the trap of over-fitting the data. In this sense, it becomes also important to somewhat decrease the value of averages in analyses and in return, move the focus to the outliers because that is where critical innovations, trends and disruptions can be identified. The authors also advise on moving beyond correlations to causality by using theories and experiments with more variables than usually used in laboratory-designed scenarios. </w:t>
      </w:r>
    </w:p>
    <w:p w:rsidR="000E223B" w:rsidRPr="00FB5C1D" w:rsidRDefault="000E223B" w:rsidP="000E223B">
      <w:pPr>
        <w:pStyle w:val="NoSpacing"/>
        <w:spacing w:line="360" w:lineRule="auto"/>
        <w:jc w:val="both"/>
        <w:rPr>
          <w:rFonts w:ascii="Verdana" w:hAnsi="Verdana" w:cs="Times New Roman"/>
          <w:sz w:val="20"/>
          <w:szCs w:val="20"/>
        </w:rPr>
      </w:pPr>
      <w:r w:rsidRPr="00FB5C1D">
        <w:rPr>
          <w:rFonts w:ascii="Verdana" w:hAnsi="Verdana" w:cs="Times New Roman"/>
          <w:sz w:val="20"/>
          <w:szCs w:val="20"/>
        </w:rPr>
        <w:t>Rajpurohit (2013) adds that nowadays there exists a struggle with the fact that analytics is seen as an IT solution and not as a partnership between data and decision-making structures : the logic behind models is left “</w:t>
      </w:r>
      <w:r w:rsidRPr="00FB5C1D">
        <w:rPr>
          <w:rFonts w:ascii="Verdana" w:hAnsi="Verdana" w:cs="Times New Roman"/>
          <w:i/>
          <w:sz w:val="20"/>
          <w:szCs w:val="20"/>
        </w:rPr>
        <w:t>under the hood</w:t>
      </w:r>
      <w:r w:rsidRPr="00FB5C1D">
        <w:rPr>
          <w:rFonts w:ascii="Verdana" w:hAnsi="Verdana" w:cs="Times New Roman"/>
          <w:sz w:val="20"/>
          <w:szCs w:val="20"/>
        </w:rPr>
        <w:t>”.</w:t>
      </w:r>
    </w:p>
    <w:p w:rsidR="000E223B" w:rsidRPr="00FB5C1D" w:rsidRDefault="008B3B12" w:rsidP="000E223B">
      <w:pPr>
        <w:pStyle w:val="NoSpacing"/>
        <w:spacing w:line="360" w:lineRule="auto"/>
        <w:jc w:val="both"/>
        <w:rPr>
          <w:rFonts w:ascii="Verdana" w:hAnsi="Verdana" w:cs="Times New Roman"/>
          <w:sz w:val="20"/>
          <w:szCs w:val="20"/>
        </w:rPr>
      </w:pPr>
      <w:r>
        <w:rPr>
          <w:rFonts w:ascii="Verdana" w:hAnsi="Verdana" w:cs="Times New Roman"/>
          <w:sz w:val="20"/>
          <w:szCs w:val="20"/>
        </w:rPr>
        <w:t xml:space="preserve"> Ebner et al. </w:t>
      </w:r>
      <w:r w:rsidR="000E223B" w:rsidRPr="00FB5C1D">
        <w:rPr>
          <w:rFonts w:ascii="Verdana" w:hAnsi="Verdana" w:cs="Times New Roman"/>
          <w:sz w:val="20"/>
          <w:szCs w:val="20"/>
        </w:rPr>
        <w:t xml:space="preserve">(2014) advise first on positioning analytics with regards to business objectives and answering the central question of how relevant big data analytics is to the business and how quickly we need the results of an analysis (urgency factor) then decide </w:t>
      </w:r>
      <w:r w:rsidR="000E223B" w:rsidRPr="00FB5C1D">
        <w:rPr>
          <w:rFonts w:ascii="Verdana" w:hAnsi="Verdana" w:cs="Times New Roman"/>
          <w:sz w:val="20"/>
          <w:szCs w:val="20"/>
        </w:rPr>
        <w:lastRenderedPageBreak/>
        <w:t xml:space="preserve">accordingly on the most appropriate solution. As Hu et al. (2014) note, data mining activities must occur in real-time or near real-time in order to leverage for a competitive advantage but this requires different solutions and analysis systems which may not be applicable for every line of business. </w:t>
      </w:r>
    </w:p>
    <w:p w:rsidR="000E223B" w:rsidRPr="00FB5C1D" w:rsidRDefault="000E223B" w:rsidP="000E223B">
      <w:pPr>
        <w:pStyle w:val="NoSpacing"/>
        <w:spacing w:line="360" w:lineRule="auto"/>
        <w:jc w:val="both"/>
        <w:rPr>
          <w:rFonts w:ascii="Verdana" w:hAnsi="Verdana" w:cs="Times New Roman"/>
          <w:sz w:val="20"/>
          <w:szCs w:val="20"/>
        </w:rPr>
      </w:pPr>
    </w:p>
    <w:p w:rsidR="000E223B" w:rsidRPr="00FB5C1D" w:rsidRDefault="000E223B" w:rsidP="000E223B">
      <w:pPr>
        <w:pStyle w:val="Heading2"/>
        <w:spacing w:line="360" w:lineRule="auto"/>
        <w:jc w:val="both"/>
        <w:rPr>
          <w:rFonts w:ascii="Verdana" w:hAnsi="Verdana" w:cs="Times New Roman"/>
          <w:sz w:val="20"/>
          <w:szCs w:val="20"/>
        </w:rPr>
      </w:pPr>
      <w:bookmarkStart w:id="102" w:name="_Toc423597562"/>
      <w:r w:rsidRPr="00FB5C1D">
        <w:rPr>
          <w:rFonts w:ascii="Verdana" w:hAnsi="Verdana" w:cs="Times New Roman"/>
          <w:sz w:val="20"/>
          <w:szCs w:val="20"/>
        </w:rPr>
        <w:t>5.4.4 Access, storage and processing</w:t>
      </w:r>
      <w:bookmarkEnd w:id="102"/>
      <w:r w:rsidRPr="00FB5C1D">
        <w:rPr>
          <w:rFonts w:ascii="Verdana" w:hAnsi="Verdana" w:cs="Times New Roman"/>
          <w:sz w:val="20"/>
          <w:szCs w:val="20"/>
        </w:rPr>
        <w:t xml:space="preserve"> </w:t>
      </w:r>
    </w:p>
    <w:p w:rsidR="000E223B" w:rsidRPr="00FB5C1D" w:rsidRDefault="00716FA5" w:rsidP="000E223B">
      <w:pPr>
        <w:pStyle w:val="NoSpacing"/>
        <w:spacing w:line="360" w:lineRule="auto"/>
        <w:jc w:val="both"/>
        <w:rPr>
          <w:rFonts w:ascii="Verdana" w:hAnsi="Verdana" w:cs="Times New Roman"/>
          <w:sz w:val="20"/>
          <w:szCs w:val="20"/>
        </w:rPr>
      </w:pPr>
      <w:r>
        <w:rPr>
          <w:rFonts w:ascii="Verdana" w:hAnsi="Verdana" w:cs="Times New Roman"/>
          <w:sz w:val="20"/>
          <w:szCs w:val="20"/>
        </w:rPr>
        <w:t xml:space="preserve">Katal et al. </w:t>
      </w:r>
      <w:r w:rsidR="000E223B" w:rsidRPr="00FB5C1D">
        <w:rPr>
          <w:rFonts w:ascii="Verdana" w:hAnsi="Verdana" w:cs="Times New Roman"/>
          <w:sz w:val="20"/>
          <w:szCs w:val="20"/>
        </w:rPr>
        <w:t xml:space="preserve">(2013) add </w:t>
      </w:r>
      <w:r w:rsidR="000E223B" w:rsidRPr="000B0C2D">
        <w:rPr>
          <w:rFonts w:ascii="Verdana" w:hAnsi="Verdana" w:cs="Times New Roman"/>
          <w:sz w:val="20"/>
          <w:szCs w:val="20"/>
          <w:u w:val="single"/>
        </w:rPr>
        <w:t>data access and sharing of information</w:t>
      </w:r>
      <w:r w:rsidR="000E223B" w:rsidRPr="00FB5C1D">
        <w:rPr>
          <w:rFonts w:ascii="Verdana" w:hAnsi="Verdana" w:cs="Times New Roman"/>
          <w:sz w:val="20"/>
          <w:szCs w:val="20"/>
        </w:rPr>
        <w:t xml:space="preserve"> as well as </w:t>
      </w:r>
      <w:r w:rsidR="000E223B" w:rsidRPr="000B0C2D">
        <w:rPr>
          <w:rFonts w:ascii="Verdana" w:hAnsi="Verdana" w:cs="Times New Roman"/>
          <w:sz w:val="20"/>
          <w:szCs w:val="20"/>
          <w:u w:val="single"/>
        </w:rPr>
        <w:t>data storage and processing issues</w:t>
      </w:r>
      <w:r w:rsidR="000E223B" w:rsidRPr="00FB5C1D">
        <w:rPr>
          <w:rFonts w:ascii="Verdana" w:hAnsi="Verdana" w:cs="Times New Roman"/>
          <w:sz w:val="20"/>
          <w:szCs w:val="20"/>
        </w:rPr>
        <w:t xml:space="preserve"> along with technical challenges as outlooks on big data. Sharing and using data to make more accurate decisions, in a more timely manner makes it so that former borders of competition and competitiveness between companies are threatened to become obsolete. However, the existing data is too big to be exploited in real-time, even if cloud solutions exist in place. This can be avoided by processing in storage place only, building indexes while collecting and storing and transporting only important results to computing. These aspects need however to be addressed in the context of fault tolerance and data quality issues. </w:t>
      </w:r>
    </w:p>
    <w:p w:rsidR="000E223B" w:rsidRPr="00FB5C1D" w:rsidRDefault="000E223B" w:rsidP="000E223B">
      <w:pPr>
        <w:pStyle w:val="NoSpacing"/>
        <w:spacing w:line="360" w:lineRule="auto"/>
        <w:jc w:val="both"/>
        <w:rPr>
          <w:rFonts w:ascii="Verdana" w:hAnsi="Verdana" w:cs="Times New Roman"/>
          <w:sz w:val="20"/>
          <w:szCs w:val="20"/>
        </w:rPr>
      </w:pPr>
    </w:p>
    <w:p w:rsidR="000E223B" w:rsidRPr="00033BF7" w:rsidRDefault="000E223B" w:rsidP="000E223B">
      <w:pPr>
        <w:pStyle w:val="Heading2"/>
        <w:spacing w:line="360" w:lineRule="auto"/>
        <w:jc w:val="both"/>
        <w:rPr>
          <w:rFonts w:ascii="Verdana" w:hAnsi="Verdana" w:cs="Times New Roman"/>
          <w:b w:val="0"/>
          <w:sz w:val="20"/>
          <w:szCs w:val="20"/>
        </w:rPr>
      </w:pPr>
      <w:bookmarkStart w:id="103" w:name="_Toc423597563"/>
      <w:r w:rsidRPr="00FB5C1D">
        <w:rPr>
          <w:rFonts w:ascii="Verdana" w:hAnsi="Verdana" w:cs="Times New Roman"/>
          <w:sz w:val="20"/>
          <w:szCs w:val="20"/>
        </w:rPr>
        <w:t>5.4.</w:t>
      </w:r>
      <w:r w:rsidRPr="00033BF7">
        <w:rPr>
          <w:rFonts w:ascii="Verdana" w:hAnsi="Verdana" w:cs="Times New Roman"/>
          <w:sz w:val="20"/>
          <w:szCs w:val="20"/>
        </w:rPr>
        <w:t>5 Resources</w:t>
      </w:r>
      <w:bookmarkEnd w:id="103"/>
      <w:r w:rsidRPr="00033BF7">
        <w:rPr>
          <w:rFonts w:ascii="Verdana" w:hAnsi="Verdana" w:cs="Times New Roman"/>
          <w:b w:val="0"/>
          <w:sz w:val="20"/>
          <w:szCs w:val="20"/>
        </w:rPr>
        <w:t xml:space="preserve"> </w:t>
      </w:r>
    </w:p>
    <w:p w:rsidR="000E223B" w:rsidRPr="00033BF7" w:rsidRDefault="000E223B" w:rsidP="000E223B">
      <w:pPr>
        <w:pStyle w:val="NoSpacing"/>
        <w:spacing w:line="360" w:lineRule="auto"/>
        <w:jc w:val="both"/>
        <w:rPr>
          <w:rFonts w:ascii="Verdana" w:hAnsi="Verdana" w:cs="Times New Roman"/>
          <w:sz w:val="20"/>
          <w:szCs w:val="20"/>
        </w:rPr>
      </w:pPr>
      <w:r w:rsidRPr="00033BF7">
        <w:rPr>
          <w:rFonts w:ascii="Verdana" w:hAnsi="Verdana" w:cs="Times New Roman"/>
          <w:sz w:val="20"/>
          <w:szCs w:val="20"/>
        </w:rPr>
        <w:t>Ebner</w:t>
      </w:r>
      <w:r w:rsidR="008B3B12">
        <w:rPr>
          <w:rFonts w:ascii="Verdana" w:hAnsi="Verdana" w:cs="Times New Roman"/>
          <w:sz w:val="20"/>
          <w:szCs w:val="20"/>
        </w:rPr>
        <w:t xml:space="preserve"> et al.</w:t>
      </w:r>
      <w:r w:rsidRPr="00033BF7">
        <w:rPr>
          <w:rFonts w:ascii="Verdana" w:hAnsi="Verdana" w:cs="Times New Roman"/>
          <w:sz w:val="20"/>
          <w:szCs w:val="20"/>
        </w:rPr>
        <w:t xml:space="preserve"> (2014) identify a number of other contingency factors in big data projects such as resources availabilities in terms of investment needed to start up and maintain a big data ecosystem or the abilities of the IT personnel in terms of the necessary skills and competencies. The lat</w:t>
      </w:r>
      <w:r w:rsidR="002C60DC">
        <w:rPr>
          <w:rFonts w:ascii="Verdana" w:hAnsi="Verdana" w:cs="Times New Roman"/>
          <w:sz w:val="20"/>
          <w:szCs w:val="20"/>
        </w:rPr>
        <w:t xml:space="preserve">ter is also mentioned in Katal et al. </w:t>
      </w:r>
      <w:r w:rsidRPr="00033BF7">
        <w:rPr>
          <w:rFonts w:ascii="Verdana" w:hAnsi="Verdana" w:cs="Times New Roman"/>
          <w:sz w:val="20"/>
          <w:szCs w:val="20"/>
        </w:rPr>
        <w:t>(2013) as school curricula’s still focus on traditional computation systems while big data technologies are spreading without the necessary theoretical exploration. Another interesting contingency fact</w:t>
      </w:r>
      <w:r w:rsidR="00094C37">
        <w:rPr>
          <w:rFonts w:ascii="Verdana" w:hAnsi="Verdana" w:cs="Times New Roman"/>
          <w:sz w:val="20"/>
          <w:szCs w:val="20"/>
        </w:rPr>
        <w:t xml:space="preserve">or worth mentioning from Ebner et al. </w:t>
      </w:r>
      <w:r w:rsidRPr="00033BF7">
        <w:rPr>
          <w:rFonts w:ascii="Verdana" w:hAnsi="Verdana" w:cs="Times New Roman"/>
          <w:sz w:val="20"/>
          <w:szCs w:val="20"/>
        </w:rPr>
        <w:t xml:space="preserve">(2014) is absorptive capacity referring to how knowledge is utilized by the employees : if the people using a system do not understand its use or functioning, they will end up not using it to its full potential. </w:t>
      </w:r>
    </w:p>
    <w:p w:rsidR="000E223B" w:rsidRPr="00FB5C1D" w:rsidRDefault="000E223B" w:rsidP="000E223B">
      <w:pPr>
        <w:pStyle w:val="NoSpacing"/>
        <w:spacing w:line="360" w:lineRule="auto"/>
        <w:jc w:val="both"/>
        <w:rPr>
          <w:rFonts w:ascii="Verdana" w:hAnsi="Verdana" w:cs="Times New Roman"/>
          <w:sz w:val="20"/>
          <w:szCs w:val="20"/>
        </w:rPr>
      </w:pPr>
    </w:p>
    <w:p w:rsidR="000E223B" w:rsidRPr="00FB5C1D" w:rsidRDefault="000E223B" w:rsidP="000E223B">
      <w:pPr>
        <w:pStyle w:val="Heading2"/>
        <w:spacing w:line="360" w:lineRule="auto"/>
        <w:jc w:val="both"/>
        <w:rPr>
          <w:rFonts w:ascii="Verdana" w:hAnsi="Verdana" w:cs="Times New Roman"/>
          <w:sz w:val="20"/>
          <w:szCs w:val="20"/>
        </w:rPr>
      </w:pPr>
      <w:bookmarkStart w:id="104" w:name="_Toc423597564"/>
      <w:r w:rsidRPr="00FB5C1D">
        <w:rPr>
          <w:rFonts w:ascii="Verdana" w:hAnsi="Verdana" w:cs="Times New Roman"/>
          <w:sz w:val="20"/>
          <w:szCs w:val="20"/>
        </w:rPr>
        <w:t>5.4.6 Use Cases</w:t>
      </w:r>
      <w:bookmarkEnd w:id="104"/>
    </w:p>
    <w:p w:rsidR="000E223B" w:rsidRPr="00FB5C1D" w:rsidRDefault="000E223B" w:rsidP="000E223B">
      <w:pPr>
        <w:pStyle w:val="ListParagraph"/>
        <w:spacing w:after="200" w:line="360" w:lineRule="auto"/>
        <w:ind w:left="0"/>
        <w:jc w:val="both"/>
        <w:rPr>
          <w:rFonts w:ascii="Verdana" w:hAnsi="Verdana" w:cs="Times New Roman"/>
          <w:sz w:val="20"/>
          <w:szCs w:val="20"/>
        </w:rPr>
      </w:pPr>
      <w:r w:rsidRPr="00FB5C1D">
        <w:rPr>
          <w:rFonts w:ascii="Verdana" w:hAnsi="Verdana" w:cs="Times New Roman"/>
          <w:sz w:val="20"/>
          <w:szCs w:val="20"/>
        </w:rPr>
        <w:t xml:space="preserve">Big data use cases stem mostly from the industry, with players such as IBM (2014b) and McKinsey (2013) presenting complete strategies of use depending on the complexities, characteristics and availability of data. </w:t>
      </w:r>
    </w:p>
    <w:p w:rsidR="000E223B" w:rsidRPr="00FB5C1D" w:rsidRDefault="000E223B" w:rsidP="000E223B">
      <w:pPr>
        <w:pStyle w:val="ListParagraph"/>
        <w:spacing w:after="200" w:line="360" w:lineRule="auto"/>
        <w:ind w:left="0"/>
        <w:jc w:val="both"/>
        <w:rPr>
          <w:rFonts w:ascii="Verdana" w:hAnsi="Verdana" w:cs="Times New Roman"/>
          <w:sz w:val="20"/>
          <w:szCs w:val="20"/>
        </w:rPr>
      </w:pPr>
      <w:r w:rsidRPr="00FB5C1D">
        <w:rPr>
          <w:rFonts w:ascii="Verdana" w:hAnsi="Verdana" w:cs="Times New Roman"/>
          <w:sz w:val="20"/>
          <w:szCs w:val="20"/>
        </w:rPr>
        <w:t xml:space="preserve">IBM (2014b) identified  5 major big data use cases, organized accordingly by data dimensions, types, sources and expected goals associated with their implementation. McKinsey (2013) created a </w:t>
      </w:r>
      <w:r w:rsidRPr="00FB5C1D">
        <w:rPr>
          <w:rFonts w:ascii="Verdana" w:hAnsi="Verdana" w:cs="Times New Roman"/>
          <w:i/>
          <w:sz w:val="20"/>
          <w:szCs w:val="20"/>
        </w:rPr>
        <w:t xml:space="preserve">Big Data &amp; Advanced analytics pyramid, </w:t>
      </w:r>
      <w:r w:rsidRPr="00FB5C1D">
        <w:rPr>
          <w:rFonts w:ascii="Verdana" w:hAnsi="Verdana" w:cs="Times New Roman"/>
          <w:sz w:val="20"/>
          <w:szCs w:val="20"/>
        </w:rPr>
        <w:t xml:space="preserve">organized by types of data and distinguishing between data in motion and data at rest, which is similar to Morabito’s (2014) distinction between data streams and data stocks. </w:t>
      </w:r>
    </w:p>
    <w:p w:rsidR="000E223B" w:rsidRPr="00FB5C1D" w:rsidRDefault="000E223B" w:rsidP="000E223B">
      <w:pPr>
        <w:pStyle w:val="ListParagraph"/>
        <w:spacing w:after="200" w:line="360" w:lineRule="auto"/>
        <w:ind w:left="0"/>
        <w:jc w:val="both"/>
        <w:rPr>
          <w:rFonts w:ascii="Verdana" w:hAnsi="Verdana" w:cs="Times New Roman"/>
          <w:sz w:val="20"/>
          <w:szCs w:val="20"/>
        </w:rPr>
      </w:pPr>
      <w:r w:rsidRPr="00FB5C1D">
        <w:rPr>
          <w:rFonts w:ascii="Verdana" w:hAnsi="Verdana" w:cs="Times New Roman"/>
          <w:sz w:val="20"/>
          <w:szCs w:val="20"/>
        </w:rPr>
        <w:lastRenderedPageBreak/>
        <w:t xml:space="preserve">We have paired the previously identified sources and types of data with the most frequent use cases mentioned by IBM and McKinsey , so for example, structured types of sources such as transactional databases can be dealt with “ at scale” (McKinsey, 2013)  for pricing, lead generation or customer experience  campaigns while unstructured ones can, for example, be transformed into structured data and integrated in campaigns aimed at cross channel data integration. </w:t>
      </w:r>
    </w:p>
    <w:p w:rsidR="000E223B" w:rsidRPr="00FB5C1D" w:rsidRDefault="000E223B" w:rsidP="000E223B">
      <w:pPr>
        <w:pStyle w:val="ListParagraph"/>
        <w:spacing w:after="200" w:line="360" w:lineRule="auto"/>
        <w:ind w:left="0"/>
        <w:jc w:val="both"/>
        <w:rPr>
          <w:rFonts w:ascii="Verdana" w:hAnsi="Verdana" w:cs="Times New Roman"/>
          <w:sz w:val="20"/>
          <w:szCs w:val="20"/>
        </w:rPr>
      </w:pPr>
    </w:p>
    <w:tbl>
      <w:tblPr>
        <w:tblStyle w:val="LightShading-Accent2"/>
        <w:tblW w:w="0" w:type="auto"/>
        <w:tblLook w:val="0620" w:firstRow="1" w:lastRow="0" w:firstColumn="0" w:lastColumn="0" w:noHBand="1" w:noVBand="1"/>
      </w:tblPr>
      <w:tblGrid>
        <w:gridCol w:w="1672"/>
        <w:gridCol w:w="3844"/>
        <w:gridCol w:w="3726"/>
      </w:tblGrid>
      <w:tr w:rsidR="000E223B" w:rsidRPr="00B96519" w:rsidTr="001106BD">
        <w:trPr>
          <w:cnfStyle w:val="100000000000" w:firstRow="1" w:lastRow="0" w:firstColumn="0" w:lastColumn="0" w:oddVBand="0" w:evenVBand="0" w:oddHBand="0" w:evenHBand="0" w:firstRowFirstColumn="0" w:firstRowLastColumn="0" w:lastRowFirstColumn="0" w:lastRowLastColumn="0"/>
        </w:trPr>
        <w:tc>
          <w:tcPr>
            <w:tcW w:w="0" w:type="auto"/>
            <w:vMerge w:val="restart"/>
          </w:tcPr>
          <w:p w:rsidR="000E223B" w:rsidRPr="00B96519" w:rsidRDefault="000E223B" w:rsidP="001106BD">
            <w:pPr>
              <w:rPr>
                <w:rFonts w:ascii="Verdana" w:hAnsi="Verdana" w:cs="Times New Roman"/>
                <w:color w:val="5F497A" w:themeColor="accent4" w:themeShade="BF"/>
                <w:sz w:val="16"/>
                <w:szCs w:val="16"/>
              </w:rPr>
            </w:pPr>
            <w:r w:rsidRPr="00B96519">
              <w:rPr>
                <w:rFonts w:ascii="Verdana" w:hAnsi="Verdana" w:cs="Times New Roman"/>
                <w:color w:val="5F497A" w:themeColor="accent4" w:themeShade="BF"/>
                <w:sz w:val="16"/>
                <w:szCs w:val="16"/>
              </w:rPr>
              <w:t>SOURCE</w:t>
            </w:r>
          </w:p>
        </w:tc>
        <w:tc>
          <w:tcPr>
            <w:tcW w:w="0" w:type="auto"/>
            <w:gridSpan w:val="2"/>
          </w:tcPr>
          <w:p w:rsidR="000E223B" w:rsidRPr="00B96519" w:rsidRDefault="000E223B" w:rsidP="001106BD">
            <w:pPr>
              <w:jc w:val="center"/>
              <w:rPr>
                <w:rFonts w:ascii="Verdana" w:hAnsi="Verdana" w:cs="Times New Roman"/>
                <w:color w:val="5F497A" w:themeColor="accent4" w:themeShade="BF"/>
                <w:sz w:val="16"/>
                <w:szCs w:val="16"/>
              </w:rPr>
            </w:pPr>
            <w:r w:rsidRPr="00B96519">
              <w:rPr>
                <w:rFonts w:ascii="Verdana" w:hAnsi="Verdana" w:cs="Times New Roman"/>
                <w:color w:val="5F497A" w:themeColor="accent4" w:themeShade="BF"/>
                <w:sz w:val="16"/>
                <w:szCs w:val="16"/>
              </w:rPr>
              <w:t>TYPE OF DATA</w:t>
            </w:r>
          </w:p>
        </w:tc>
      </w:tr>
      <w:tr w:rsidR="000E223B" w:rsidRPr="00B96519" w:rsidTr="001106BD">
        <w:tc>
          <w:tcPr>
            <w:tcW w:w="0" w:type="auto"/>
            <w:vMerge/>
          </w:tcPr>
          <w:p w:rsidR="000E223B" w:rsidRPr="00B96519" w:rsidRDefault="000E223B" w:rsidP="001106BD">
            <w:pPr>
              <w:rPr>
                <w:rFonts w:ascii="Verdana" w:hAnsi="Verdana" w:cs="Times New Roman"/>
                <w:color w:val="5F497A" w:themeColor="accent4" w:themeShade="BF"/>
                <w:sz w:val="16"/>
                <w:szCs w:val="16"/>
              </w:rPr>
            </w:pPr>
          </w:p>
        </w:tc>
        <w:tc>
          <w:tcPr>
            <w:tcW w:w="0" w:type="auto"/>
          </w:tcPr>
          <w:p w:rsidR="000E223B" w:rsidRPr="00B96519" w:rsidRDefault="000E223B" w:rsidP="001106BD">
            <w:pPr>
              <w:rPr>
                <w:rFonts w:ascii="Verdana" w:hAnsi="Verdana" w:cs="Times New Roman"/>
                <w:b/>
                <w:color w:val="5F497A" w:themeColor="accent4" w:themeShade="BF"/>
                <w:sz w:val="16"/>
                <w:szCs w:val="16"/>
              </w:rPr>
            </w:pPr>
            <w:r w:rsidRPr="00B96519">
              <w:rPr>
                <w:rFonts w:ascii="Verdana" w:hAnsi="Verdana" w:cs="Times New Roman"/>
                <w:b/>
                <w:color w:val="5F497A" w:themeColor="accent4" w:themeShade="BF"/>
                <w:sz w:val="16"/>
                <w:szCs w:val="16"/>
              </w:rPr>
              <w:t>STRUCTURED</w:t>
            </w:r>
          </w:p>
        </w:tc>
        <w:tc>
          <w:tcPr>
            <w:tcW w:w="0" w:type="auto"/>
          </w:tcPr>
          <w:p w:rsidR="000E223B" w:rsidRPr="00B96519" w:rsidRDefault="000E223B" w:rsidP="001106BD">
            <w:pPr>
              <w:rPr>
                <w:rFonts w:ascii="Verdana" w:hAnsi="Verdana" w:cs="Times New Roman"/>
                <w:b/>
                <w:color w:val="5F497A" w:themeColor="accent4" w:themeShade="BF"/>
                <w:sz w:val="16"/>
                <w:szCs w:val="16"/>
              </w:rPr>
            </w:pPr>
            <w:r w:rsidRPr="00B96519">
              <w:rPr>
                <w:rFonts w:ascii="Verdana" w:hAnsi="Verdana" w:cs="Times New Roman"/>
                <w:b/>
                <w:color w:val="5F497A" w:themeColor="accent4" w:themeShade="BF"/>
                <w:sz w:val="16"/>
                <w:szCs w:val="16"/>
              </w:rPr>
              <w:t>UNSTRUCTURED</w:t>
            </w:r>
          </w:p>
        </w:tc>
      </w:tr>
      <w:tr w:rsidR="000E223B" w:rsidRPr="001A0FAF" w:rsidTr="001106BD">
        <w:tc>
          <w:tcPr>
            <w:tcW w:w="0" w:type="auto"/>
          </w:tcPr>
          <w:p w:rsidR="000E223B" w:rsidRPr="00B96519" w:rsidRDefault="000E223B" w:rsidP="001106BD">
            <w:pPr>
              <w:rPr>
                <w:rFonts w:ascii="Verdana" w:hAnsi="Verdana" w:cs="Times New Roman"/>
                <w:b/>
                <w:color w:val="5F497A" w:themeColor="accent4" w:themeShade="BF"/>
                <w:sz w:val="16"/>
                <w:szCs w:val="16"/>
              </w:rPr>
            </w:pPr>
            <w:r w:rsidRPr="00B96519">
              <w:rPr>
                <w:rFonts w:ascii="Verdana" w:hAnsi="Verdana" w:cs="Times New Roman"/>
                <w:b/>
                <w:color w:val="5F497A" w:themeColor="accent4" w:themeShade="BF"/>
                <w:sz w:val="16"/>
                <w:szCs w:val="16"/>
              </w:rPr>
              <w:t>Transactional Databases</w:t>
            </w:r>
          </w:p>
        </w:tc>
        <w:tc>
          <w:tcPr>
            <w:tcW w:w="0" w:type="auto"/>
          </w:tcPr>
          <w:p w:rsidR="000E223B" w:rsidRPr="00B96519" w:rsidRDefault="000E223B" w:rsidP="000E223B">
            <w:pPr>
              <w:pStyle w:val="ListParagraph"/>
              <w:numPr>
                <w:ilvl w:val="0"/>
                <w:numId w:val="33"/>
              </w:numPr>
              <w:spacing w:after="0" w:line="240" w:lineRule="auto"/>
              <w:ind w:left="0" w:firstLine="0"/>
              <w:rPr>
                <w:rFonts w:ascii="Verdana" w:hAnsi="Verdana" w:cs="Times New Roman"/>
                <w:sz w:val="16"/>
                <w:szCs w:val="16"/>
              </w:rPr>
            </w:pPr>
            <w:r w:rsidRPr="00B96519">
              <w:rPr>
                <w:rFonts w:ascii="Verdana" w:hAnsi="Verdana" w:cs="Times New Roman"/>
                <w:sz w:val="16"/>
                <w:szCs w:val="16"/>
              </w:rPr>
              <w:t>Customer experience (McKinsey, 2014)</w:t>
            </w:r>
          </w:p>
          <w:p w:rsidR="000E223B" w:rsidRPr="00B96519" w:rsidRDefault="000E223B" w:rsidP="000E223B">
            <w:pPr>
              <w:pStyle w:val="ListParagraph"/>
              <w:numPr>
                <w:ilvl w:val="0"/>
                <w:numId w:val="33"/>
              </w:numPr>
              <w:spacing w:after="0" w:line="240" w:lineRule="auto"/>
              <w:ind w:left="0" w:firstLine="0"/>
              <w:rPr>
                <w:rFonts w:ascii="Verdana" w:hAnsi="Verdana" w:cs="Times New Roman"/>
                <w:sz w:val="16"/>
                <w:szCs w:val="16"/>
              </w:rPr>
            </w:pPr>
            <w:r w:rsidRPr="00B96519">
              <w:rPr>
                <w:rFonts w:ascii="Verdana" w:hAnsi="Verdana" w:cs="Times New Roman"/>
                <w:sz w:val="16"/>
                <w:szCs w:val="16"/>
              </w:rPr>
              <w:t>Data warehouse modernization (IBM, 2014b)</w:t>
            </w:r>
          </w:p>
          <w:p w:rsidR="000E223B" w:rsidRPr="00B96519" w:rsidRDefault="000E223B" w:rsidP="000E223B">
            <w:pPr>
              <w:pStyle w:val="ListParagraph"/>
              <w:numPr>
                <w:ilvl w:val="0"/>
                <w:numId w:val="33"/>
              </w:numPr>
              <w:spacing w:after="0" w:line="240" w:lineRule="auto"/>
              <w:ind w:left="0" w:firstLine="0"/>
              <w:rPr>
                <w:rFonts w:ascii="Verdana" w:hAnsi="Verdana" w:cs="Times New Roman"/>
                <w:sz w:val="16"/>
                <w:szCs w:val="16"/>
              </w:rPr>
            </w:pPr>
            <w:r w:rsidRPr="00B96519">
              <w:rPr>
                <w:rFonts w:ascii="Verdana" w:hAnsi="Verdana" w:cs="Times New Roman"/>
                <w:sz w:val="16"/>
                <w:szCs w:val="16"/>
              </w:rPr>
              <w:t>Pricing (McKinsey, 2013)</w:t>
            </w:r>
          </w:p>
          <w:p w:rsidR="000E223B" w:rsidRPr="00B96519" w:rsidRDefault="000E223B" w:rsidP="000E223B">
            <w:pPr>
              <w:pStyle w:val="ListParagraph"/>
              <w:numPr>
                <w:ilvl w:val="0"/>
                <w:numId w:val="33"/>
              </w:numPr>
              <w:spacing w:after="0" w:line="240" w:lineRule="auto"/>
              <w:ind w:left="0" w:firstLine="0"/>
              <w:rPr>
                <w:rFonts w:ascii="Verdana" w:hAnsi="Verdana" w:cs="Times New Roman"/>
                <w:sz w:val="16"/>
                <w:szCs w:val="16"/>
              </w:rPr>
            </w:pPr>
            <w:r w:rsidRPr="00B96519">
              <w:rPr>
                <w:rFonts w:ascii="Verdana" w:hAnsi="Verdana" w:cs="Times New Roman"/>
                <w:sz w:val="16"/>
                <w:szCs w:val="16"/>
              </w:rPr>
              <w:t>Campaign lead generation</w:t>
            </w:r>
          </w:p>
          <w:p w:rsidR="000E223B" w:rsidRPr="00B96519" w:rsidRDefault="000E223B" w:rsidP="001106BD">
            <w:pPr>
              <w:rPr>
                <w:rFonts w:ascii="Verdana" w:hAnsi="Verdana" w:cs="Times New Roman"/>
                <w:sz w:val="16"/>
                <w:szCs w:val="16"/>
              </w:rPr>
            </w:pPr>
          </w:p>
        </w:tc>
        <w:tc>
          <w:tcPr>
            <w:tcW w:w="0" w:type="auto"/>
          </w:tcPr>
          <w:p w:rsidR="000E223B" w:rsidRPr="00B96519" w:rsidRDefault="000E223B" w:rsidP="000E223B">
            <w:pPr>
              <w:pStyle w:val="ListParagraph"/>
              <w:numPr>
                <w:ilvl w:val="0"/>
                <w:numId w:val="33"/>
              </w:numPr>
              <w:spacing w:after="0" w:line="240" w:lineRule="auto"/>
              <w:ind w:left="0" w:firstLine="0"/>
              <w:rPr>
                <w:rFonts w:ascii="Verdana" w:hAnsi="Verdana" w:cs="Times New Roman"/>
                <w:sz w:val="16"/>
                <w:szCs w:val="16"/>
              </w:rPr>
            </w:pPr>
            <w:r w:rsidRPr="00B96519">
              <w:rPr>
                <w:rFonts w:ascii="Verdana" w:hAnsi="Verdana" w:cs="Times New Roman"/>
                <w:sz w:val="16"/>
                <w:szCs w:val="16"/>
              </w:rPr>
              <w:t>Advanced marketing mix modeling identifies the impact of marketing actions on sales/churn (McKinsey, 2013)</w:t>
            </w:r>
          </w:p>
          <w:p w:rsidR="000E223B" w:rsidRPr="00B96519" w:rsidRDefault="000E223B" w:rsidP="000E223B">
            <w:pPr>
              <w:pStyle w:val="ListParagraph"/>
              <w:numPr>
                <w:ilvl w:val="0"/>
                <w:numId w:val="33"/>
              </w:numPr>
              <w:spacing w:after="0" w:line="240" w:lineRule="auto"/>
              <w:ind w:left="0" w:firstLine="0"/>
              <w:rPr>
                <w:rFonts w:ascii="Verdana" w:hAnsi="Verdana" w:cs="Times New Roman"/>
                <w:sz w:val="16"/>
                <w:szCs w:val="16"/>
              </w:rPr>
            </w:pPr>
            <w:r w:rsidRPr="00B96519">
              <w:rPr>
                <w:rFonts w:ascii="Verdana" w:hAnsi="Verdana" w:cs="Times New Roman"/>
                <w:sz w:val="16"/>
                <w:szCs w:val="16"/>
              </w:rPr>
              <w:t>Capturing social media buzz (McKinsey, 2013)</w:t>
            </w:r>
          </w:p>
          <w:p w:rsidR="000E223B" w:rsidRPr="00B96519" w:rsidRDefault="000E223B" w:rsidP="000E223B">
            <w:pPr>
              <w:pStyle w:val="ListParagraph"/>
              <w:numPr>
                <w:ilvl w:val="0"/>
                <w:numId w:val="33"/>
              </w:numPr>
              <w:spacing w:after="0" w:line="240" w:lineRule="auto"/>
              <w:ind w:left="0" w:firstLine="0"/>
              <w:rPr>
                <w:rFonts w:ascii="Verdana" w:hAnsi="Verdana" w:cs="Times New Roman"/>
                <w:sz w:val="16"/>
                <w:szCs w:val="16"/>
              </w:rPr>
            </w:pPr>
            <w:r w:rsidRPr="00B96519">
              <w:rPr>
                <w:rFonts w:ascii="Verdana" w:hAnsi="Verdana" w:cs="Times New Roman"/>
                <w:sz w:val="16"/>
                <w:szCs w:val="16"/>
              </w:rPr>
              <w:t>Shopping basket-data used to identify credit risk in the unbanked segment (McKinsey, 2013)</w:t>
            </w:r>
          </w:p>
          <w:p w:rsidR="000E223B" w:rsidRPr="00B96519" w:rsidRDefault="000E223B" w:rsidP="000E223B">
            <w:pPr>
              <w:pStyle w:val="ListParagraph"/>
              <w:numPr>
                <w:ilvl w:val="0"/>
                <w:numId w:val="33"/>
              </w:numPr>
              <w:spacing w:after="0" w:line="240" w:lineRule="auto"/>
              <w:ind w:left="0" w:firstLine="0"/>
              <w:rPr>
                <w:rFonts w:ascii="Verdana" w:hAnsi="Verdana" w:cs="Times New Roman"/>
                <w:sz w:val="16"/>
                <w:szCs w:val="16"/>
              </w:rPr>
            </w:pPr>
            <w:r w:rsidRPr="00B96519">
              <w:rPr>
                <w:rFonts w:ascii="Verdana" w:hAnsi="Verdana" w:cs="Times New Roman"/>
                <w:sz w:val="16"/>
                <w:szCs w:val="16"/>
              </w:rPr>
              <w:t>Advanced next-product-to-buy algorithms (McKinsey, 2013)</w:t>
            </w:r>
          </w:p>
          <w:p w:rsidR="000E223B" w:rsidRPr="00B96519" w:rsidRDefault="000E223B" w:rsidP="000E223B">
            <w:pPr>
              <w:pStyle w:val="ListParagraph"/>
              <w:numPr>
                <w:ilvl w:val="0"/>
                <w:numId w:val="33"/>
              </w:numPr>
              <w:spacing w:after="0" w:line="240" w:lineRule="auto"/>
              <w:ind w:left="0" w:firstLine="0"/>
              <w:rPr>
                <w:rFonts w:ascii="Verdana" w:hAnsi="Verdana" w:cs="Times New Roman"/>
                <w:sz w:val="16"/>
                <w:szCs w:val="16"/>
              </w:rPr>
            </w:pPr>
            <w:r w:rsidRPr="00B96519">
              <w:rPr>
                <w:rFonts w:ascii="Verdana" w:hAnsi="Verdana" w:cs="Times New Roman"/>
                <w:sz w:val="16"/>
                <w:szCs w:val="16"/>
              </w:rPr>
              <w:t>Cross channel data integration (McKinsey, 2013)</w:t>
            </w:r>
          </w:p>
        </w:tc>
      </w:tr>
      <w:tr w:rsidR="000E223B" w:rsidRPr="00B96519" w:rsidTr="001106BD">
        <w:tc>
          <w:tcPr>
            <w:tcW w:w="0" w:type="auto"/>
          </w:tcPr>
          <w:p w:rsidR="000E223B" w:rsidRPr="00B96519" w:rsidRDefault="000E223B" w:rsidP="001106BD">
            <w:pPr>
              <w:rPr>
                <w:rFonts w:ascii="Verdana" w:hAnsi="Verdana" w:cs="Times New Roman"/>
                <w:b/>
                <w:color w:val="5F497A" w:themeColor="accent4" w:themeShade="BF"/>
                <w:sz w:val="16"/>
                <w:szCs w:val="16"/>
              </w:rPr>
            </w:pPr>
            <w:r w:rsidRPr="00B96519">
              <w:rPr>
                <w:rFonts w:ascii="Verdana" w:hAnsi="Verdana" w:cs="Times New Roman"/>
                <w:b/>
                <w:color w:val="5F497A" w:themeColor="accent4" w:themeShade="BF"/>
                <w:sz w:val="16"/>
                <w:szCs w:val="16"/>
              </w:rPr>
              <w:t>Multimedia content</w:t>
            </w:r>
          </w:p>
        </w:tc>
        <w:tc>
          <w:tcPr>
            <w:tcW w:w="0" w:type="auto"/>
          </w:tcPr>
          <w:p w:rsidR="000E223B" w:rsidRPr="00B96519" w:rsidRDefault="000E223B" w:rsidP="000E223B">
            <w:pPr>
              <w:pStyle w:val="ListParagraph"/>
              <w:numPr>
                <w:ilvl w:val="0"/>
                <w:numId w:val="34"/>
              </w:numPr>
              <w:spacing w:after="0" w:line="240" w:lineRule="auto"/>
              <w:ind w:left="0" w:firstLine="0"/>
              <w:rPr>
                <w:rFonts w:ascii="Verdana" w:hAnsi="Verdana" w:cs="Times New Roman"/>
                <w:sz w:val="16"/>
                <w:szCs w:val="16"/>
              </w:rPr>
            </w:pPr>
            <w:r w:rsidRPr="00B96519">
              <w:rPr>
                <w:rFonts w:ascii="Verdana" w:hAnsi="Verdana" w:cs="Times New Roman"/>
                <w:sz w:val="16"/>
                <w:szCs w:val="16"/>
              </w:rPr>
              <w:t>Data exploration (IBM, 2014b)</w:t>
            </w:r>
          </w:p>
        </w:tc>
        <w:tc>
          <w:tcPr>
            <w:tcW w:w="0" w:type="auto"/>
          </w:tcPr>
          <w:p w:rsidR="000E223B" w:rsidRPr="00B96519" w:rsidRDefault="000E223B" w:rsidP="000E223B">
            <w:pPr>
              <w:pStyle w:val="ListParagraph"/>
              <w:numPr>
                <w:ilvl w:val="0"/>
                <w:numId w:val="34"/>
              </w:numPr>
              <w:spacing w:after="0" w:line="240" w:lineRule="auto"/>
              <w:ind w:left="0" w:firstLine="0"/>
              <w:rPr>
                <w:rFonts w:ascii="Verdana" w:hAnsi="Verdana" w:cs="Times New Roman"/>
                <w:sz w:val="16"/>
                <w:szCs w:val="16"/>
              </w:rPr>
            </w:pPr>
            <w:r w:rsidRPr="00B96519">
              <w:rPr>
                <w:rFonts w:ascii="Verdana" w:hAnsi="Verdana" w:cs="Times New Roman"/>
                <w:sz w:val="16"/>
                <w:szCs w:val="16"/>
              </w:rPr>
              <w:t>Speech analytics (McKinsey, 2013)</w:t>
            </w:r>
          </w:p>
        </w:tc>
      </w:tr>
      <w:tr w:rsidR="000E223B" w:rsidRPr="00B96519" w:rsidTr="001106BD">
        <w:tc>
          <w:tcPr>
            <w:tcW w:w="0" w:type="auto"/>
          </w:tcPr>
          <w:p w:rsidR="000E223B" w:rsidRPr="00B96519" w:rsidRDefault="000E223B" w:rsidP="001106BD">
            <w:pPr>
              <w:rPr>
                <w:rFonts w:ascii="Verdana" w:hAnsi="Verdana" w:cs="Times New Roman"/>
                <w:b/>
                <w:color w:val="5F497A" w:themeColor="accent4" w:themeShade="BF"/>
                <w:sz w:val="16"/>
                <w:szCs w:val="16"/>
              </w:rPr>
            </w:pPr>
            <w:r w:rsidRPr="00B96519">
              <w:rPr>
                <w:rFonts w:ascii="Verdana" w:hAnsi="Verdana" w:cs="Times New Roman"/>
                <w:b/>
                <w:color w:val="5F497A" w:themeColor="accent4" w:themeShade="BF"/>
                <w:sz w:val="16"/>
                <w:szCs w:val="16"/>
              </w:rPr>
              <w:t>Internet of Things</w:t>
            </w:r>
          </w:p>
        </w:tc>
        <w:tc>
          <w:tcPr>
            <w:tcW w:w="0" w:type="auto"/>
          </w:tcPr>
          <w:p w:rsidR="000E223B" w:rsidRPr="00B96519" w:rsidRDefault="000E223B" w:rsidP="000E223B">
            <w:pPr>
              <w:pStyle w:val="ListParagraph"/>
              <w:numPr>
                <w:ilvl w:val="0"/>
                <w:numId w:val="35"/>
              </w:numPr>
              <w:spacing w:after="0" w:line="240" w:lineRule="auto"/>
              <w:ind w:left="0" w:firstLine="0"/>
              <w:rPr>
                <w:rFonts w:ascii="Verdana" w:hAnsi="Verdana" w:cs="Times New Roman"/>
                <w:sz w:val="16"/>
                <w:szCs w:val="16"/>
              </w:rPr>
            </w:pPr>
            <w:r w:rsidRPr="00B96519">
              <w:rPr>
                <w:rFonts w:ascii="Verdana" w:hAnsi="Verdana" w:cs="Times New Roman"/>
                <w:sz w:val="16"/>
                <w:szCs w:val="16"/>
              </w:rPr>
              <w:t>Security intelligence (IBM, 2014b)</w:t>
            </w:r>
          </w:p>
          <w:p w:rsidR="000E223B" w:rsidRPr="00B96519" w:rsidRDefault="000E223B" w:rsidP="001106BD">
            <w:pPr>
              <w:pStyle w:val="ListParagraph"/>
              <w:spacing w:line="240" w:lineRule="auto"/>
              <w:ind w:left="0"/>
              <w:rPr>
                <w:rFonts w:ascii="Verdana" w:hAnsi="Verdana" w:cs="Times New Roman"/>
                <w:sz w:val="16"/>
                <w:szCs w:val="16"/>
              </w:rPr>
            </w:pPr>
          </w:p>
        </w:tc>
        <w:tc>
          <w:tcPr>
            <w:tcW w:w="0" w:type="auto"/>
          </w:tcPr>
          <w:p w:rsidR="000E223B" w:rsidRPr="00B96519" w:rsidRDefault="000E223B" w:rsidP="000E223B">
            <w:pPr>
              <w:pStyle w:val="ListParagraph"/>
              <w:numPr>
                <w:ilvl w:val="0"/>
                <w:numId w:val="35"/>
              </w:numPr>
              <w:spacing w:after="0" w:line="240" w:lineRule="auto"/>
              <w:ind w:left="0" w:firstLine="0"/>
              <w:rPr>
                <w:rFonts w:ascii="Verdana" w:hAnsi="Verdana" w:cs="Times New Roman"/>
                <w:sz w:val="16"/>
                <w:szCs w:val="16"/>
              </w:rPr>
            </w:pPr>
            <w:r w:rsidRPr="00B96519">
              <w:rPr>
                <w:rFonts w:ascii="Verdana" w:hAnsi="Verdana" w:cs="Times New Roman"/>
                <w:sz w:val="16"/>
                <w:szCs w:val="16"/>
              </w:rPr>
              <w:t>Operations analysis (IBM, 2014b)</w:t>
            </w:r>
          </w:p>
        </w:tc>
      </w:tr>
      <w:tr w:rsidR="000E223B" w:rsidRPr="00B96519" w:rsidTr="001106BD">
        <w:tc>
          <w:tcPr>
            <w:tcW w:w="0" w:type="auto"/>
          </w:tcPr>
          <w:p w:rsidR="000E223B" w:rsidRPr="00B96519" w:rsidRDefault="000E223B" w:rsidP="001106BD">
            <w:pPr>
              <w:rPr>
                <w:rFonts w:ascii="Verdana" w:hAnsi="Verdana" w:cs="Times New Roman"/>
                <w:b/>
                <w:color w:val="5F497A" w:themeColor="accent4" w:themeShade="BF"/>
                <w:sz w:val="16"/>
                <w:szCs w:val="16"/>
              </w:rPr>
            </w:pPr>
            <w:r w:rsidRPr="00B96519">
              <w:rPr>
                <w:rFonts w:ascii="Verdana" w:hAnsi="Verdana" w:cs="Times New Roman"/>
                <w:b/>
                <w:color w:val="5F497A" w:themeColor="accent4" w:themeShade="BF"/>
                <w:sz w:val="16"/>
                <w:szCs w:val="16"/>
              </w:rPr>
              <w:t>Social Media</w:t>
            </w:r>
          </w:p>
        </w:tc>
        <w:tc>
          <w:tcPr>
            <w:tcW w:w="0" w:type="auto"/>
          </w:tcPr>
          <w:p w:rsidR="000E223B" w:rsidRPr="00B96519" w:rsidRDefault="000E223B" w:rsidP="000E223B">
            <w:pPr>
              <w:pStyle w:val="ListParagraph"/>
              <w:numPr>
                <w:ilvl w:val="0"/>
                <w:numId w:val="35"/>
              </w:numPr>
              <w:spacing w:after="0" w:line="240" w:lineRule="auto"/>
              <w:ind w:left="0" w:firstLine="0"/>
              <w:rPr>
                <w:rFonts w:ascii="Verdana" w:hAnsi="Verdana" w:cs="Times New Roman"/>
                <w:sz w:val="16"/>
                <w:szCs w:val="16"/>
              </w:rPr>
            </w:pPr>
            <w:r w:rsidRPr="00B96519">
              <w:rPr>
                <w:rFonts w:ascii="Verdana" w:hAnsi="Verdana" w:cs="Times New Roman"/>
                <w:sz w:val="16"/>
                <w:szCs w:val="16"/>
              </w:rPr>
              <w:t>Advertising targeting with on-going experimentation (e.g: learning the right landing page to show to the customer)</w:t>
            </w:r>
          </w:p>
          <w:p w:rsidR="000E223B" w:rsidRPr="00B96519" w:rsidRDefault="000E223B" w:rsidP="000E223B">
            <w:pPr>
              <w:pStyle w:val="ListParagraph"/>
              <w:numPr>
                <w:ilvl w:val="0"/>
                <w:numId w:val="35"/>
              </w:numPr>
              <w:spacing w:after="0" w:line="240" w:lineRule="auto"/>
              <w:ind w:left="0" w:firstLine="0"/>
              <w:rPr>
                <w:rFonts w:ascii="Verdana" w:hAnsi="Verdana" w:cs="Times New Roman"/>
                <w:sz w:val="16"/>
                <w:szCs w:val="16"/>
              </w:rPr>
            </w:pPr>
            <w:r w:rsidRPr="00B96519">
              <w:rPr>
                <w:rFonts w:ascii="Verdana" w:hAnsi="Verdana" w:cs="Times New Roman"/>
                <w:sz w:val="16"/>
                <w:szCs w:val="16"/>
              </w:rPr>
              <w:t>Pricing and advertising targeting (changing price and advertising per customer)</w:t>
            </w:r>
          </w:p>
        </w:tc>
        <w:tc>
          <w:tcPr>
            <w:tcW w:w="0" w:type="auto"/>
          </w:tcPr>
          <w:p w:rsidR="000E223B" w:rsidRPr="00B96519" w:rsidRDefault="000E223B" w:rsidP="000E223B">
            <w:pPr>
              <w:pStyle w:val="ListParagraph"/>
              <w:numPr>
                <w:ilvl w:val="0"/>
                <w:numId w:val="35"/>
              </w:numPr>
              <w:spacing w:after="0" w:line="240" w:lineRule="auto"/>
              <w:ind w:left="0" w:firstLine="0"/>
              <w:rPr>
                <w:rFonts w:ascii="Verdana" w:hAnsi="Verdana" w:cs="Times New Roman"/>
                <w:sz w:val="16"/>
                <w:szCs w:val="16"/>
              </w:rPr>
            </w:pPr>
            <w:r w:rsidRPr="00B96519">
              <w:rPr>
                <w:rFonts w:ascii="Verdana" w:hAnsi="Verdana" w:cs="Times New Roman"/>
                <w:sz w:val="16"/>
                <w:szCs w:val="16"/>
              </w:rPr>
              <w:t>Enhanced 360 view (IBM, 2014b)</w:t>
            </w:r>
          </w:p>
        </w:tc>
      </w:tr>
    </w:tbl>
    <w:p w:rsidR="000E223B" w:rsidRPr="00753959" w:rsidRDefault="000E223B" w:rsidP="000E223B">
      <w:pPr>
        <w:spacing w:line="360" w:lineRule="auto"/>
        <w:jc w:val="center"/>
        <w:rPr>
          <w:rFonts w:ascii="Verdana" w:hAnsi="Verdana" w:cs="Times New Roman"/>
          <w:sz w:val="18"/>
          <w:szCs w:val="18"/>
          <w:lang w:val="en-US"/>
        </w:rPr>
      </w:pPr>
      <w:r w:rsidRPr="00753959">
        <w:rPr>
          <w:rFonts w:ascii="Verdana" w:hAnsi="Verdana" w:cs="Times New Roman"/>
          <w:sz w:val="18"/>
          <w:szCs w:val="18"/>
          <w:lang w:val="en-US"/>
        </w:rPr>
        <w:t>Table 5.3 Potential big data use cases</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The matrix is only one way of integrating use cases, sources and types and it is important to note that, for example, an approach dealing with social media structured sources is not solely used for advertising targeting purposed exclusively but can also be used in data exploration analyses or cross channel data integration. The mapping between source and type of data to a use case assessment is only one example of how different sources and types can be treated and integrated from a value-added perspective to building big data strategies.</w:t>
      </w:r>
    </w:p>
    <w:p w:rsidR="000E223B" w:rsidRPr="000E223B" w:rsidRDefault="000E223B" w:rsidP="000E223B">
      <w:pPr>
        <w:pStyle w:val="Heading1"/>
        <w:spacing w:line="360" w:lineRule="auto"/>
        <w:jc w:val="both"/>
        <w:rPr>
          <w:rFonts w:ascii="Verdana" w:hAnsi="Verdana" w:cs="Times New Roman"/>
          <w:sz w:val="20"/>
          <w:szCs w:val="20"/>
          <w:lang w:val="en-US"/>
        </w:rPr>
      </w:pPr>
      <w:bookmarkStart w:id="105" w:name="_Toc423597565"/>
      <w:r w:rsidRPr="000E223B">
        <w:rPr>
          <w:rFonts w:ascii="Verdana" w:hAnsi="Verdana" w:cs="Times New Roman"/>
          <w:sz w:val="20"/>
          <w:szCs w:val="20"/>
          <w:lang w:val="en-US"/>
        </w:rPr>
        <w:t>5.5 Chapter conclusions</w:t>
      </w:r>
      <w:bookmarkEnd w:id="105"/>
      <w:r w:rsidRPr="000E223B">
        <w:rPr>
          <w:rFonts w:ascii="Verdana" w:hAnsi="Verdana" w:cs="Times New Roman"/>
          <w:sz w:val="20"/>
          <w:szCs w:val="20"/>
          <w:lang w:val="en-US"/>
        </w:rPr>
        <w:t xml:space="preserve"> </w:t>
      </w:r>
    </w:p>
    <w:p w:rsidR="000E223B" w:rsidRPr="00FB5C1D" w:rsidRDefault="000E223B" w:rsidP="000E223B">
      <w:pPr>
        <w:pStyle w:val="ListParagraph"/>
        <w:spacing w:after="200" w:line="360" w:lineRule="auto"/>
        <w:ind w:left="0"/>
        <w:jc w:val="both"/>
        <w:rPr>
          <w:rFonts w:ascii="Verdana" w:hAnsi="Verdana" w:cs="Times New Roman"/>
          <w:sz w:val="20"/>
          <w:szCs w:val="20"/>
        </w:rPr>
      </w:pPr>
      <w:r w:rsidRPr="00FB5C1D">
        <w:rPr>
          <w:rFonts w:ascii="Verdana" w:hAnsi="Verdana" w:cs="Times New Roman"/>
          <w:sz w:val="20"/>
          <w:szCs w:val="20"/>
        </w:rPr>
        <w:t xml:space="preserve">Integrating all features of big data is a challenging mission especially because the scientific literature on successful deployments of big data projects is scarce. It is hard to pinpoint the importance of the features and challenges we have identified to actual industries and sectors, as these characteristics apply on a case-by-case basis. Giving its novelty, big data has mostly been explored as a concept or phenomenon and too little as a success story in the scientific community. Nor have any big data use cases been mentioned or developed in these researches. Use cases stem especially from the value </w:t>
      </w:r>
      <w:r w:rsidRPr="00FB5C1D">
        <w:rPr>
          <w:rFonts w:ascii="Verdana" w:hAnsi="Verdana" w:cs="Times New Roman"/>
          <w:sz w:val="20"/>
          <w:szCs w:val="20"/>
        </w:rPr>
        <w:lastRenderedPageBreak/>
        <w:t xml:space="preserve">dimension : understanding what big data is constitutes the first step in any big data project but understanding its value added constitutes the underlying assumption which should guide every step along the way.  </w:t>
      </w:r>
    </w:p>
    <w:p w:rsidR="000E223B" w:rsidRPr="00FB5C1D" w:rsidRDefault="000E223B" w:rsidP="000E223B">
      <w:pPr>
        <w:pStyle w:val="ListParagraph"/>
        <w:spacing w:after="200" w:line="360" w:lineRule="auto"/>
        <w:ind w:left="0"/>
        <w:jc w:val="both"/>
        <w:rPr>
          <w:rFonts w:ascii="Verdana" w:hAnsi="Verdana" w:cs="Times New Roman"/>
          <w:sz w:val="20"/>
          <w:szCs w:val="20"/>
        </w:rPr>
      </w:pPr>
      <w:r w:rsidRPr="00FB5C1D">
        <w:rPr>
          <w:rFonts w:ascii="Verdana" w:hAnsi="Verdana" w:cs="Times New Roman"/>
          <w:sz w:val="20"/>
          <w:szCs w:val="20"/>
        </w:rPr>
        <w:t xml:space="preserve">We have identified the most important dimensions of big data as being volume, variety, velocity and value. To this regard it comes as no surprise that our definition stems from the practitioner community as IDC (Vesset et al., 2012) has developed a number of big data industry use cases which are exclusively based on the value dimension as “smart” dimension. These use cases include pricing optimization, churn analysis, fraud detection, life sciences research or legal discovery. </w:t>
      </w:r>
    </w:p>
    <w:p w:rsidR="000E223B" w:rsidRPr="00FB5C1D" w:rsidRDefault="000E223B" w:rsidP="000E223B">
      <w:pPr>
        <w:pStyle w:val="ListParagraph"/>
        <w:spacing w:after="200" w:line="360" w:lineRule="auto"/>
        <w:ind w:left="0"/>
        <w:jc w:val="both"/>
        <w:rPr>
          <w:rFonts w:ascii="Verdana" w:hAnsi="Verdana" w:cs="Times New Roman"/>
          <w:sz w:val="20"/>
          <w:szCs w:val="20"/>
        </w:rPr>
      </w:pPr>
      <w:r w:rsidRPr="00FB5C1D">
        <w:rPr>
          <w:rFonts w:ascii="Verdana" w:hAnsi="Verdana" w:cs="Times New Roman"/>
          <w:i/>
          <w:sz w:val="20"/>
          <w:szCs w:val="20"/>
        </w:rPr>
        <w:t>In which sense is data any different from big data</w:t>
      </w:r>
      <w:r w:rsidRPr="00FB5C1D">
        <w:rPr>
          <w:rFonts w:ascii="Verdana" w:hAnsi="Verdana" w:cs="Times New Roman"/>
          <w:sz w:val="20"/>
          <w:szCs w:val="20"/>
        </w:rPr>
        <w:t xml:space="preserve"> ? Georges</w:t>
      </w:r>
      <w:r w:rsidR="001331BA">
        <w:rPr>
          <w:rFonts w:ascii="Verdana" w:hAnsi="Verdana" w:cs="Times New Roman"/>
          <w:sz w:val="20"/>
          <w:szCs w:val="20"/>
        </w:rPr>
        <w:t xml:space="preserve"> et al.</w:t>
      </w:r>
      <w:r w:rsidRPr="00FB5C1D">
        <w:rPr>
          <w:rFonts w:ascii="Verdana" w:hAnsi="Verdana" w:cs="Times New Roman"/>
          <w:sz w:val="20"/>
          <w:szCs w:val="20"/>
        </w:rPr>
        <w:t xml:space="preserve"> (2014) identify a shift in perceptions in the practitioner community from “big” to “smart”: the questions is no longer how much more different big the data is compared to “small” data, but how smart the information that it provides is : the outcome might no longer be winners/losers but rather how a network interacts in order to successfully accomplish that what it wishes to accomplish. Whether the data deluge will be treated as big or smart remains to be seen by industry since in some cases, the volume dimension plays an important role in predictive activities (think about system logs) while in others, the quality of information remains crucial (think about potential fraudulent activities identified by banks).</w:t>
      </w:r>
    </w:p>
    <w:p w:rsid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Correctly mapping the identified big data characteristics as well as positioning big data in terms of origin and history has been the main focus of this chapter with special attention to challenges and features of big data deployments as a basis for starting big data projects. </w:t>
      </w:r>
    </w:p>
    <w:p w:rsidR="00820B38" w:rsidRDefault="00820B38" w:rsidP="000E223B">
      <w:pPr>
        <w:spacing w:line="360" w:lineRule="auto"/>
        <w:jc w:val="both"/>
        <w:rPr>
          <w:rFonts w:ascii="Verdana" w:hAnsi="Verdana" w:cs="Times New Roman"/>
          <w:sz w:val="20"/>
          <w:szCs w:val="20"/>
          <w:lang w:val="en-US"/>
        </w:rPr>
        <w:sectPr w:rsidR="00820B38" w:rsidSect="00820B38">
          <w:type w:val="oddPage"/>
          <w:pgSz w:w="11906" w:h="16838"/>
          <w:pgMar w:top="1440" w:right="1440" w:bottom="1440" w:left="1440" w:header="708" w:footer="708" w:gutter="0"/>
          <w:cols w:space="708"/>
          <w:docGrid w:linePitch="360"/>
        </w:sectPr>
      </w:pPr>
    </w:p>
    <w:p w:rsidR="00820B38" w:rsidRPr="000E223B" w:rsidRDefault="00820B38" w:rsidP="000E223B">
      <w:pPr>
        <w:spacing w:line="360" w:lineRule="auto"/>
        <w:jc w:val="both"/>
        <w:rPr>
          <w:rFonts w:ascii="Verdana" w:hAnsi="Verdana" w:cs="Times New Roman"/>
          <w:sz w:val="20"/>
          <w:szCs w:val="20"/>
          <w:lang w:val="en-US"/>
        </w:rPr>
      </w:pPr>
    </w:p>
    <w:p w:rsidR="000E223B" w:rsidRPr="000E223B" w:rsidRDefault="000E223B" w:rsidP="000E223B">
      <w:pPr>
        <w:pStyle w:val="Heading1"/>
        <w:rPr>
          <w:rFonts w:ascii="Verdana" w:hAnsi="Verdana"/>
          <w:sz w:val="20"/>
          <w:szCs w:val="20"/>
          <w:lang w:val="en-US"/>
        </w:rPr>
      </w:pPr>
      <w:bookmarkStart w:id="106" w:name="_Toc423597566"/>
      <w:r w:rsidRPr="000E223B">
        <w:rPr>
          <w:rFonts w:ascii="Verdana" w:hAnsi="Verdana"/>
          <w:sz w:val="20"/>
          <w:szCs w:val="20"/>
          <w:lang w:val="en-US"/>
        </w:rPr>
        <w:t>6. DEVELOPING (BIG) DATA CAPABILITY MATURITY MODEL FOR THE BELGIAN FINANCIAL SECTOR</w:t>
      </w:r>
      <w:bookmarkEnd w:id="106"/>
    </w:p>
    <w:p w:rsidR="000E223B" w:rsidRPr="000E223B" w:rsidRDefault="000E223B" w:rsidP="000E223B">
      <w:pPr>
        <w:pStyle w:val="Heading1"/>
        <w:spacing w:line="360" w:lineRule="auto"/>
        <w:jc w:val="both"/>
        <w:rPr>
          <w:rFonts w:ascii="Verdana" w:hAnsi="Verdana" w:cs="Times New Roman"/>
          <w:sz w:val="20"/>
          <w:szCs w:val="20"/>
          <w:lang w:val="en-US"/>
        </w:rPr>
      </w:pPr>
      <w:bookmarkStart w:id="107" w:name="_Toc423597567"/>
      <w:r w:rsidRPr="000E223B">
        <w:rPr>
          <w:rFonts w:ascii="Verdana" w:hAnsi="Verdana" w:cs="Times New Roman"/>
          <w:sz w:val="20"/>
          <w:szCs w:val="20"/>
          <w:lang w:val="en-US"/>
        </w:rPr>
        <w:t>6.1 About this chapter</w:t>
      </w:r>
      <w:bookmarkEnd w:id="107"/>
    </w:p>
    <w:p w:rsidR="000E223B" w:rsidRPr="000E223B" w:rsidRDefault="000E223B" w:rsidP="000E223B">
      <w:pPr>
        <w:spacing w:line="360" w:lineRule="auto"/>
        <w:jc w:val="both"/>
        <w:rPr>
          <w:rFonts w:ascii="Verdana" w:hAnsi="Verdana" w:cs="Times New Roman"/>
          <w:i/>
          <w:sz w:val="20"/>
          <w:szCs w:val="20"/>
          <w:lang w:val="en-US"/>
        </w:rPr>
      </w:pPr>
      <w:r w:rsidRPr="000E223B">
        <w:rPr>
          <w:rFonts w:ascii="Verdana" w:hAnsi="Verdana" w:cs="Times New Roman"/>
          <w:i/>
          <w:sz w:val="20"/>
          <w:szCs w:val="20"/>
          <w:lang w:val="en-US"/>
        </w:rPr>
        <w:t xml:space="preserve">Growing volumes of data pose challenges in every sector and it is even more important to appropriately handle this data when it comes to the financial one. The financial sector reunites all characteristics previously mentioned for big data : volume, veracity and velocity. Vast amounts of records for financial transactions are generated each day but their efficient utilization remains a mystery for the appointed data owners. Given the crucial importance of banks in today’s landscape, more and more regulators start to tackle the topic of proper data governance practices for their risk management practices. The unexploited “treasure” offered by the quantities of data currently owned by financial institutions sends its actors into a “gold rush” for uncovering insights and relationships never used before. This involves however, the existence of a proper environment to sustain such undertaking with the right infrastructure, architecture and policies in place to foster and develop practices which will allow for un-tapping the collected data. Regulators are already designing guidelines and frameworks to allow for accurate handling of financial records and the business structures are soon to follow if they want to keep their competitive advantages. They need to first understand how their underlying business model needs to improve in order to adapt and accommodate the ever-increasing need of data to support their core decision-making processes.  </w:t>
      </w:r>
    </w:p>
    <w:p w:rsidR="000E223B" w:rsidRPr="000E223B" w:rsidRDefault="000E223B" w:rsidP="000E223B">
      <w:pPr>
        <w:pStyle w:val="Heading1"/>
        <w:spacing w:line="360" w:lineRule="auto"/>
        <w:jc w:val="both"/>
        <w:rPr>
          <w:rFonts w:ascii="Verdana" w:hAnsi="Verdana" w:cs="Times New Roman"/>
          <w:sz w:val="20"/>
          <w:szCs w:val="20"/>
          <w:lang w:val="en-US"/>
        </w:rPr>
      </w:pPr>
      <w:bookmarkStart w:id="108" w:name="_Toc423597568"/>
      <w:r w:rsidRPr="000E223B">
        <w:rPr>
          <w:rFonts w:ascii="Verdana" w:hAnsi="Verdana" w:cs="Times New Roman"/>
          <w:sz w:val="20"/>
          <w:szCs w:val="20"/>
          <w:lang w:val="en-US"/>
        </w:rPr>
        <w:t>6.2 Big Data Governance</w:t>
      </w:r>
      <w:bookmarkEnd w:id="108"/>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This chapter integrates the big data related concepts and technologies in the data and IT governance landscapes.</w:t>
      </w:r>
    </w:p>
    <w:p w:rsidR="000E223B" w:rsidRPr="00FB5C1D" w:rsidRDefault="000E223B" w:rsidP="000E223B">
      <w:pPr>
        <w:pStyle w:val="Heading2"/>
        <w:spacing w:line="360" w:lineRule="auto"/>
        <w:jc w:val="both"/>
        <w:rPr>
          <w:rFonts w:ascii="Verdana" w:hAnsi="Verdana" w:cs="Times New Roman"/>
          <w:sz w:val="20"/>
          <w:szCs w:val="20"/>
        </w:rPr>
      </w:pPr>
      <w:bookmarkStart w:id="109" w:name="_Toc423597569"/>
      <w:r w:rsidRPr="00FB5C1D">
        <w:rPr>
          <w:rFonts w:ascii="Verdana" w:hAnsi="Verdana" w:cs="Times New Roman"/>
          <w:sz w:val="20"/>
          <w:szCs w:val="20"/>
        </w:rPr>
        <w:t>6.2.1 Big data governance models</w:t>
      </w:r>
      <w:bookmarkEnd w:id="109"/>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 xml:space="preserve">Tallon (2013) described data governance as a reflection on how organizations see and value their data assets </w:t>
      </w:r>
      <w:r w:rsidR="000C3167">
        <w:rPr>
          <w:rFonts w:ascii="Verdana" w:hAnsi="Verdana" w:cs="Times New Roman"/>
          <w:sz w:val="20"/>
          <w:szCs w:val="20"/>
        </w:rPr>
        <w:t>as well as how they plan to</w:t>
      </w:r>
      <w:r w:rsidRPr="00FB5C1D">
        <w:rPr>
          <w:rFonts w:ascii="Verdana" w:hAnsi="Verdana" w:cs="Times New Roman"/>
          <w:sz w:val="20"/>
          <w:szCs w:val="20"/>
        </w:rPr>
        <w:t xml:space="preserve"> continue protecting these assets by investing in </w:t>
      </w:r>
      <w:r w:rsidR="000C3167">
        <w:rPr>
          <w:rFonts w:ascii="Verdana" w:hAnsi="Verdana" w:cs="Times New Roman"/>
          <w:sz w:val="20"/>
          <w:szCs w:val="20"/>
        </w:rPr>
        <w:t xml:space="preserve">the </w:t>
      </w:r>
      <w:r w:rsidRPr="00FB5C1D">
        <w:rPr>
          <w:rFonts w:ascii="Verdana" w:hAnsi="Verdana" w:cs="Times New Roman"/>
          <w:sz w:val="20"/>
          <w:szCs w:val="20"/>
        </w:rPr>
        <w:t xml:space="preserve">appropriate technologies. In his article, he refers to big data technologies as posing a new challenge to the traditional data programs in terms of valuation, cost and governance. However, the research subject of big data governance in the scientific community is </w:t>
      </w:r>
      <w:r w:rsidR="000C3167" w:rsidRPr="00FB5C1D">
        <w:rPr>
          <w:rFonts w:ascii="Verdana" w:hAnsi="Verdana" w:cs="Times New Roman"/>
          <w:sz w:val="20"/>
          <w:szCs w:val="20"/>
        </w:rPr>
        <w:t>scarce:</w:t>
      </w:r>
      <w:r w:rsidRPr="00FB5C1D">
        <w:rPr>
          <w:rFonts w:ascii="Verdana" w:hAnsi="Verdana" w:cs="Times New Roman"/>
          <w:sz w:val="20"/>
          <w:szCs w:val="20"/>
        </w:rPr>
        <w:t xml:space="preserve"> while there are some articles dealing with challenges posed by new bi</w:t>
      </w:r>
      <w:r w:rsidR="00AC1BC4">
        <w:rPr>
          <w:rFonts w:ascii="Verdana" w:hAnsi="Verdana" w:cs="Times New Roman"/>
          <w:sz w:val="20"/>
          <w:szCs w:val="20"/>
        </w:rPr>
        <w:t>g data technologies (Demchenko et al.</w:t>
      </w:r>
      <w:r w:rsidRPr="00FB5C1D">
        <w:rPr>
          <w:rFonts w:ascii="Verdana" w:hAnsi="Verdana" w:cs="Times New Roman"/>
          <w:sz w:val="20"/>
          <w:szCs w:val="20"/>
        </w:rPr>
        <w:t xml:space="preserve">, 2014 being the most representative), these are loosely structured and not uniform enough to fit a close-to-standard model. </w:t>
      </w: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lastRenderedPageBreak/>
        <w:t>In the practitioner community, we find some sources that deal with the subject with the most prominent being the IBM Information Governance model adapted for big data (IBM, 2014). What they actually do is use the same information governance model as before (IBM, 2007) but with guiding principles regarding big data technologies. These principl</w:t>
      </w:r>
      <w:r>
        <w:rPr>
          <w:rFonts w:ascii="Verdana" w:hAnsi="Verdana" w:cs="Times New Roman"/>
          <w:sz w:val="20"/>
          <w:szCs w:val="20"/>
        </w:rPr>
        <w:t>es refer to issues like quality or</w:t>
      </w:r>
      <w:r w:rsidRPr="00FB5C1D">
        <w:rPr>
          <w:rFonts w:ascii="Verdana" w:hAnsi="Verdana" w:cs="Times New Roman"/>
          <w:sz w:val="20"/>
          <w:szCs w:val="20"/>
        </w:rPr>
        <w:t xml:space="preserve"> compliance which are already dealt with by most data governance programs but in the context of big data what changes is the perspective and scalability of decision domains. Information mapping and lineage become for example extremely important because the source of data will determine how valid and true the end results (of analytics, for example) will be. Scoring or using data analysis models have also changed meaning because the context dimensions of big data are no longer the same so one must first determine the tolerated level of ambiguity for example. Other such guiding principles refer to managing classifications, fostering a stewardship culture, protecting and securing sensitive information, managing classifications or increasing awareness for governance, auditing and continuous performance measurements. </w:t>
      </w:r>
    </w:p>
    <w:p w:rsidR="000E223B" w:rsidRPr="00FB5C1D" w:rsidRDefault="000E223B" w:rsidP="000E223B">
      <w:pPr>
        <w:pStyle w:val="ListParagraph"/>
        <w:spacing w:line="360" w:lineRule="auto"/>
        <w:ind w:left="0"/>
        <w:jc w:val="both"/>
        <w:rPr>
          <w:rFonts w:ascii="Verdana" w:hAnsi="Verdana" w:cs="Times New Roman"/>
          <w:sz w:val="20"/>
          <w:szCs w:val="20"/>
        </w:rPr>
      </w:pPr>
    </w:p>
    <w:p w:rsidR="000E223B" w:rsidRPr="00FB5C1D" w:rsidRDefault="000E223B" w:rsidP="000E223B">
      <w:pPr>
        <w:pStyle w:val="Heading2"/>
        <w:spacing w:line="360" w:lineRule="auto"/>
        <w:jc w:val="both"/>
        <w:rPr>
          <w:rFonts w:ascii="Verdana" w:hAnsi="Verdana" w:cs="Times New Roman"/>
          <w:sz w:val="20"/>
          <w:szCs w:val="20"/>
        </w:rPr>
      </w:pPr>
      <w:bookmarkStart w:id="110" w:name="_Toc423597570"/>
      <w:r w:rsidRPr="00FB5C1D">
        <w:rPr>
          <w:rFonts w:ascii="Verdana" w:hAnsi="Verdana" w:cs="Times New Roman"/>
          <w:sz w:val="20"/>
          <w:szCs w:val="20"/>
        </w:rPr>
        <w:t>6.2.2 Business and technological capabilities</w:t>
      </w:r>
      <w:bookmarkEnd w:id="110"/>
      <w:r w:rsidRPr="00FB5C1D">
        <w:rPr>
          <w:rFonts w:ascii="Verdana" w:hAnsi="Verdana" w:cs="Times New Roman"/>
          <w:sz w:val="20"/>
          <w:szCs w:val="20"/>
        </w:rPr>
        <w:t xml:space="preserve"> </w:t>
      </w: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Mohanty</w:t>
      </w:r>
      <w:r w:rsidR="00B17C16">
        <w:rPr>
          <w:rFonts w:ascii="Verdana" w:hAnsi="Verdana" w:cs="Times New Roman"/>
          <w:sz w:val="20"/>
          <w:szCs w:val="20"/>
        </w:rPr>
        <w:t xml:space="preserve"> et al.</w:t>
      </w:r>
      <w:r w:rsidRPr="00FB5C1D">
        <w:rPr>
          <w:rFonts w:ascii="Verdana" w:hAnsi="Verdana" w:cs="Times New Roman"/>
          <w:sz w:val="20"/>
          <w:szCs w:val="20"/>
        </w:rPr>
        <w:t xml:space="preserve"> (2013) identified a number of new </w:t>
      </w:r>
      <w:r w:rsidRPr="00DD3960">
        <w:rPr>
          <w:rFonts w:ascii="Verdana" w:hAnsi="Verdana" w:cs="Times New Roman"/>
          <w:sz w:val="20"/>
          <w:szCs w:val="20"/>
          <w:u w:val="single"/>
        </w:rPr>
        <w:t>business capabilities</w:t>
      </w:r>
      <w:r w:rsidRPr="00FB5C1D">
        <w:rPr>
          <w:rFonts w:ascii="Verdana" w:hAnsi="Verdana" w:cs="Times New Roman"/>
          <w:sz w:val="20"/>
          <w:szCs w:val="20"/>
        </w:rPr>
        <w:t xml:space="preserve"> which are needed for big data handling such as data discovery activities for locating, cataloging and setting up access mechanisms to data sources, rapid data insight which means combining and inspecting data from multiple sources in order to spot trends and patterns more quicker or advanced analytics and data visualizations. For Tekiner and Keane (2013)</w:t>
      </w:r>
      <w:r w:rsidR="002B50DF">
        <w:rPr>
          <w:rFonts w:ascii="Verdana" w:hAnsi="Verdana" w:cs="Times New Roman"/>
          <w:sz w:val="20"/>
          <w:szCs w:val="20"/>
        </w:rPr>
        <w:t>,</w:t>
      </w:r>
      <w:r w:rsidRPr="00FB5C1D">
        <w:rPr>
          <w:rFonts w:ascii="Verdana" w:hAnsi="Verdana" w:cs="Times New Roman"/>
          <w:sz w:val="20"/>
          <w:szCs w:val="20"/>
        </w:rPr>
        <w:t xml:space="preserve"> the challenges of big data technologies lie mainly in data sharing decision domains because for data to be usable it first needs to be open and accessible while respecting privacy concerns and requirements which are more than ever exacerbated by the advent of geo-location or social data. They also point out to </w:t>
      </w:r>
      <w:r w:rsidRPr="00DD3960">
        <w:rPr>
          <w:rFonts w:ascii="Verdana" w:hAnsi="Verdana" w:cs="Times New Roman"/>
          <w:sz w:val="20"/>
          <w:szCs w:val="20"/>
          <w:u w:val="single"/>
        </w:rPr>
        <w:t>technological capabilities</w:t>
      </w:r>
      <w:r w:rsidRPr="00FB5C1D">
        <w:rPr>
          <w:rFonts w:ascii="Verdana" w:hAnsi="Verdana" w:cs="Times New Roman"/>
          <w:sz w:val="20"/>
          <w:szCs w:val="20"/>
        </w:rPr>
        <w:t xml:space="preserve"> such as storage and retrieval which while being able to store all data, they are not able to keep short processing times with regards to the exponential growth of data unless infrastructure is being scaled up. </w:t>
      </w:r>
    </w:p>
    <w:p w:rsidR="000E223B" w:rsidRPr="00FB5C1D" w:rsidRDefault="000E223B" w:rsidP="000E223B">
      <w:pPr>
        <w:pStyle w:val="ListParagraph"/>
        <w:spacing w:line="360" w:lineRule="auto"/>
        <w:ind w:left="0"/>
        <w:jc w:val="both"/>
        <w:rPr>
          <w:rFonts w:ascii="Verdana" w:hAnsi="Verdana" w:cs="Times New Roman"/>
          <w:sz w:val="20"/>
          <w:szCs w:val="20"/>
        </w:rPr>
      </w:pPr>
    </w:p>
    <w:p w:rsidR="000E223B" w:rsidRPr="00FB5C1D" w:rsidRDefault="000E223B" w:rsidP="000E223B">
      <w:pPr>
        <w:pStyle w:val="Heading2"/>
        <w:spacing w:line="360" w:lineRule="auto"/>
        <w:jc w:val="both"/>
        <w:rPr>
          <w:rFonts w:ascii="Verdana" w:hAnsi="Verdana" w:cs="Times New Roman"/>
          <w:sz w:val="20"/>
          <w:szCs w:val="20"/>
        </w:rPr>
      </w:pPr>
      <w:bookmarkStart w:id="111" w:name="_Toc423597571"/>
      <w:r w:rsidRPr="00FB5C1D">
        <w:rPr>
          <w:rFonts w:ascii="Verdana" w:hAnsi="Verdana" w:cs="Times New Roman"/>
          <w:sz w:val="20"/>
          <w:szCs w:val="20"/>
        </w:rPr>
        <w:t>6.2.3 Features of big data governance programs</w:t>
      </w:r>
      <w:bookmarkEnd w:id="111"/>
      <w:r w:rsidRPr="00FB5C1D">
        <w:rPr>
          <w:rFonts w:ascii="Verdana" w:hAnsi="Verdana" w:cs="Times New Roman"/>
          <w:sz w:val="20"/>
          <w:szCs w:val="20"/>
        </w:rPr>
        <w:t xml:space="preserve"> </w:t>
      </w:r>
    </w:p>
    <w:p w:rsidR="000E223B" w:rsidRPr="00FB5C1D" w:rsidRDefault="00AC1BC4" w:rsidP="000E223B">
      <w:pPr>
        <w:pStyle w:val="ListParagraph"/>
        <w:spacing w:line="360" w:lineRule="auto"/>
        <w:ind w:left="0"/>
        <w:jc w:val="both"/>
        <w:rPr>
          <w:rFonts w:ascii="Verdana" w:hAnsi="Verdana" w:cs="Times New Roman"/>
          <w:sz w:val="20"/>
          <w:szCs w:val="20"/>
        </w:rPr>
      </w:pPr>
      <w:r>
        <w:rPr>
          <w:rFonts w:ascii="Verdana" w:hAnsi="Verdana" w:cs="Times New Roman"/>
          <w:sz w:val="20"/>
          <w:szCs w:val="20"/>
        </w:rPr>
        <w:t xml:space="preserve">Demchenko et al. </w:t>
      </w:r>
      <w:r w:rsidR="000E223B" w:rsidRPr="00FB5C1D">
        <w:rPr>
          <w:rFonts w:ascii="Verdana" w:hAnsi="Verdana" w:cs="Times New Roman"/>
          <w:sz w:val="20"/>
          <w:szCs w:val="20"/>
        </w:rPr>
        <w:t>(2014) have identified the following features which characterize the modern changes in ICT, cloud computing and big data, with regards to governance-specific issues :</w:t>
      </w:r>
    </w:p>
    <w:p w:rsidR="000E223B" w:rsidRPr="00FB5C1D" w:rsidRDefault="000E223B" w:rsidP="000E223B">
      <w:pPr>
        <w:pStyle w:val="ListParagraph"/>
        <w:numPr>
          <w:ilvl w:val="0"/>
          <w:numId w:val="19"/>
        </w:numPr>
        <w:spacing w:line="360" w:lineRule="auto"/>
        <w:ind w:left="0" w:firstLine="567"/>
        <w:jc w:val="both"/>
        <w:rPr>
          <w:rFonts w:ascii="Verdana" w:hAnsi="Verdana" w:cs="Times New Roman"/>
          <w:sz w:val="20"/>
          <w:szCs w:val="20"/>
        </w:rPr>
      </w:pPr>
      <w:r w:rsidRPr="00FB5C1D">
        <w:rPr>
          <w:rFonts w:ascii="Verdana" w:hAnsi="Verdana" w:cs="Times New Roman"/>
          <w:sz w:val="20"/>
          <w:szCs w:val="20"/>
        </w:rPr>
        <w:t>the digitization of processes, events &amp; products;</w:t>
      </w:r>
    </w:p>
    <w:p w:rsidR="000E223B" w:rsidRPr="00FB5C1D" w:rsidRDefault="000E223B" w:rsidP="000E223B">
      <w:pPr>
        <w:pStyle w:val="ListParagraph"/>
        <w:numPr>
          <w:ilvl w:val="0"/>
          <w:numId w:val="18"/>
        </w:numPr>
        <w:spacing w:line="360" w:lineRule="auto"/>
        <w:ind w:left="0" w:firstLine="567"/>
        <w:jc w:val="both"/>
        <w:rPr>
          <w:rFonts w:ascii="Verdana" w:hAnsi="Verdana" w:cs="Times New Roman"/>
          <w:sz w:val="20"/>
          <w:szCs w:val="20"/>
        </w:rPr>
      </w:pPr>
      <w:r w:rsidRPr="00FB5C1D">
        <w:rPr>
          <w:rFonts w:ascii="Verdana" w:hAnsi="Verdana" w:cs="Times New Roman"/>
          <w:sz w:val="20"/>
          <w:szCs w:val="20"/>
        </w:rPr>
        <w:t>automating data production, collection, storing &amp; consumption;</w:t>
      </w:r>
    </w:p>
    <w:p w:rsidR="000E223B" w:rsidRPr="00FB5C1D" w:rsidRDefault="000E223B" w:rsidP="000E223B">
      <w:pPr>
        <w:pStyle w:val="ListParagraph"/>
        <w:numPr>
          <w:ilvl w:val="0"/>
          <w:numId w:val="18"/>
        </w:numPr>
        <w:spacing w:line="360" w:lineRule="auto"/>
        <w:ind w:left="0" w:firstLine="567"/>
        <w:jc w:val="both"/>
        <w:rPr>
          <w:rFonts w:ascii="Verdana" w:hAnsi="Verdana" w:cs="Times New Roman"/>
          <w:sz w:val="20"/>
          <w:szCs w:val="20"/>
        </w:rPr>
      </w:pPr>
      <w:r w:rsidRPr="00FB5C1D">
        <w:rPr>
          <w:rFonts w:ascii="Verdana" w:hAnsi="Verdana" w:cs="Times New Roman"/>
          <w:sz w:val="20"/>
          <w:szCs w:val="20"/>
        </w:rPr>
        <w:t xml:space="preserve">reusing initial data sets for secondary analysis; </w:t>
      </w:r>
    </w:p>
    <w:p w:rsidR="000E223B" w:rsidRPr="00FB5C1D" w:rsidRDefault="000E223B" w:rsidP="000E223B">
      <w:pPr>
        <w:pStyle w:val="ListParagraph"/>
        <w:numPr>
          <w:ilvl w:val="0"/>
          <w:numId w:val="18"/>
        </w:numPr>
        <w:spacing w:line="360" w:lineRule="auto"/>
        <w:ind w:left="0" w:firstLine="567"/>
        <w:jc w:val="both"/>
        <w:rPr>
          <w:rFonts w:ascii="Verdana" w:hAnsi="Verdana" w:cs="Times New Roman"/>
          <w:sz w:val="20"/>
          <w:szCs w:val="20"/>
        </w:rPr>
      </w:pPr>
      <w:r w:rsidRPr="00FB5C1D">
        <w:rPr>
          <w:rFonts w:ascii="Verdana" w:hAnsi="Verdana" w:cs="Times New Roman"/>
          <w:sz w:val="20"/>
          <w:szCs w:val="20"/>
        </w:rPr>
        <w:lastRenderedPageBreak/>
        <w:t>open access to public data and possibility of global sharing between involved groups;</w:t>
      </w:r>
    </w:p>
    <w:p w:rsidR="000E223B" w:rsidRPr="00FB5C1D" w:rsidRDefault="000E223B" w:rsidP="000E223B">
      <w:pPr>
        <w:pStyle w:val="ListParagraph"/>
        <w:numPr>
          <w:ilvl w:val="0"/>
          <w:numId w:val="18"/>
        </w:numPr>
        <w:spacing w:line="360" w:lineRule="auto"/>
        <w:ind w:left="0" w:firstLine="567"/>
        <w:jc w:val="both"/>
        <w:rPr>
          <w:rFonts w:ascii="Verdana" w:hAnsi="Verdana" w:cs="Times New Roman"/>
          <w:sz w:val="20"/>
          <w:szCs w:val="20"/>
        </w:rPr>
      </w:pPr>
      <w:r w:rsidRPr="00FB5C1D">
        <w:rPr>
          <w:rFonts w:ascii="Verdana" w:hAnsi="Verdana" w:cs="Times New Roman"/>
          <w:sz w:val="20"/>
          <w:szCs w:val="20"/>
        </w:rPr>
        <w:t>existence of infrastructure components able to support and sustain necessary cooperation and management tools;</w:t>
      </w:r>
    </w:p>
    <w:p w:rsidR="000E223B" w:rsidRPr="00FB5C1D" w:rsidRDefault="000E223B" w:rsidP="000E223B">
      <w:pPr>
        <w:pStyle w:val="ListParagraph"/>
        <w:numPr>
          <w:ilvl w:val="0"/>
          <w:numId w:val="18"/>
        </w:numPr>
        <w:spacing w:line="360" w:lineRule="auto"/>
        <w:ind w:left="0" w:firstLine="567"/>
        <w:jc w:val="both"/>
        <w:rPr>
          <w:rFonts w:ascii="Verdana" w:hAnsi="Verdana" w:cs="Times New Roman"/>
          <w:sz w:val="20"/>
          <w:szCs w:val="20"/>
        </w:rPr>
      </w:pPr>
      <w:r w:rsidRPr="00FB5C1D">
        <w:rPr>
          <w:rFonts w:ascii="Verdana" w:hAnsi="Verdana" w:cs="Times New Roman"/>
          <w:sz w:val="20"/>
          <w:szCs w:val="20"/>
        </w:rPr>
        <w:t>secure and available access control technologies to ensure a protected env</w:t>
      </w:r>
      <w:r w:rsidR="002B50DF">
        <w:rPr>
          <w:rFonts w:ascii="Verdana" w:hAnsi="Verdana" w:cs="Times New Roman"/>
          <w:sz w:val="20"/>
          <w:szCs w:val="20"/>
        </w:rPr>
        <w:t>ironment for cooperating groups.</w:t>
      </w:r>
    </w:p>
    <w:p w:rsidR="000E223B" w:rsidRPr="000E223B" w:rsidRDefault="00BC1F27" w:rsidP="000E223B">
      <w:pPr>
        <w:spacing w:line="360" w:lineRule="auto"/>
        <w:jc w:val="both"/>
        <w:rPr>
          <w:rFonts w:ascii="Verdana" w:hAnsi="Verdana" w:cs="Times New Roman"/>
          <w:sz w:val="20"/>
          <w:szCs w:val="20"/>
          <w:lang w:val="en-US"/>
        </w:rPr>
      </w:pPr>
      <w:r w:rsidRPr="00753959">
        <w:rPr>
          <w:rFonts w:ascii="Verdana" w:hAnsi="Verdana" w:cs="Times New Roman"/>
          <w:sz w:val="20"/>
          <w:szCs w:val="20"/>
          <w:lang w:val="fr-BE"/>
        </w:rPr>
        <w:t xml:space="preserve">Bahjat El-Darwiche et al. </w:t>
      </w:r>
      <w:r w:rsidR="000E223B" w:rsidRPr="000E223B">
        <w:rPr>
          <w:rFonts w:ascii="Verdana" w:hAnsi="Verdana" w:cs="Times New Roman"/>
          <w:sz w:val="20"/>
          <w:szCs w:val="20"/>
          <w:lang w:val="en-US"/>
        </w:rPr>
        <w:t>(2014) point out that any governance program should first include the formulation of a vision for  the usage of data which is compatible with the public interests’ approval and understanding (which data can be used, how long can it be stored, what is strictly forbidden,…) as well as fostering the knowledge and skills needed to exploit a big data environment. In terms of internal capabilities, the 3 authors mention that the main priorities for the executives should be :</w:t>
      </w:r>
    </w:p>
    <w:p w:rsidR="000E223B" w:rsidRPr="00FB5C1D" w:rsidRDefault="000E223B" w:rsidP="000E223B">
      <w:pPr>
        <w:pStyle w:val="ListParagraph"/>
        <w:numPr>
          <w:ilvl w:val="0"/>
          <w:numId w:val="36"/>
        </w:numPr>
        <w:spacing w:line="360" w:lineRule="auto"/>
        <w:ind w:left="0" w:firstLine="567"/>
        <w:jc w:val="both"/>
        <w:rPr>
          <w:rFonts w:ascii="Verdana" w:hAnsi="Verdana" w:cs="Times New Roman"/>
          <w:sz w:val="20"/>
          <w:szCs w:val="20"/>
        </w:rPr>
      </w:pPr>
      <w:r w:rsidRPr="00FB5C1D">
        <w:rPr>
          <w:rFonts w:ascii="Verdana" w:hAnsi="Verdana" w:cs="Times New Roman"/>
          <w:sz w:val="20"/>
          <w:szCs w:val="20"/>
        </w:rPr>
        <w:t>the development of an appropriate big data strategy, accentuating the value derived from pilot schemes;</w:t>
      </w:r>
    </w:p>
    <w:p w:rsidR="000E223B" w:rsidRPr="00FB5C1D" w:rsidRDefault="000E223B" w:rsidP="000E223B">
      <w:pPr>
        <w:pStyle w:val="ListParagraph"/>
        <w:numPr>
          <w:ilvl w:val="0"/>
          <w:numId w:val="36"/>
        </w:numPr>
        <w:spacing w:line="360" w:lineRule="auto"/>
        <w:ind w:left="0" w:firstLine="567"/>
        <w:jc w:val="both"/>
        <w:rPr>
          <w:rFonts w:ascii="Verdana" w:hAnsi="Verdana" w:cs="Times New Roman"/>
          <w:sz w:val="20"/>
          <w:szCs w:val="20"/>
        </w:rPr>
      </w:pPr>
      <w:r w:rsidRPr="00FB5C1D">
        <w:rPr>
          <w:rFonts w:ascii="Verdana" w:hAnsi="Verdana" w:cs="Times New Roman"/>
          <w:sz w:val="20"/>
          <w:szCs w:val="20"/>
        </w:rPr>
        <w:t xml:space="preserve"> appointing an owner for big data and  recruiting the right talent;</w:t>
      </w:r>
    </w:p>
    <w:p w:rsidR="000E223B" w:rsidRPr="00FB5C1D" w:rsidRDefault="000E223B" w:rsidP="000E223B">
      <w:pPr>
        <w:pStyle w:val="ListParagraph"/>
        <w:numPr>
          <w:ilvl w:val="0"/>
          <w:numId w:val="36"/>
        </w:numPr>
        <w:spacing w:line="360" w:lineRule="auto"/>
        <w:ind w:left="0" w:firstLine="567"/>
        <w:jc w:val="both"/>
        <w:rPr>
          <w:rFonts w:ascii="Verdana" w:hAnsi="Verdana" w:cs="Times New Roman"/>
          <w:sz w:val="20"/>
          <w:szCs w:val="20"/>
        </w:rPr>
      </w:pPr>
      <w:r w:rsidRPr="00FB5C1D">
        <w:rPr>
          <w:rFonts w:ascii="Verdana" w:hAnsi="Verdana" w:cs="Times New Roman"/>
          <w:sz w:val="20"/>
          <w:szCs w:val="20"/>
        </w:rPr>
        <w:t xml:space="preserve"> positioning big data as an integral element in operations as well as re-orienting the culture of the orga</w:t>
      </w:r>
      <w:r w:rsidR="002B50DF">
        <w:rPr>
          <w:rFonts w:ascii="Verdana" w:hAnsi="Verdana" w:cs="Times New Roman"/>
          <w:sz w:val="20"/>
          <w:szCs w:val="20"/>
        </w:rPr>
        <w:t>nization to be more data-driven.</w:t>
      </w:r>
    </w:p>
    <w:p w:rsidR="000E223B" w:rsidRPr="000E223B" w:rsidRDefault="000E223B" w:rsidP="000E223B">
      <w:pPr>
        <w:spacing w:line="360" w:lineRule="auto"/>
        <w:ind w:firstLine="567"/>
        <w:jc w:val="both"/>
        <w:rPr>
          <w:rFonts w:ascii="Verdana" w:hAnsi="Verdana" w:cs="Times New Roman"/>
          <w:sz w:val="20"/>
          <w:szCs w:val="20"/>
          <w:lang w:val="en-US"/>
        </w:rPr>
      </w:pPr>
    </w:p>
    <w:p w:rsidR="000E223B" w:rsidRPr="000E223B" w:rsidRDefault="000E223B" w:rsidP="000E223B">
      <w:pPr>
        <w:pStyle w:val="Heading1"/>
        <w:spacing w:line="360" w:lineRule="auto"/>
        <w:jc w:val="both"/>
        <w:rPr>
          <w:rFonts w:ascii="Verdana" w:hAnsi="Verdana" w:cs="Times New Roman"/>
          <w:sz w:val="20"/>
          <w:szCs w:val="20"/>
          <w:lang w:val="en-US"/>
        </w:rPr>
      </w:pPr>
      <w:bookmarkStart w:id="112" w:name="_Toc423597572"/>
      <w:r w:rsidRPr="000E223B">
        <w:rPr>
          <w:rFonts w:ascii="Verdana" w:hAnsi="Verdana" w:cs="Times New Roman"/>
          <w:sz w:val="20"/>
          <w:szCs w:val="20"/>
          <w:lang w:val="en-US"/>
        </w:rPr>
        <w:t>6.3 The financial sector</w:t>
      </w:r>
      <w:bookmarkEnd w:id="112"/>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This chapter presents the challenges associated with data collection and analysis in the financial sector.</w:t>
      </w:r>
    </w:p>
    <w:p w:rsidR="000E223B" w:rsidRPr="00FB5C1D" w:rsidRDefault="000E223B" w:rsidP="000E223B">
      <w:pPr>
        <w:pStyle w:val="Heading2"/>
        <w:spacing w:line="360" w:lineRule="auto"/>
        <w:jc w:val="both"/>
        <w:rPr>
          <w:rFonts w:ascii="Verdana" w:hAnsi="Verdana" w:cs="Times New Roman"/>
          <w:sz w:val="20"/>
          <w:szCs w:val="20"/>
        </w:rPr>
      </w:pPr>
      <w:bookmarkStart w:id="113" w:name="_Toc423597573"/>
      <w:r w:rsidRPr="00FB5C1D">
        <w:rPr>
          <w:rFonts w:ascii="Verdana" w:hAnsi="Verdana" w:cs="Times New Roman"/>
          <w:sz w:val="20"/>
          <w:szCs w:val="20"/>
        </w:rPr>
        <w:t>6.3.1 Financial records, information and data management</w:t>
      </w:r>
      <w:bookmarkEnd w:id="113"/>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The subject of </w:t>
      </w:r>
      <w:r w:rsidRPr="000E223B">
        <w:rPr>
          <w:rFonts w:ascii="Verdana" w:hAnsi="Verdana" w:cs="Times New Roman"/>
          <w:i/>
          <w:sz w:val="20"/>
          <w:szCs w:val="20"/>
          <w:lang w:val="en-US"/>
        </w:rPr>
        <w:t>financial records</w:t>
      </w:r>
      <w:r w:rsidRPr="000E223B">
        <w:rPr>
          <w:rFonts w:ascii="Verdana" w:hAnsi="Verdana" w:cs="Times New Roman"/>
          <w:sz w:val="20"/>
          <w:szCs w:val="20"/>
          <w:lang w:val="en-US"/>
        </w:rPr>
        <w:t xml:space="preserve">, </w:t>
      </w:r>
      <w:r w:rsidRPr="000E223B">
        <w:rPr>
          <w:rFonts w:ascii="Verdana" w:hAnsi="Verdana" w:cs="Times New Roman"/>
          <w:i/>
          <w:sz w:val="20"/>
          <w:szCs w:val="20"/>
          <w:lang w:val="en-US"/>
        </w:rPr>
        <w:t>information</w:t>
      </w:r>
      <w:r w:rsidRPr="000E223B">
        <w:rPr>
          <w:rFonts w:ascii="Verdana" w:hAnsi="Verdana" w:cs="Times New Roman"/>
          <w:sz w:val="20"/>
          <w:szCs w:val="20"/>
          <w:lang w:val="en-US"/>
        </w:rPr>
        <w:t xml:space="preserve"> and </w:t>
      </w:r>
      <w:r w:rsidRPr="000E223B">
        <w:rPr>
          <w:rFonts w:ascii="Verdana" w:hAnsi="Verdana" w:cs="Times New Roman"/>
          <w:i/>
          <w:sz w:val="20"/>
          <w:szCs w:val="20"/>
          <w:lang w:val="en-US"/>
        </w:rPr>
        <w:t>data management</w:t>
      </w:r>
      <w:r w:rsidRPr="000E223B">
        <w:rPr>
          <w:rFonts w:ascii="Verdana" w:hAnsi="Verdana" w:cs="Times New Roman"/>
          <w:sz w:val="20"/>
          <w:szCs w:val="20"/>
          <w:lang w:val="en-US"/>
        </w:rPr>
        <w:t xml:space="preserve"> has received very little attention before the 2007-2009 financial </w:t>
      </w:r>
      <w:r w:rsidR="002B50DF">
        <w:rPr>
          <w:rFonts w:ascii="Verdana" w:hAnsi="Verdana" w:cs="Times New Roman"/>
          <w:sz w:val="20"/>
          <w:szCs w:val="20"/>
          <w:lang w:val="en-US"/>
        </w:rPr>
        <w:t xml:space="preserve">crisis </w:t>
      </w:r>
      <w:r w:rsidRPr="000E223B">
        <w:rPr>
          <w:rFonts w:ascii="Verdana" w:hAnsi="Verdana" w:cs="Times New Roman"/>
          <w:sz w:val="20"/>
          <w:szCs w:val="20"/>
          <w:lang w:val="en-US"/>
        </w:rPr>
        <w:t>when it was shown how poor quality and management of financial records can lead to weaknesses in operational risk management (Lemieux, 2012). The U.S. Office of Financial Research stated that : “</w:t>
      </w:r>
      <w:r w:rsidRPr="000E223B">
        <w:rPr>
          <w:rFonts w:ascii="Verdana" w:hAnsi="Verdana" w:cs="Times New Roman"/>
          <w:i/>
          <w:sz w:val="20"/>
          <w:szCs w:val="20"/>
          <w:lang w:val="en-US"/>
        </w:rPr>
        <w:t>Data management in most financial firms is a mess</w:t>
      </w:r>
      <w:r w:rsidRPr="000E223B">
        <w:rPr>
          <w:rFonts w:ascii="Verdana" w:hAnsi="Verdana" w:cs="Times New Roman"/>
          <w:sz w:val="20"/>
          <w:szCs w:val="20"/>
          <w:lang w:val="en-US"/>
        </w:rPr>
        <w:t xml:space="preserve">” (Lemieux, 2012, pp.2). What the U.S. Office of Financial Research meant by its statement, continues Lemieux (2012), is that standard reference data is missing, there are no common standard designations for financial instruments and the manual correction of millions of trade records per year leads not only to inefficiencies but also to an increased risk of errors.  </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A report from the Financial Stability Board and the International Monetary Fund  (2009) noted that :”…</w:t>
      </w:r>
      <w:r w:rsidRPr="002B50DF">
        <w:rPr>
          <w:rFonts w:ascii="Verdana" w:hAnsi="Verdana" w:cs="Times New Roman"/>
          <w:i/>
          <w:sz w:val="20"/>
          <w:szCs w:val="20"/>
          <w:lang w:val="en-US"/>
        </w:rPr>
        <w:t xml:space="preserve">the recent crisis has reaffirmed an old lesson- good data and good </w:t>
      </w:r>
      <w:r w:rsidRPr="002B50DF">
        <w:rPr>
          <w:rFonts w:ascii="Verdana" w:hAnsi="Verdana" w:cs="Times New Roman"/>
          <w:i/>
          <w:sz w:val="20"/>
          <w:szCs w:val="20"/>
          <w:lang w:val="en-US"/>
        </w:rPr>
        <w:lastRenderedPageBreak/>
        <w:t>analysis are the lifeblood of effective surveillance and policy responses at both national and international levels</w:t>
      </w:r>
      <w:r w:rsidR="002B50DF">
        <w:rPr>
          <w:rFonts w:ascii="Verdana" w:hAnsi="Verdana" w:cs="Times New Roman"/>
          <w:sz w:val="20"/>
          <w:szCs w:val="20"/>
          <w:lang w:val="en-US"/>
        </w:rPr>
        <w:t>”. (Lemieux, 2012, pp.2).</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In line with the policies of transparency and efficiency which banks seem to be pursuing today, qualitatively good managed records represent the foundation to monitor financial risks and counter potential threats in a timely manner (Lemieux, 2012). However, the author continues, there exists not yet a consensus on what the characteristics of such good kept financial records should be.  </w:t>
      </w:r>
    </w:p>
    <w:p w:rsidR="000E223B" w:rsidRPr="000E223B" w:rsidRDefault="000E223B" w:rsidP="000E223B">
      <w:pPr>
        <w:spacing w:line="360" w:lineRule="auto"/>
        <w:jc w:val="both"/>
        <w:rPr>
          <w:rFonts w:ascii="Verdana" w:hAnsi="Verdana" w:cs="Times New Roman"/>
          <w:sz w:val="20"/>
          <w:szCs w:val="20"/>
          <w:lang w:val="en-US"/>
        </w:rPr>
      </w:pPr>
    </w:p>
    <w:p w:rsidR="000E223B" w:rsidRPr="00FB5C1D" w:rsidRDefault="000E223B" w:rsidP="000E223B">
      <w:pPr>
        <w:pStyle w:val="Heading2"/>
        <w:spacing w:line="360" w:lineRule="auto"/>
        <w:jc w:val="both"/>
        <w:rPr>
          <w:rFonts w:ascii="Verdana" w:hAnsi="Verdana" w:cs="Times New Roman"/>
          <w:sz w:val="20"/>
          <w:szCs w:val="20"/>
        </w:rPr>
      </w:pPr>
      <w:bookmarkStart w:id="114" w:name="_Toc423597574"/>
      <w:r w:rsidRPr="00FB5C1D">
        <w:rPr>
          <w:rFonts w:ascii="Verdana" w:hAnsi="Verdana" w:cs="Times New Roman"/>
          <w:sz w:val="20"/>
          <w:szCs w:val="20"/>
        </w:rPr>
        <w:t>6.3.2 Operational and market risk</w:t>
      </w:r>
      <w:bookmarkEnd w:id="114"/>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It is crucial to understand the types of risk that data collection practices can uncover and which types of risk can be properly handled by strong data collection processes. Brammertz (2012) explains the difference between market and operational risk (OR) from the optic of data-gathering processes : market risk (such as, for example, inflated prices which do not reflect the value of the underlying asset) can be mitigated by overseeing exposure while operational risk involves people and business processes at a micro, firm level. </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Figure 6.1 illustrates the relationship between the 2 types of risk as an optimum between how much is done to avoid the risk and how much we are “</w:t>
      </w:r>
      <w:r w:rsidRPr="000E223B">
        <w:rPr>
          <w:rFonts w:ascii="Verdana" w:hAnsi="Verdana" w:cs="Times New Roman"/>
          <w:i/>
          <w:sz w:val="20"/>
          <w:szCs w:val="20"/>
          <w:lang w:val="en-US"/>
        </w:rPr>
        <w:t>willing</w:t>
      </w:r>
      <w:r w:rsidRPr="000E223B">
        <w:rPr>
          <w:rFonts w:ascii="Verdana" w:hAnsi="Verdana" w:cs="Times New Roman"/>
          <w:sz w:val="20"/>
          <w:szCs w:val="20"/>
          <w:lang w:val="en-US"/>
        </w:rPr>
        <w:t xml:space="preserve">” to incur in losses. </w:t>
      </w:r>
    </w:p>
    <w:p w:rsidR="000E223B" w:rsidRPr="000E223B" w:rsidRDefault="000E223B" w:rsidP="000E223B">
      <w:pPr>
        <w:spacing w:line="360" w:lineRule="auto"/>
        <w:jc w:val="both"/>
        <w:rPr>
          <w:rFonts w:ascii="Verdana" w:hAnsi="Verdana" w:cs="Times New Roman"/>
          <w:sz w:val="20"/>
          <w:szCs w:val="20"/>
          <w:lang w:val="en-US"/>
        </w:rPr>
      </w:pPr>
      <w:r w:rsidRPr="00FB5C1D">
        <w:rPr>
          <w:rFonts w:ascii="Verdana" w:hAnsi="Verdana" w:cs="Times New Roman"/>
          <w:noProof/>
          <w:sz w:val="20"/>
          <w:szCs w:val="20"/>
          <w:lang w:val="en-GB" w:eastAsia="en-GB"/>
        </w:rPr>
        <w:drawing>
          <wp:anchor distT="0" distB="0" distL="114300" distR="114300" simplePos="0" relativeHeight="251690496" behindDoc="0" locked="0" layoutInCell="1" allowOverlap="1" wp14:anchorId="7C356993" wp14:editId="282023B1">
            <wp:simplePos x="0" y="0"/>
            <wp:positionH relativeFrom="column">
              <wp:posOffset>514350</wp:posOffset>
            </wp:positionH>
            <wp:positionV relativeFrom="paragraph">
              <wp:posOffset>138430</wp:posOffset>
            </wp:positionV>
            <wp:extent cx="4448175" cy="2495550"/>
            <wp:effectExtent l="19050" t="19050" r="28575" b="190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448175" cy="24955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E223B" w:rsidRPr="000E223B" w:rsidRDefault="000E223B" w:rsidP="000E223B">
      <w:pPr>
        <w:spacing w:line="360" w:lineRule="auto"/>
        <w:jc w:val="both"/>
        <w:rPr>
          <w:rFonts w:ascii="Verdana" w:hAnsi="Verdana" w:cs="Times New Roman"/>
          <w:sz w:val="20"/>
          <w:szCs w:val="20"/>
          <w:lang w:val="en-US"/>
        </w:rPr>
      </w:pPr>
    </w:p>
    <w:p w:rsidR="000E223B" w:rsidRPr="000E223B" w:rsidRDefault="000E223B" w:rsidP="000E223B">
      <w:pPr>
        <w:spacing w:line="360" w:lineRule="auto"/>
        <w:jc w:val="both"/>
        <w:rPr>
          <w:rFonts w:ascii="Verdana" w:hAnsi="Verdana" w:cs="Times New Roman"/>
          <w:sz w:val="20"/>
          <w:szCs w:val="20"/>
          <w:lang w:val="en-US"/>
        </w:rPr>
      </w:pPr>
    </w:p>
    <w:p w:rsidR="000E223B" w:rsidRPr="000E223B" w:rsidRDefault="000E223B" w:rsidP="000E223B">
      <w:pPr>
        <w:spacing w:line="360" w:lineRule="auto"/>
        <w:jc w:val="both"/>
        <w:rPr>
          <w:rFonts w:ascii="Verdana" w:hAnsi="Verdana" w:cs="Times New Roman"/>
          <w:sz w:val="20"/>
          <w:szCs w:val="20"/>
          <w:lang w:val="en-US"/>
        </w:rPr>
      </w:pPr>
    </w:p>
    <w:p w:rsidR="000E223B" w:rsidRPr="000E223B" w:rsidRDefault="000E223B" w:rsidP="000E223B">
      <w:pPr>
        <w:spacing w:line="360" w:lineRule="auto"/>
        <w:jc w:val="both"/>
        <w:rPr>
          <w:rFonts w:ascii="Verdana" w:hAnsi="Verdana" w:cs="Times New Roman"/>
          <w:sz w:val="20"/>
          <w:szCs w:val="20"/>
          <w:lang w:val="en-US"/>
        </w:rPr>
      </w:pPr>
    </w:p>
    <w:p w:rsidR="000E223B" w:rsidRPr="000E223B" w:rsidRDefault="000E223B" w:rsidP="000E223B">
      <w:pPr>
        <w:spacing w:line="360" w:lineRule="auto"/>
        <w:jc w:val="both"/>
        <w:rPr>
          <w:rFonts w:ascii="Verdana" w:hAnsi="Verdana" w:cs="Times New Roman"/>
          <w:sz w:val="20"/>
          <w:szCs w:val="20"/>
          <w:lang w:val="en-US"/>
        </w:rPr>
      </w:pPr>
    </w:p>
    <w:p w:rsidR="000E223B" w:rsidRPr="000E223B" w:rsidRDefault="000E223B" w:rsidP="000E223B">
      <w:pPr>
        <w:spacing w:line="360" w:lineRule="auto"/>
        <w:jc w:val="both"/>
        <w:rPr>
          <w:rFonts w:ascii="Verdana" w:hAnsi="Verdana" w:cs="Times New Roman"/>
          <w:sz w:val="20"/>
          <w:szCs w:val="20"/>
          <w:lang w:val="en-US"/>
        </w:rPr>
      </w:pPr>
    </w:p>
    <w:p w:rsidR="000E223B" w:rsidRPr="000E223B" w:rsidRDefault="000E223B" w:rsidP="000E223B">
      <w:pPr>
        <w:spacing w:line="360" w:lineRule="auto"/>
        <w:jc w:val="both"/>
        <w:rPr>
          <w:rFonts w:ascii="Verdana" w:hAnsi="Verdana" w:cs="Times New Roman"/>
          <w:sz w:val="20"/>
          <w:szCs w:val="20"/>
          <w:lang w:val="en-US"/>
        </w:rPr>
      </w:pPr>
    </w:p>
    <w:p w:rsidR="000E223B" w:rsidRPr="00753959" w:rsidRDefault="000E223B" w:rsidP="000E223B">
      <w:pPr>
        <w:spacing w:line="360" w:lineRule="auto"/>
        <w:jc w:val="center"/>
        <w:rPr>
          <w:rFonts w:ascii="Verdana" w:hAnsi="Verdana" w:cs="Times New Roman"/>
          <w:sz w:val="18"/>
          <w:szCs w:val="18"/>
          <w:lang w:val="en-US"/>
        </w:rPr>
      </w:pPr>
      <w:r w:rsidRPr="00753959">
        <w:rPr>
          <w:rFonts w:ascii="Verdana" w:hAnsi="Verdana" w:cs="Times New Roman"/>
          <w:sz w:val="18"/>
          <w:szCs w:val="18"/>
          <w:lang w:val="en-US"/>
        </w:rPr>
        <w:t>Figure 6.1 Operational and market risk (Brammertz, 2012, pp. 48)</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The optimum described above differentiates between the operation part/qualitative and the risk part/quantitative. The OR quantitative, continues Brammertz (2012), is basically the market risk part, which is also the most “</w:t>
      </w:r>
      <w:r w:rsidRPr="000E223B">
        <w:rPr>
          <w:rFonts w:ascii="Verdana" w:hAnsi="Verdana" w:cs="Times New Roman"/>
          <w:i/>
          <w:sz w:val="20"/>
          <w:szCs w:val="20"/>
          <w:lang w:val="en-US"/>
        </w:rPr>
        <w:t>uncontrollable</w:t>
      </w:r>
      <w:r w:rsidRPr="000E223B">
        <w:rPr>
          <w:rFonts w:ascii="Verdana" w:hAnsi="Verdana" w:cs="Times New Roman"/>
          <w:sz w:val="20"/>
          <w:szCs w:val="20"/>
          <w:lang w:val="en-US"/>
        </w:rPr>
        <w:t xml:space="preserve">” one while the OR qualitative </w:t>
      </w:r>
      <w:r w:rsidRPr="000E223B">
        <w:rPr>
          <w:rFonts w:ascii="Verdana" w:hAnsi="Verdana" w:cs="Times New Roman"/>
          <w:sz w:val="20"/>
          <w:szCs w:val="20"/>
          <w:lang w:val="en-US"/>
        </w:rPr>
        <w:lastRenderedPageBreak/>
        <w:t>is the controllable part, which is : “</w:t>
      </w:r>
      <w:r w:rsidRPr="000E223B">
        <w:rPr>
          <w:rFonts w:ascii="Verdana" w:hAnsi="Verdana" w:cs="Times New Roman"/>
          <w:i/>
          <w:sz w:val="20"/>
          <w:szCs w:val="20"/>
          <w:lang w:val="en-US"/>
        </w:rPr>
        <w:t>the risk to build a huge organization, which has no chance of delivering due to principal flaws in data gathering processes</w:t>
      </w:r>
      <w:r w:rsidRPr="000E223B">
        <w:rPr>
          <w:rFonts w:ascii="Verdana" w:hAnsi="Verdana" w:cs="Times New Roman"/>
          <w:sz w:val="20"/>
          <w:szCs w:val="20"/>
          <w:lang w:val="en-US"/>
        </w:rPr>
        <w:t>” (Brammertz, 2012, pp.49).</w:t>
      </w:r>
    </w:p>
    <w:p w:rsidR="000E223B" w:rsidRPr="000E223B" w:rsidRDefault="000E223B" w:rsidP="000E223B">
      <w:pPr>
        <w:spacing w:line="360" w:lineRule="auto"/>
        <w:jc w:val="both"/>
        <w:rPr>
          <w:rFonts w:ascii="Verdana" w:hAnsi="Verdana" w:cs="Times New Roman"/>
          <w:sz w:val="20"/>
          <w:szCs w:val="20"/>
          <w:lang w:val="en-US"/>
        </w:rPr>
      </w:pPr>
    </w:p>
    <w:p w:rsidR="000E223B" w:rsidRPr="00FB5C1D" w:rsidRDefault="000E223B" w:rsidP="000E223B">
      <w:pPr>
        <w:pStyle w:val="Heading2"/>
        <w:spacing w:line="360" w:lineRule="auto"/>
        <w:jc w:val="both"/>
        <w:rPr>
          <w:rFonts w:ascii="Verdana" w:hAnsi="Verdana" w:cs="Times New Roman"/>
          <w:sz w:val="20"/>
          <w:szCs w:val="20"/>
        </w:rPr>
      </w:pPr>
      <w:bookmarkStart w:id="115" w:name="_Toc423597575"/>
      <w:r w:rsidRPr="00FB5C1D">
        <w:rPr>
          <w:rFonts w:ascii="Verdana" w:hAnsi="Verdana" w:cs="Times New Roman"/>
          <w:sz w:val="20"/>
          <w:szCs w:val="20"/>
        </w:rPr>
        <w:t>6.3.3 Strategic forces in financial data management</w:t>
      </w:r>
      <w:bookmarkEnd w:id="115"/>
      <w:r w:rsidRPr="00FB5C1D">
        <w:rPr>
          <w:rFonts w:ascii="Verdana" w:hAnsi="Verdana" w:cs="Times New Roman"/>
          <w:sz w:val="20"/>
          <w:szCs w:val="20"/>
        </w:rPr>
        <w:t xml:space="preserve"> </w:t>
      </w:r>
    </w:p>
    <w:p w:rsidR="000E223B" w:rsidRPr="000E223B" w:rsidRDefault="000E223B" w:rsidP="000E223B">
      <w:pPr>
        <w:spacing w:line="360" w:lineRule="auto"/>
        <w:jc w:val="both"/>
        <w:rPr>
          <w:rFonts w:ascii="Verdana" w:hAnsi="Verdana" w:cs="Times New Roman"/>
          <w:color w:val="000000"/>
          <w:sz w:val="20"/>
          <w:szCs w:val="20"/>
          <w:lang w:val="en-US"/>
        </w:rPr>
      </w:pPr>
      <w:r w:rsidRPr="000E223B">
        <w:rPr>
          <w:rFonts w:ascii="Verdana" w:hAnsi="Verdana" w:cs="Times New Roman"/>
          <w:sz w:val="20"/>
          <w:szCs w:val="20"/>
          <w:lang w:val="en-US"/>
        </w:rPr>
        <w:t xml:space="preserve">Flood, Mendelowitz and Nichols have analyzed a series </w:t>
      </w:r>
      <w:r w:rsidR="002B50DF">
        <w:rPr>
          <w:rFonts w:ascii="Verdana" w:hAnsi="Verdana" w:cs="Times New Roman"/>
          <w:sz w:val="20"/>
          <w:szCs w:val="20"/>
          <w:lang w:val="en-US"/>
        </w:rPr>
        <w:t xml:space="preserve">of </w:t>
      </w:r>
      <w:r w:rsidRPr="000E223B">
        <w:rPr>
          <w:rFonts w:ascii="Verdana" w:hAnsi="Verdana" w:cs="Times New Roman"/>
          <w:sz w:val="20"/>
          <w:szCs w:val="20"/>
          <w:lang w:val="en-US"/>
        </w:rPr>
        <w:t xml:space="preserve">data-management related issues for the regulators and market participants as they implemented the Dodd-Frank Act (DFA). The DFA is a set </w:t>
      </w:r>
      <w:r w:rsidRPr="000E223B">
        <w:rPr>
          <w:rFonts w:ascii="Verdana" w:hAnsi="Verdana" w:cs="Times New Roman"/>
          <w:color w:val="000000"/>
          <w:sz w:val="20"/>
          <w:szCs w:val="20"/>
          <w:lang w:val="en-US"/>
        </w:rPr>
        <w:t xml:space="preserve">of federal regulations intended for financial institutions and their customers which was adopted after the 2008 financial crisis in order to prevent a relapse of such magnitude (U.S. Congress, 2010). </w:t>
      </w:r>
    </w:p>
    <w:p w:rsidR="000E223B" w:rsidRPr="000E223B" w:rsidRDefault="000E223B" w:rsidP="000E223B">
      <w:pPr>
        <w:spacing w:line="360" w:lineRule="auto"/>
        <w:jc w:val="both"/>
        <w:rPr>
          <w:rFonts w:ascii="Verdana" w:hAnsi="Verdana" w:cs="Times New Roman"/>
          <w:color w:val="000000"/>
          <w:sz w:val="20"/>
          <w:szCs w:val="20"/>
          <w:lang w:val="en-US"/>
        </w:rPr>
      </w:pPr>
      <w:r w:rsidRPr="000E223B">
        <w:rPr>
          <w:rFonts w:ascii="Verdana" w:hAnsi="Verdana" w:cs="Times New Roman"/>
          <w:color w:val="000000"/>
          <w:sz w:val="20"/>
          <w:szCs w:val="20"/>
          <w:lang w:val="en-US"/>
        </w:rPr>
        <w:t xml:space="preserve">The 3 authors identified 3 </w:t>
      </w:r>
      <w:r w:rsidRPr="000E223B">
        <w:rPr>
          <w:rFonts w:ascii="Verdana" w:hAnsi="Verdana" w:cs="Times New Roman"/>
          <w:i/>
          <w:color w:val="000000"/>
          <w:sz w:val="20"/>
          <w:szCs w:val="20"/>
          <w:lang w:val="en-US"/>
        </w:rPr>
        <w:t>strategic forces</w:t>
      </w:r>
      <w:r w:rsidRPr="000E223B">
        <w:rPr>
          <w:rFonts w:ascii="Verdana" w:hAnsi="Verdana" w:cs="Times New Roman"/>
          <w:color w:val="000000"/>
          <w:sz w:val="20"/>
          <w:szCs w:val="20"/>
          <w:lang w:val="en-US"/>
        </w:rPr>
        <w:t xml:space="preserve"> which influence the work of data management financial supervisors : </w:t>
      </w:r>
      <w:r w:rsidRPr="000E223B">
        <w:rPr>
          <w:rFonts w:ascii="Verdana" w:hAnsi="Verdana" w:cs="Times New Roman"/>
          <w:i/>
          <w:color w:val="000000"/>
          <w:sz w:val="20"/>
          <w:szCs w:val="20"/>
          <w:lang w:val="en-US"/>
        </w:rPr>
        <w:t>data volumes</w:t>
      </w:r>
      <w:r w:rsidRPr="000E223B">
        <w:rPr>
          <w:rFonts w:ascii="Verdana" w:hAnsi="Verdana" w:cs="Times New Roman"/>
          <w:color w:val="000000"/>
          <w:sz w:val="20"/>
          <w:szCs w:val="20"/>
          <w:lang w:val="en-US"/>
        </w:rPr>
        <w:t xml:space="preserve">, </w:t>
      </w:r>
      <w:r w:rsidRPr="000E223B">
        <w:rPr>
          <w:rFonts w:ascii="Verdana" w:hAnsi="Verdana" w:cs="Times New Roman"/>
          <w:i/>
          <w:color w:val="000000"/>
          <w:sz w:val="20"/>
          <w:szCs w:val="20"/>
          <w:lang w:val="en-US"/>
        </w:rPr>
        <w:t>systemic monitoring</w:t>
      </w:r>
      <w:r w:rsidRPr="000E223B">
        <w:rPr>
          <w:rFonts w:ascii="Verdana" w:hAnsi="Verdana" w:cs="Times New Roman"/>
          <w:color w:val="000000"/>
          <w:sz w:val="20"/>
          <w:szCs w:val="20"/>
          <w:lang w:val="en-US"/>
        </w:rPr>
        <w:t xml:space="preserve"> and </w:t>
      </w:r>
      <w:r w:rsidRPr="000E223B">
        <w:rPr>
          <w:rFonts w:ascii="Verdana" w:hAnsi="Verdana" w:cs="Times New Roman"/>
          <w:i/>
          <w:color w:val="000000"/>
          <w:sz w:val="20"/>
          <w:szCs w:val="20"/>
          <w:lang w:val="en-US"/>
        </w:rPr>
        <w:t>cognitive capacity</w:t>
      </w:r>
      <w:r w:rsidRPr="000E223B">
        <w:rPr>
          <w:rFonts w:ascii="Verdana" w:hAnsi="Verdana" w:cs="Times New Roman"/>
          <w:color w:val="000000"/>
          <w:sz w:val="20"/>
          <w:szCs w:val="20"/>
          <w:lang w:val="en-US"/>
        </w:rPr>
        <w:t xml:space="preserve">. </w:t>
      </w:r>
    </w:p>
    <w:p w:rsidR="000E223B" w:rsidRPr="000E223B" w:rsidRDefault="000E223B" w:rsidP="000E223B">
      <w:pPr>
        <w:spacing w:line="360" w:lineRule="auto"/>
        <w:jc w:val="both"/>
        <w:rPr>
          <w:rFonts w:ascii="Verdana" w:hAnsi="Verdana" w:cs="Times New Roman"/>
          <w:color w:val="000000"/>
          <w:sz w:val="20"/>
          <w:szCs w:val="20"/>
          <w:lang w:val="en-US"/>
        </w:rPr>
      </w:pPr>
      <w:r w:rsidRPr="000E223B">
        <w:rPr>
          <w:rFonts w:ascii="Verdana" w:hAnsi="Verdana" w:cs="Times New Roman"/>
          <w:color w:val="000000"/>
          <w:sz w:val="20"/>
          <w:szCs w:val="20"/>
          <w:u w:val="single"/>
          <w:lang w:val="en-US"/>
        </w:rPr>
        <w:t>Data volumes</w:t>
      </w:r>
      <w:r w:rsidRPr="000E223B">
        <w:rPr>
          <w:rFonts w:ascii="Verdana" w:hAnsi="Verdana" w:cs="Times New Roman"/>
          <w:color w:val="000000"/>
          <w:sz w:val="20"/>
          <w:szCs w:val="20"/>
          <w:lang w:val="en-US"/>
        </w:rPr>
        <w:t xml:space="preserve"> for financial markets are growing exponentially as a coordination between back and front offices of trading firms is increasingly needed. In order to efficiently deal with increasing data volumes and types, Flood et al. (2010) recommend the transfer of evolving practices from other industries. </w:t>
      </w:r>
    </w:p>
    <w:p w:rsidR="000E223B" w:rsidRPr="000E223B" w:rsidRDefault="000E223B" w:rsidP="000E223B">
      <w:pPr>
        <w:spacing w:line="360" w:lineRule="auto"/>
        <w:jc w:val="both"/>
        <w:rPr>
          <w:rFonts w:ascii="Verdana" w:hAnsi="Verdana" w:cs="Times New Roman"/>
          <w:color w:val="000000"/>
          <w:sz w:val="20"/>
          <w:szCs w:val="20"/>
          <w:lang w:val="en-US"/>
        </w:rPr>
      </w:pPr>
      <w:r w:rsidRPr="000E223B">
        <w:rPr>
          <w:rFonts w:ascii="Verdana" w:hAnsi="Verdana" w:cs="Times New Roman"/>
          <w:color w:val="000000"/>
          <w:sz w:val="20"/>
          <w:szCs w:val="20"/>
          <w:u w:val="single"/>
          <w:lang w:val="en-US"/>
        </w:rPr>
        <w:t xml:space="preserve">Systemic monitoring </w:t>
      </w:r>
      <w:r w:rsidRPr="000E223B">
        <w:rPr>
          <w:rFonts w:ascii="Verdana" w:hAnsi="Verdana" w:cs="Times New Roman"/>
          <w:color w:val="000000"/>
          <w:sz w:val="20"/>
          <w:szCs w:val="20"/>
          <w:lang w:val="en-US"/>
        </w:rPr>
        <w:t>forces for a different angle of approach between firms and markets across the financial system and</w:t>
      </w:r>
      <w:r w:rsidR="002B50DF">
        <w:rPr>
          <w:rFonts w:ascii="Verdana" w:hAnsi="Verdana" w:cs="Times New Roman"/>
          <w:color w:val="000000"/>
          <w:sz w:val="20"/>
          <w:szCs w:val="20"/>
          <w:lang w:val="en-US"/>
        </w:rPr>
        <w:t>,</w:t>
      </w:r>
      <w:r w:rsidRPr="000E223B">
        <w:rPr>
          <w:rFonts w:ascii="Verdana" w:hAnsi="Verdana" w:cs="Times New Roman"/>
          <w:color w:val="000000"/>
          <w:sz w:val="20"/>
          <w:szCs w:val="20"/>
          <w:lang w:val="en-US"/>
        </w:rPr>
        <w:t xml:space="preserve"> in particular, it challenges the bilateral and multilateral contractual relationships between the network of market participants. </w:t>
      </w:r>
    </w:p>
    <w:p w:rsidR="000E223B" w:rsidRPr="000E223B" w:rsidRDefault="000E223B" w:rsidP="000E223B">
      <w:pPr>
        <w:spacing w:line="360" w:lineRule="auto"/>
        <w:jc w:val="both"/>
        <w:rPr>
          <w:rFonts w:ascii="Verdana" w:hAnsi="Verdana" w:cs="Times New Roman"/>
          <w:sz w:val="20"/>
          <w:szCs w:val="20"/>
          <w:u w:val="single"/>
          <w:lang w:val="en-US"/>
        </w:rPr>
      </w:pPr>
      <w:r w:rsidRPr="000E223B">
        <w:rPr>
          <w:rFonts w:ascii="Verdana" w:hAnsi="Verdana" w:cs="Times New Roman"/>
          <w:color w:val="000000"/>
          <w:sz w:val="20"/>
          <w:szCs w:val="20"/>
          <w:lang w:val="en-US"/>
        </w:rPr>
        <w:t xml:space="preserve">Building a </w:t>
      </w:r>
      <w:r w:rsidRPr="000E223B">
        <w:rPr>
          <w:rFonts w:ascii="Verdana" w:hAnsi="Verdana" w:cs="Times New Roman"/>
          <w:color w:val="000000"/>
          <w:sz w:val="20"/>
          <w:szCs w:val="20"/>
          <w:u w:val="single"/>
          <w:lang w:val="en-US"/>
        </w:rPr>
        <w:t>cognitive capacity</w:t>
      </w:r>
      <w:r w:rsidRPr="000E223B">
        <w:rPr>
          <w:rFonts w:ascii="Verdana" w:hAnsi="Verdana" w:cs="Times New Roman"/>
          <w:color w:val="000000"/>
          <w:sz w:val="20"/>
          <w:szCs w:val="20"/>
          <w:lang w:val="en-US"/>
        </w:rPr>
        <w:t xml:space="preserve"> calls for a combination of “</w:t>
      </w:r>
      <w:r w:rsidRPr="000E223B">
        <w:rPr>
          <w:rFonts w:ascii="Verdana" w:hAnsi="Verdana" w:cs="Times New Roman"/>
          <w:i/>
          <w:color w:val="000000"/>
          <w:sz w:val="20"/>
          <w:szCs w:val="20"/>
          <w:lang w:val="en-US"/>
        </w:rPr>
        <w:t>situational awareness of the financial system</w:t>
      </w:r>
      <w:r w:rsidRPr="000E223B">
        <w:rPr>
          <w:rFonts w:ascii="Verdana" w:hAnsi="Verdana" w:cs="Times New Roman"/>
          <w:color w:val="000000"/>
          <w:sz w:val="20"/>
          <w:szCs w:val="20"/>
          <w:lang w:val="en-US"/>
        </w:rPr>
        <w:t>”, “</w:t>
      </w:r>
      <w:r w:rsidRPr="000E223B">
        <w:rPr>
          <w:rFonts w:ascii="Verdana" w:hAnsi="Verdana" w:cs="Times New Roman"/>
          <w:i/>
          <w:color w:val="000000"/>
          <w:sz w:val="20"/>
          <w:szCs w:val="20"/>
          <w:lang w:val="en-US"/>
        </w:rPr>
        <w:t>decision support for policymakers</w:t>
      </w:r>
      <w:r w:rsidRPr="000E223B">
        <w:rPr>
          <w:rFonts w:ascii="Verdana" w:hAnsi="Verdana" w:cs="Times New Roman"/>
          <w:color w:val="000000"/>
          <w:sz w:val="20"/>
          <w:szCs w:val="20"/>
          <w:lang w:val="en-US"/>
        </w:rPr>
        <w:t>” and “</w:t>
      </w:r>
      <w:r w:rsidRPr="000E223B">
        <w:rPr>
          <w:rFonts w:ascii="Verdana" w:hAnsi="Verdana" w:cs="Times New Roman"/>
          <w:i/>
          <w:color w:val="000000"/>
          <w:sz w:val="20"/>
          <w:szCs w:val="20"/>
          <w:lang w:val="en-US"/>
        </w:rPr>
        <w:t>crisis response capability</w:t>
      </w:r>
      <w:r w:rsidRPr="000E223B">
        <w:rPr>
          <w:rFonts w:ascii="Verdana" w:hAnsi="Verdana" w:cs="Times New Roman"/>
          <w:color w:val="000000"/>
          <w:sz w:val="20"/>
          <w:szCs w:val="20"/>
          <w:lang w:val="en-US"/>
        </w:rPr>
        <w:t xml:space="preserve">”. </w:t>
      </w:r>
      <w:r w:rsidRPr="000E223B">
        <w:rPr>
          <w:rFonts w:ascii="Verdana" w:hAnsi="Verdana" w:cs="Times New Roman"/>
          <w:color w:val="000000"/>
          <w:sz w:val="20"/>
          <w:szCs w:val="20"/>
          <w:u w:val="single"/>
          <w:lang w:val="en-US"/>
        </w:rPr>
        <w:br/>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The last 2 strategic forces look at the data management challenge from a macro- prudential scale where data validation and risk notions expand from the micro-firm level where a  firm is regarded as an island shielded by unpredictable random shocks to disintermediation where the network of relationships across entities cannot be underestimated (Flood et al., 2012).</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While we acknowledge the importance of looking at activities of data validation, classification, filtering or lineage across financial entities and their intermediaries, the purpose of our research is narrowed to an analysis at a micro-prudential scale and more specifically, at a firm level. We are interested in analyzing data gathering processes at an organizational level because the aggregation of these organizational levels will allow, we believe, to gather a global picture- albeit, non-systemic- of how the financial entities perform singularly in data governance programs. Aggregating information across </w:t>
      </w:r>
      <w:r w:rsidRPr="000E223B">
        <w:rPr>
          <w:rFonts w:ascii="Verdana" w:hAnsi="Verdana" w:cs="Times New Roman"/>
          <w:sz w:val="20"/>
          <w:szCs w:val="20"/>
          <w:lang w:val="en-US"/>
        </w:rPr>
        <w:lastRenderedPageBreak/>
        <w:t>financial entities will then be simplified if</w:t>
      </w:r>
      <w:r w:rsidR="002B50DF">
        <w:rPr>
          <w:rFonts w:ascii="Verdana" w:hAnsi="Verdana" w:cs="Times New Roman"/>
          <w:sz w:val="20"/>
          <w:szCs w:val="20"/>
          <w:lang w:val="en-US"/>
        </w:rPr>
        <w:t xml:space="preserve"> each participant uses the same</w:t>
      </w:r>
      <w:r w:rsidRPr="000E223B">
        <w:rPr>
          <w:rFonts w:ascii="Verdana" w:hAnsi="Verdana" w:cs="Times New Roman"/>
          <w:sz w:val="20"/>
          <w:szCs w:val="20"/>
          <w:lang w:val="en-US"/>
        </w:rPr>
        <w:t xml:space="preserve"> standard framework for data governance practices.   </w:t>
      </w:r>
    </w:p>
    <w:p w:rsidR="000E223B" w:rsidRPr="000E223B" w:rsidRDefault="000E223B" w:rsidP="000E223B">
      <w:pPr>
        <w:spacing w:line="360" w:lineRule="auto"/>
        <w:jc w:val="both"/>
        <w:rPr>
          <w:rFonts w:ascii="Verdana" w:hAnsi="Verdana" w:cs="Times New Roman"/>
          <w:sz w:val="20"/>
          <w:szCs w:val="20"/>
          <w:lang w:val="en-US"/>
        </w:rPr>
      </w:pPr>
    </w:p>
    <w:p w:rsidR="000E223B" w:rsidRPr="00FB5C1D" w:rsidRDefault="000E223B" w:rsidP="000E223B">
      <w:pPr>
        <w:pStyle w:val="Heading2"/>
        <w:spacing w:line="360" w:lineRule="auto"/>
        <w:jc w:val="both"/>
        <w:rPr>
          <w:rFonts w:ascii="Verdana" w:hAnsi="Verdana" w:cs="Times New Roman"/>
          <w:sz w:val="20"/>
          <w:szCs w:val="20"/>
        </w:rPr>
      </w:pPr>
      <w:bookmarkStart w:id="116" w:name="_Toc423597576"/>
      <w:r w:rsidRPr="00FB5C1D">
        <w:rPr>
          <w:rFonts w:ascii="Verdana" w:hAnsi="Verdana" w:cs="Times New Roman"/>
          <w:sz w:val="20"/>
          <w:szCs w:val="20"/>
        </w:rPr>
        <w:t>6.3.4 Data management at a micro-prudential scale</w:t>
      </w:r>
      <w:bookmarkEnd w:id="116"/>
      <w:r w:rsidRPr="00FB5C1D">
        <w:rPr>
          <w:rFonts w:ascii="Verdana" w:hAnsi="Verdana" w:cs="Times New Roman"/>
          <w:sz w:val="20"/>
          <w:szCs w:val="20"/>
        </w:rPr>
        <w:t xml:space="preserve"> </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Analyzing procedures at a firm level reveals that accounting practices are still the most widely used framework for assessing a firms financial risk through its recorded assets and liabilities on the balance sheet (Flood et al., 2012). These measures, they continue, also appear in most models used for risk management practices such as : </w:t>
      </w:r>
      <w:r w:rsidRPr="002B50DF">
        <w:rPr>
          <w:rFonts w:ascii="Verdana" w:hAnsi="Verdana" w:cs="Times New Roman"/>
          <w:i/>
          <w:sz w:val="20"/>
          <w:szCs w:val="20"/>
          <w:lang w:val="en-US"/>
        </w:rPr>
        <w:t>value at risk (VaR)</w:t>
      </w:r>
      <w:r w:rsidRPr="000E223B">
        <w:rPr>
          <w:rFonts w:ascii="Verdana" w:hAnsi="Verdana" w:cs="Times New Roman"/>
          <w:sz w:val="20"/>
          <w:szCs w:val="20"/>
          <w:lang w:val="en-US"/>
        </w:rPr>
        <w:t xml:space="preserve">,or </w:t>
      </w:r>
      <w:r w:rsidRPr="002B50DF">
        <w:rPr>
          <w:rFonts w:ascii="Verdana" w:hAnsi="Verdana" w:cs="Times New Roman"/>
          <w:i/>
          <w:sz w:val="20"/>
          <w:szCs w:val="20"/>
          <w:lang w:val="en-US"/>
        </w:rPr>
        <w:t>economic value of equity (EVE or risk-weighted assets (RWA)</w:t>
      </w:r>
      <w:r w:rsidRPr="000E223B">
        <w:rPr>
          <w:rFonts w:ascii="Verdana" w:hAnsi="Verdana" w:cs="Times New Roman"/>
          <w:sz w:val="20"/>
          <w:szCs w:val="20"/>
          <w:lang w:val="en-US"/>
        </w:rPr>
        <w:t>). The problem with a firm-level view is that it does not take into account how aggregate imbalances across firms combine to create systemic risk (“</w:t>
      </w:r>
      <w:r w:rsidRPr="000E223B">
        <w:rPr>
          <w:rFonts w:ascii="Verdana" w:hAnsi="Verdana" w:cs="Times New Roman"/>
          <w:i/>
          <w:sz w:val="20"/>
          <w:szCs w:val="20"/>
          <w:lang w:val="en-US"/>
        </w:rPr>
        <w:t>the volatility paradox</w:t>
      </w:r>
      <w:r w:rsidRPr="000E223B">
        <w:rPr>
          <w:rFonts w:ascii="Verdana" w:hAnsi="Verdana" w:cs="Times New Roman"/>
          <w:sz w:val="20"/>
          <w:szCs w:val="20"/>
          <w:lang w:val="en-US"/>
        </w:rPr>
        <w:t xml:space="preserve">”). </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Micro-level innovations (such as, for example, the growth in derivatives market or the expansion of the trading and securitization markets), while highly regarded and encouraged, bring new types of contracts which originally are viewed as favorable and novel. However, Flood et al.(2012) show that the implications of the data management practices associated with this kind of innovations are often overlooked because of a lack of coordination between the back and front-office : innovations typically come from the front office without a solid back-office infrastructure to support them.  </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Scalability of data management practices is also one of the challenges for regular supervision, as, aside from growing volumes of data, data validity is of crucial importance for the financial sector : compared to the general internet data traffic, signal redundancy is not as common when it comes to financial transactions because a few corrupted digits in such a transaction could significantly alter the intrinsic value of it (Flood et al., 2012). </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So far, traditional financial supervision has been firm-centric while financial information has expanded faster than the technologies needed to manage and track it (Lemieux, 2012). Managing the relationship between firms and markets across the financial sector requires systemic data collection across financial entities in a framework designed with the proper amount of governance : over-regulating bogs the system into heavy red-tape while under-regulating diminishes transparency practices (Lemieux, 2012).</w:t>
      </w:r>
    </w:p>
    <w:p w:rsidR="000E223B" w:rsidRPr="000E223B" w:rsidRDefault="000E223B" w:rsidP="000E223B">
      <w:pPr>
        <w:spacing w:line="360" w:lineRule="auto"/>
        <w:jc w:val="both"/>
        <w:rPr>
          <w:rFonts w:ascii="Verdana" w:hAnsi="Verdana" w:cs="Times New Roman"/>
          <w:sz w:val="20"/>
          <w:szCs w:val="20"/>
          <w:lang w:val="en-US"/>
        </w:rPr>
      </w:pPr>
    </w:p>
    <w:p w:rsidR="000E223B" w:rsidRPr="00FB5C1D" w:rsidRDefault="000E223B" w:rsidP="000E223B">
      <w:pPr>
        <w:pStyle w:val="Heading2"/>
        <w:spacing w:line="360" w:lineRule="auto"/>
        <w:jc w:val="both"/>
        <w:rPr>
          <w:rFonts w:ascii="Verdana" w:hAnsi="Verdana" w:cs="Times New Roman"/>
          <w:sz w:val="20"/>
          <w:szCs w:val="20"/>
        </w:rPr>
      </w:pPr>
      <w:bookmarkStart w:id="117" w:name="_Toc423597577"/>
      <w:r w:rsidRPr="00FB5C1D">
        <w:rPr>
          <w:rFonts w:ascii="Verdana" w:hAnsi="Verdana" w:cs="Times New Roman"/>
          <w:sz w:val="20"/>
          <w:szCs w:val="20"/>
        </w:rPr>
        <w:lastRenderedPageBreak/>
        <w:t>6.3.5 Basel III Principles for Effective Risk Data Aggregation and Risk Reporting</w:t>
      </w:r>
      <w:bookmarkEnd w:id="117"/>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Basel III is a regulatory framework released by the Basel C</w:t>
      </w:r>
      <w:r w:rsidR="002B50DF">
        <w:rPr>
          <w:rFonts w:ascii="Verdana" w:hAnsi="Verdana" w:cs="Times New Roman"/>
          <w:sz w:val="20"/>
          <w:szCs w:val="20"/>
          <w:lang w:val="en-US"/>
        </w:rPr>
        <w:t>ommittee on Banking Supervision</w:t>
      </w:r>
      <w:r w:rsidRPr="000E223B">
        <w:rPr>
          <w:rFonts w:ascii="Verdana" w:hAnsi="Verdana" w:cs="Times New Roman"/>
          <w:sz w:val="20"/>
          <w:szCs w:val="20"/>
          <w:lang w:val="en-US"/>
        </w:rPr>
        <w:t xml:space="preserve"> which contains rules and guidelines</w:t>
      </w:r>
      <w:r w:rsidR="002B50DF">
        <w:rPr>
          <w:rFonts w:ascii="Verdana" w:hAnsi="Verdana" w:cs="Times New Roman"/>
          <w:sz w:val="20"/>
          <w:szCs w:val="20"/>
          <w:lang w:val="en-US"/>
        </w:rPr>
        <w:t xml:space="preserve"> </w:t>
      </w:r>
      <w:r w:rsidRPr="000E223B">
        <w:rPr>
          <w:rFonts w:ascii="Verdana" w:hAnsi="Verdana" w:cs="Times New Roman"/>
          <w:sz w:val="20"/>
          <w:szCs w:val="20"/>
          <w:lang w:val="en-US"/>
        </w:rPr>
        <w:t xml:space="preserve">to reinforce and protect the global banking sector of a similar economic crisis as the one of 2007-2008 (Kindler, 2013). </w:t>
      </w:r>
      <w:r w:rsidR="002B50DF">
        <w:rPr>
          <w:rFonts w:ascii="Verdana" w:hAnsi="Verdana" w:cs="Times New Roman"/>
          <w:sz w:val="20"/>
          <w:szCs w:val="20"/>
          <w:lang w:val="en-US"/>
        </w:rPr>
        <w:t xml:space="preserve">The framework is due for implementation in 2016. </w:t>
      </w:r>
      <w:r w:rsidRPr="000E223B">
        <w:rPr>
          <w:rFonts w:ascii="Verdana" w:hAnsi="Verdana" w:cs="Times New Roman"/>
          <w:sz w:val="20"/>
          <w:szCs w:val="20"/>
          <w:lang w:val="en-US"/>
        </w:rPr>
        <w:t xml:space="preserve">The difference with the Dodd-Frank act mentioned previously, is that Basel III requirements apply at a global level for the banking sector while the Dodd-Frank act affects only U.S. institutions (Barnard &amp; Avery, 2011). </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While Basel III has been mostly focused on calculations and computing for proper capital management by better controlling a bank’s capital requirements, in January 2013, the Basel Committee introduced new guidelines regarding risk data aggregation and analysis in a document called : “</w:t>
      </w:r>
      <w:r w:rsidRPr="000E223B">
        <w:rPr>
          <w:rFonts w:ascii="Verdana" w:hAnsi="Verdana" w:cs="Times New Roman"/>
          <w:i/>
          <w:sz w:val="20"/>
          <w:szCs w:val="20"/>
          <w:lang w:val="en-US"/>
        </w:rPr>
        <w:t>Principles for Effective Risk Data Aggregation and Risk Reporting</w:t>
      </w:r>
      <w:r w:rsidRPr="000E223B">
        <w:rPr>
          <w:rFonts w:ascii="Verdana" w:hAnsi="Verdana" w:cs="Times New Roman"/>
          <w:sz w:val="20"/>
          <w:szCs w:val="20"/>
          <w:lang w:val="en-US"/>
        </w:rPr>
        <w:t xml:space="preserve">” (Basel Committee on Banking Supervision, 2013). The purpose of these guiding principles is to enable a quick functional access to information by accurately aggregating the information needed to respond correctly in a crisis situation (Flood et al., 2012; Kindler, 2013). The importance of such practices is highlighted by the following introductory </w:t>
      </w:r>
      <w:r w:rsidR="002B50DF">
        <w:rPr>
          <w:rFonts w:ascii="Verdana" w:hAnsi="Verdana" w:cs="Times New Roman"/>
          <w:sz w:val="20"/>
          <w:szCs w:val="20"/>
          <w:lang w:val="en-US"/>
        </w:rPr>
        <w:t>sentence</w:t>
      </w:r>
      <w:r w:rsidRPr="000E223B">
        <w:rPr>
          <w:rFonts w:ascii="Verdana" w:hAnsi="Verdana" w:cs="Times New Roman"/>
          <w:sz w:val="20"/>
          <w:szCs w:val="20"/>
          <w:lang w:val="en-US"/>
        </w:rPr>
        <w:t>:  “</w:t>
      </w:r>
      <w:r w:rsidRPr="000E223B">
        <w:rPr>
          <w:rFonts w:ascii="Verdana" w:hAnsi="Verdana" w:cs="Times New Roman"/>
          <w:i/>
          <w:sz w:val="20"/>
          <w:szCs w:val="20"/>
          <w:lang w:val="en-US"/>
        </w:rPr>
        <w:t>One of the most significant lessons learned from the global financial crisis that began in 2007 was that banks’ information technology (IT) and data architectures were inadequate to support the broad management of financial risks</w:t>
      </w:r>
      <w:r w:rsidRPr="000E223B">
        <w:rPr>
          <w:rFonts w:ascii="Verdana" w:hAnsi="Verdana" w:cs="Times New Roman"/>
          <w:sz w:val="20"/>
          <w:szCs w:val="20"/>
          <w:lang w:val="en-US"/>
        </w:rPr>
        <w:t>”(Basel Committee on Banking Supervision, 2013, pp.8).</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The main principles outlined by the Basel Committee on Banking supervision</w:t>
      </w:r>
      <w:r w:rsidR="00327184">
        <w:rPr>
          <w:rFonts w:ascii="Verdana" w:hAnsi="Verdana" w:cs="Times New Roman"/>
          <w:sz w:val="20"/>
          <w:szCs w:val="20"/>
          <w:lang w:val="en-US"/>
        </w:rPr>
        <w:t xml:space="preserve"> (2013)</w:t>
      </w:r>
      <w:r w:rsidRPr="000E223B">
        <w:rPr>
          <w:rFonts w:ascii="Verdana" w:hAnsi="Verdana" w:cs="Times New Roman"/>
          <w:sz w:val="20"/>
          <w:szCs w:val="20"/>
          <w:lang w:val="en-US"/>
        </w:rPr>
        <w:t xml:space="preserve"> regarding practices of risk data agg</w:t>
      </w:r>
      <w:r w:rsidR="00327184">
        <w:rPr>
          <w:rFonts w:ascii="Verdana" w:hAnsi="Verdana" w:cs="Times New Roman"/>
          <w:sz w:val="20"/>
          <w:szCs w:val="20"/>
          <w:lang w:val="en-US"/>
        </w:rPr>
        <w:t xml:space="preserve">regation and risk reporting are: </w:t>
      </w:r>
      <w:r w:rsidRPr="000E223B">
        <w:rPr>
          <w:rFonts w:ascii="Verdana" w:hAnsi="Verdana" w:cs="Times New Roman"/>
          <w:sz w:val="20"/>
          <w:szCs w:val="20"/>
          <w:lang w:val="en-US"/>
        </w:rPr>
        <w:t>(some principles are out of scope here, so we choose to mention only the ones which will be referenced later on):</w:t>
      </w:r>
    </w:p>
    <w:p w:rsidR="000E223B" w:rsidRPr="00FB5C1D" w:rsidRDefault="000E223B" w:rsidP="000E223B">
      <w:pPr>
        <w:pStyle w:val="ListParagraph"/>
        <w:numPr>
          <w:ilvl w:val="0"/>
          <w:numId w:val="38"/>
        </w:numPr>
        <w:spacing w:line="360" w:lineRule="auto"/>
        <w:ind w:left="0" w:firstLine="567"/>
        <w:jc w:val="both"/>
        <w:rPr>
          <w:rFonts w:ascii="Verdana" w:hAnsi="Verdana" w:cs="Times New Roman"/>
          <w:sz w:val="20"/>
          <w:szCs w:val="20"/>
        </w:rPr>
      </w:pPr>
      <w:r w:rsidRPr="00FB5C1D">
        <w:rPr>
          <w:rFonts w:ascii="Verdana" w:hAnsi="Verdana" w:cs="Times New Roman"/>
          <w:sz w:val="20"/>
          <w:szCs w:val="20"/>
        </w:rPr>
        <w:t>Governance;</w:t>
      </w:r>
    </w:p>
    <w:p w:rsidR="000E223B" w:rsidRPr="00FB5C1D" w:rsidRDefault="000E223B" w:rsidP="000E223B">
      <w:pPr>
        <w:pStyle w:val="ListParagraph"/>
        <w:numPr>
          <w:ilvl w:val="0"/>
          <w:numId w:val="38"/>
        </w:numPr>
        <w:spacing w:line="360" w:lineRule="auto"/>
        <w:ind w:left="0" w:firstLine="567"/>
        <w:jc w:val="both"/>
        <w:rPr>
          <w:rFonts w:ascii="Verdana" w:hAnsi="Verdana" w:cs="Times New Roman"/>
          <w:sz w:val="20"/>
          <w:szCs w:val="20"/>
        </w:rPr>
      </w:pPr>
      <w:r w:rsidRPr="00FB5C1D">
        <w:rPr>
          <w:rFonts w:ascii="Verdana" w:hAnsi="Verdana" w:cs="Times New Roman"/>
          <w:sz w:val="20"/>
          <w:szCs w:val="20"/>
        </w:rPr>
        <w:t>Data architecture and IT infrastructure;</w:t>
      </w:r>
    </w:p>
    <w:p w:rsidR="000E223B" w:rsidRPr="00FB5C1D" w:rsidRDefault="000E223B" w:rsidP="000E223B">
      <w:pPr>
        <w:pStyle w:val="ListParagraph"/>
        <w:numPr>
          <w:ilvl w:val="0"/>
          <w:numId w:val="37"/>
        </w:numPr>
        <w:spacing w:line="360" w:lineRule="auto"/>
        <w:ind w:left="0" w:firstLine="567"/>
        <w:jc w:val="both"/>
        <w:rPr>
          <w:rFonts w:ascii="Verdana" w:hAnsi="Verdana" w:cs="Times New Roman"/>
          <w:sz w:val="20"/>
          <w:szCs w:val="20"/>
        </w:rPr>
      </w:pPr>
      <w:r w:rsidRPr="00FB5C1D">
        <w:rPr>
          <w:rFonts w:ascii="Verdana" w:hAnsi="Verdana" w:cs="Times New Roman"/>
          <w:sz w:val="20"/>
          <w:szCs w:val="20"/>
        </w:rPr>
        <w:t>Accuracy and integrity: data should be aggregated on a largely automated basis to prevent errors;</w:t>
      </w:r>
    </w:p>
    <w:p w:rsidR="000E223B" w:rsidRPr="00FB5C1D" w:rsidRDefault="000E223B" w:rsidP="000E223B">
      <w:pPr>
        <w:pStyle w:val="ListParagraph"/>
        <w:numPr>
          <w:ilvl w:val="0"/>
          <w:numId w:val="37"/>
        </w:numPr>
        <w:spacing w:line="360" w:lineRule="auto"/>
        <w:ind w:left="0" w:firstLine="567"/>
        <w:jc w:val="both"/>
        <w:rPr>
          <w:rFonts w:ascii="Verdana" w:hAnsi="Verdana" w:cs="Times New Roman"/>
          <w:sz w:val="20"/>
          <w:szCs w:val="20"/>
        </w:rPr>
      </w:pPr>
      <w:r w:rsidRPr="00FB5C1D">
        <w:rPr>
          <w:rFonts w:ascii="Verdana" w:hAnsi="Verdana" w:cs="Times New Roman"/>
          <w:sz w:val="20"/>
          <w:szCs w:val="20"/>
        </w:rPr>
        <w:t>Completeness of data : all aggregate material risk data should be available</w:t>
      </w:r>
    </w:p>
    <w:p w:rsidR="000E223B" w:rsidRPr="00FB5C1D" w:rsidRDefault="000E223B" w:rsidP="000E223B">
      <w:pPr>
        <w:pStyle w:val="ListParagraph"/>
        <w:spacing w:line="360" w:lineRule="auto"/>
        <w:ind w:left="0"/>
        <w:jc w:val="both"/>
        <w:rPr>
          <w:rFonts w:ascii="Verdana" w:hAnsi="Verdana" w:cs="Times New Roman"/>
          <w:sz w:val="20"/>
          <w:szCs w:val="20"/>
        </w:rPr>
      </w:pPr>
      <w:r w:rsidRPr="00FB5C1D">
        <w:rPr>
          <w:rFonts w:ascii="Verdana" w:hAnsi="Verdana" w:cs="Times New Roman"/>
          <w:sz w:val="20"/>
          <w:szCs w:val="20"/>
        </w:rPr>
        <w:t>across all possible hierarchies allowing for the timely identification of risk;</w:t>
      </w:r>
    </w:p>
    <w:p w:rsidR="000E223B" w:rsidRPr="00FB5C1D" w:rsidRDefault="000E223B" w:rsidP="000E223B">
      <w:pPr>
        <w:pStyle w:val="ListParagraph"/>
        <w:numPr>
          <w:ilvl w:val="0"/>
          <w:numId w:val="37"/>
        </w:numPr>
        <w:spacing w:line="360" w:lineRule="auto"/>
        <w:ind w:left="0" w:firstLine="567"/>
        <w:jc w:val="both"/>
        <w:rPr>
          <w:rFonts w:ascii="Verdana" w:hAnsi="Verdana" w:cs="Times New Roman"/>
          <w:sz w:val="20"/>
          <w:szCs w:val="20"/>
        </w:rPr>
      </w:pPr>
      <w:r w:rsidRPr="00FB5C1D">
        <w:rPr>
          <w:rFonts w:ascii="Verdana" w:hAnsi="Verdana" w:cs="Times New Roman"/>
          <w:sz w:val="20"/>
          <w:szCs w:val="20"/>
        </w:rPr>
        <w:t>Accessibility : access available to current and historical data;</w:t>
      </w:r>
    </w:p>
    <w:p w:rsidR="000E223B" w:rsidRPr="00FB5C1D" w:rsidRDefault="000E223B" w:rsidP="000E223B">
      <w:pPr>
        <w:pStyle w:val="ListParagraph"/>
        <w:numPr>
          <w:ilvl w:val="0"/>
          <w:numId w:val="37"/>
        </w:numPr>
        <w:spacing w:line="360" w:lineRule="auto"/>
        <w:ind w:left="0" w:firstLine="567"/>
        <w:jc w:val="both"/>
        <w:rPr>
          <w:rFonts w:ascii="Verdana" w:hAnsi="Verdana" w:cs="Times New Roman"/>
          <w:sz w:val="20"/>
          <w:szCs w:val="20"/>
        </w:rPr>
      </w:pPr>
      <w:r w:rsidRPr="00FB5C1D">
        <w:rPr>
          <w:rFonts w:ascii="Verdana" w:hAnsi="Verdana" w:cs="Times New Roman"/>
          <w:sz w:val="20"/>
          <w:szCs w:val="20"/>
        </w:rPr>
        <w:t>Adaptability : allow for on-demand, ad-hoc risk management reporting requests;</w:t>
      </w:r>
    </w:p>
    <w:p w:rsidR="000E223B" w:rsidRPr="00FB5C1D" w:rsidRDefault="000E223B" w:rsidP="000E223B">
      <w:pPr>
        <w:pStyle w:val="ListParagraph"/>
        <w:numPr>
          <w:ilvl w:val="0"/>
          <w:numId w:val="37"/>
        </w:numPr>
        <w:spacing w:line="360" w:lineRule="auto"/>
        <w:ind w:left="0" w:firstLine="567"/>
        <w:jc w:val="both"/>
        <w:rPr>
          <w:rFonts w:ascii="Verdana" w:hAnsi="Verdana" w:cs="Times New Roman"/>
          <w:sz w:val="20"/>
          <w:szCs w:val="20"/>
        </w:rPr>
      </w:pPr>
      <w:r w:rsidRPr="00FB5C1D">
        <w:rPr>
          <w:rFonts w:ascii="Verdana" w:hAnsi="Verdana" w:cs="Times New Roman"/>
          <w:sz w:val="20"/>
          <w:szCs w:val="20"/>
        </w:rPr>
        <w:t>Comprehensiveness : depth and scope of risk management reports should be coherent with the size and complexity of a bank’s operations;</w:t>
      </w:r>
    </w:p>
    <w:p w:rsidR="000E223B" w:rsidRPr="00FB5C1D" w:rsidRDefault="000E223B" w:rsidP="000E223B">
      <w:pPr>
        <w:pStyle w:val="ListParagraph"/>
        <w:numPr>
          <w:ilvl w:val="0"/>
          <w:numId w:val="37"/>
        </w:numPr>
        <w:spacing w:line="360" w:lineRule="auto"/>
        <w:ind w:left="0" w:firstLine="567"/>
        <w:jc w:val="both"/>
        <w:rPr>
          <w:rFonts w:ascii="Verdana" w:hAnsi="Verdana" w:cs="Times New Roman"/>
          <w:sz w:val="20"/>
          <w:szCs w:val="20"/>
        </w:rPr>
      </w:pPr>
      <w:r w:rsidRPr="00FB5C1D">
        <w:rPr>
          <w:rFonts w:ascii="Verdana" w:hAnsi="Verdana" w:cs="Times New Roman"/>
          <w:sz w:val="20"/>
          <w:szCs w:val="20"/>
        </w:rPr>
        <w:t xml:space="preserve">Timeliness : generate and update risk reports in a timely fashion; </w:t>
      </w:r>
    </w:p>
    <w:p w:rsidR="000E223B" w:rsidRPr="00FB5C1D" w:rsidRDefault="000E223B" w:rsidP="000E223B">
      <w:pPr>
        <w:pStyle w:val="ListParagraph"/>
        <w:numPr>
          <w:ilvl w:val="0"/>
          <w:numId w:val="37"/>
        </w:numPr>
        <w:spacing w:line="360" w:lineRule="auto"/>
        <w:ind w:left="0" w:firstLine="567"/>
        <w:jc w:val="both"/>
        <w:rPr>
          <w:rFonts w:ascii="Verdana" w:hAnsi="Verdana" w:cs="Times New Roman"/>
          <w:sz w:val="20"/>
          <w:szCs w:val="20"/>
        </w:rPr>
      </w:pPr>
      <w:r w:rsidRPr="00FB5C1D">
        <w:rPr>
          <w:rFonts w:ascii="Verdana" w:hAnsi="Verdana" w:cs="Times New Roman"/>
          <w:sz w:val="20"/>
          <w:szCs w:val="20"/>
        </w:rPr>
        <w:lastRenderedPageBreak/>
        <w:t>Frequency : of reports per types of risk identified;</w:t>
      </w:r>
    </w:p>
    <w:p w:rsidR="000E223B" w:rsidRDefault="000E223B" w:rsidP="000E223B">
      <w:pPr>
        <w:pStyle w:val="ListParagraph"/>
        <w:numPr>
          <w:ilvl w:val="0"/>
          <w:numId w:val="37"/>
        </w:numPr>
        <w:spacing w:line="360" w:lineRule="auto"/>
        <w:ind w:left="0" w:firstLine="567"/>
        <w:jc w:val="both"/>
        <w:rPr>
          <w:rFonts w:ascii="Verdana" w:hAnsi="Verdana" w:cs="Times New Roman"/>
          <w:sz w:val="20"/>
          <w:szCs w:val="20"/>
        </w:rPr>
      </w:pPr>
      <w:r w:rsidRPr="00FB5C1D">
        <w:rPr>
          <w:rFonts w:ascii="Verdana" w:hAnsi="Verdana" w:cs="Times New Roman"/>
          <w:sz w:val="20"/>
          <w:szCs w:val="20"/>
        </w:rPr>
        <w:t>Review : examine a banks compliance</w:t>
      </w:r>
      <w:r w:rsidR="00327184">
        <w:rPr>
          <w:rFonts w:ascii="Verdana" w:hAnsi="Verdana" w:cs="Times New Roman"/>
          <w:sz w:val="20"/>
          <w:szCs w:val="20"/>
        </w:rPr>
        <w:t xml:space="preserve"> with the mentioned principles.</w:t>
      </w:r>
    </w:p>
    <w:p w:rsidR="00327184" w:rsidRDefault="00327184" w:rsidP="00327184">
      <w:pPr>
        <w:pStyle w:val="ListParagraph"/>
        <w:spacing w:line="360" w:lineRule="auto"/>
        <w:ind w:left="0"/>
        <w:jc w:val="both"/>
        <w:rPr>
          <w:rFonts w:ascii="Verdana" w:hAnsi="Verdana" w:cs="Times New Roman"/>
          <w:sz w:val="20"/>
          <w:szCs w:val="20"/>
        </w:rPr>
      </w:pPr>
    </w:p>
    <w:p w:rsidR="00327184" w:rsidRPr="00FB5C1D" w:rsidRDefault="00327184" w:rsidP="00327184">
      <w:pPr>
        <w:pStyle w:val="ListParagraph"/>
        <w:spacing w:line="360" w:lineRule="auto"/>
        <w:ind w:left="0"/>
        <w:jc w:val="both"/>
        <w:rPr>
          <w:rFonts w:ascii="Verdana" w:hAnsi="Verdana" w:cs="Times New Roman"/>
          <w:sz w:val="20"/>
          <w:szCs w:val="20"/>
        </w:rPr>
      </w:pPr>
      <w:r>
        <w:rPr>
          <w:rFonts w:ascii="Verdana" w:hAnsi="Verdana" w:cs="Times New Roman"/>
          <w:sz w:val="20"/>
          <w:szCs w:val="20"/>
        </w:rPr>
        <w:t>S</w:t>
      </w:r>
      <w:r w:rsidRPr="000E223B">
        <w:rPr>
          <w:rFonts w:ascii="Verdana" w:hAnsi="Verdana" w:cs="Times New Roman"/>
          <w:sz w:val="20"/>
          <w:szCs w:val="20"/>
        </w:rPr>
        <w:t xml:space="preserve">ome principles </w:t>
      </w:r>
      <w:r>
        <w:rPr>
          <w:rFonts w:ascii="Verdana" w:hAnsi="Verdana" w:cs="Times New Roman"/>
          <w:sz w:val="20"/>
          <w:szCs w:val="20"/>
        </w:rPr>
        <w:t>are out of scope here, so we ch</w:t>
      </w:r>
      <w:r w:rsidRPr="000E223B">
        <w:rPr>
          <w:rFonts w:ascii="Verdana" w:hAnsi="Verdana" w:cs="Times New Roman"/>
          <w:sz w:val="20"/>
          <w:szCs w:val="20"/>
        </w:rPr>
        <w:t>ose to mention only the ones which will be referenced later on</w:t>
      </w:r>
      <w:r>
        <w:rPr>
          <w:rFonts w:ascii="Verdana" w:hAnsi="Verdana" w:cs="Times New Roman"/>
          <w:sz w:val="20"/>
          <w:szCs w:val="20"/>
        </w:rPr>
        <w:t xml:space="preserve">. </w:t>
      </w:r>
    </w:p>
    <w:p w:rsidR="000E223B" w:rsidRPr="00FB5C1D" w:rsidRDefault="000E223B" w:rsidP="000E223B">
      <w:pPr>
        <w:pStyle w:val="Heading2"/>
        <w:spacing w:line="360" w:lineRule="auto"/>
        <w:jc w:val="both"/>
        <w:rPr>
          <w:rFonts w:ascii="Verdana" w:hAnsi="Verdana" w:cs="Times New Roman"/>
          <w:sz w:val="20"/>
          <w:szCs w:val="20"/>
        </w:rPr>
      </w:pPr>
      <w:bookmarkStart w:id="118" w:name="_Toc423597578"/>
      <w:r w:rsidRPr="00FB5C1D">
        <w:rPr>
          <w:rFonts w:ascii="Verdana" w:hAnsi="Verdana" w:cs="Times New Roman"/>
          <w:sz w:val="20"/>
          <w:szCs w:val="20"/>
        </w:rPr>
        <w:t>6.3.6 Data governance challenges in current landscape</w:t>
      </w:r>
      <w:bookmarkEnd w:id="118"/>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Kindler (2013) points out that most banks nowadays adopt a </w:t>
      </w:r>
      <w:r w:rsidRPr="000E223B">
        <w:rPr>
          <w:rFonts w:ascii="Verdana" w:hAnsi="Verdana" w:cs="Times New Roman"/>
          <w:i/>
          <w:sz w:val="20"/>
          <w:szCs w:val="20"/>
          <w:lang w:val="en-US"/>
        </w:rPr>
        <w:t>Band-Aid</w:t>
      </w:r>
      <w:r w:rsidRPr="000E223B">
        <w:rPr>
          <w:rFonts w:ascii="Verdana" w:hAnsi="Verdana" w:cs="Times New Roman"/>
          <w:sz w:val="20"/>
          <w:szCs w:val="20"/>
          <w:lang w:val="en-US"/>
        </w:rPr>
        <w:t xml:space="preserve"> approach when dealing with Basel III implementations of risk data aggregations and reporting : partly introduce solutions and applications which help consolidate a part of their data instead of integrating data across the enterprise. Skinner (2015) also points out that most banks under the $15 billion asset level do not dispose nor over the fit infrastructure nor the data management skills needed to address the principles underlined by the Basel Committee on Bank Supervision. Another problem is the externalization of the core transactional and operational processing systems which limits the access of banks to the data needed for analytical and modeling processes. </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In the remainder of this paper, we plan to address the Basel III principles of risk data aggregation and risk reporting from a data-governance optic and build a twofold model : 1) a model which incorporates the Basel III guidelines in its governance practices and 2) a model capable of assessing the level of maturity of data governance processes in the financial sector. </w:t>
      </w:r>
    </w:p>
    <w:p w:rsidR="000E223B" w:rsidRPr="000E223B" w:rsidRDefault="000E223B" w:rsidP="000E223B">
      <w:pPr>
        <w:pStyle w:val="Heading1"/>
        <w:spacing w:line="360" w:lineRule="auto"/>
        <w:jc w:val="both"/>
        <w:rPr>
          <w:rFonts w:ascii="Verdana" w:hAnsi="Verdana" w:cs="Times New Roman"/>
          <w:sz w:val="20"/>
          <w:szCs w:val="20"/>
          <w:lang w:val="en-US"/>
        </w:rPr>
      </w:pPr>
      <w:bookmarkStart w:id="119" w:name="_Toc423597579"/>
      <w:r w:rsidRPr="000E223B">
        <w:rPr>
          <w:rFonts w:ascii="Verdana" w:hAnsi="Verdana" w:cs="Times New Roman"/>
          <w:sz w:val="20"/>
          <w:szCs w:val="20"/>
          <w:lang w:val="en-US"/>
        </w:rPr>
        <w:t>6.4 Capability Maturity Model for Big data governance: theoretical model</w:t>
      </w:r>
      <w:bookmarkEnd w:id="119"/>
    </w:p>
    <w:p w:rsid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This </w:t>
      </w:r>
      <w:r w:rsidR="00327184">
        <w:rPr>
          <w:rFonts w:ascii="Verdana" w:hAnsi="Verdana" w:cs="Times New Roman"/>
          <w:sz w:val="20"/>
          <w:szCs w:val="20"/>
          <w:lang w:val="en-US"/>
        </w:rPr>
        <w:t>section</w:t>
      </w:r>
      <w:r w:rsidRPr="000E223B">
        <w:rPr>
          <w:rFonts w:ascii="Verdana" w:hAnsi="Verdana" w:cs="Times New Roman"/>
          <w:sz w:val="20"/>
          <w:szCs w:val="20"/>
          <w:lang w:val="en-US"/>
        </w:rPr>
        <w:t xml:space="preserve"> describes the research methodology used for the development of the model as well as a description of the input used and the outputs delivered. </w:t>
      </w:r>
    </w:p>
    <w:p w:rsidR="00327184" w:rsidRDefault="00327184" w:rsidP="00327184">
      <w:pPr>
        <w:pStyle w:val="Heading2"/>
        <w:rPr>
          <w:rFonts w:ascii="Verdana" w:hAnsi="Verdana"/>
          <w:sz w:val="20"/>
          <w:szCs w:val="20"/>
        </w:rPr>
      </w:pPr>
      <w:bookmarkStart w:id="120" w:name="_Toc423597580"/>
      <w:r w:rsidRPr="00327184">
        <w:rPr>
          <w:rFonts w:ascii="Verdana" w:hAnsi="Verdana"/>
          <w:sz w:val="20"/>
          <w:szCs w:val="20"/>
        </w:rPr>
        <w:t xml:space="preserve">6.4.1 </w:t>
      </w:r>
      <w:r>
        <w:rPr>
          <w:rFonts w:ascii="Verdana" w:hAnsi="Verdana"/>
          <w:sz w:val="20"/>
          <w:szCs w:val="20"/>
        </w:rPr>
        <w:t>Overview of the research process</w:t>
      </w:r>
      <w:bookmarkEnd w:id="120"/>
    </w:p>
    <w:p w:rsidR="00327184" w:rsidRDefault="00327184" w:rsidP="00967895">
      <w:pPr>
        <w:spacing w:line="360" w:lineRule="auto"/>
        <w:rPr>
          <w:rFonts w:ascii="Verdana" w:hAnsi="Verdana"/>
          <w:sz w:val="20"/>
          <w:szCs w:val="20"/>
          <w:lang w:val="en-US"/>
        </w:rPr>
      </w:pPr>
      <w:r>
        <w:rPr>
          <w:rFonts w:ascii="Verdana" w:hAnsi="Verdana"/>
          <w:sz w:val="20"/>
          <w:szCs w:val="20"/>
          <w:lang w:val="en-US"/>
        </w:rPr>
        <w:t xml:space="preserve">We include a visual overview of the research process which brings together components from previous chapters and binds together the different constituents which contributed to building our final model. Figure 6.2 presents the different steps of the process as well as how the different outputs and inputs interacted in the research process. </w:t>
      </w:r>
    </w:p>
    <w:p w:rsidR="00327184" w:rsidRDefault="00327184" w:rsidP="00327184">
      <w:pPr>
        <w:rPr>
          <w:rFonts w:ascii="Verdana" w:hAnsi="Verdana"/>
          <w:sz w:val="20"/>
          <w:szCs w:val="20"/>
          <w:lang w:val="en-US"/>
        </w:rPr>
      </w:pPr>
      <w:r>
        <w:rPr>
          <w:rFonts w:ascii="Verdana" w:hAnsi="Verdana"/>
          <w:noProof/>
          <w:sz w:val="20"/>
          <w:szCs w:val="20"/>
          <w:lang w:val="en-GB" w:eastAsia="en-GB"/>
        </w:rPr>
        <w:lastRenderedPageBreak/>
        <w:drawing>
          <wp:inline distT="0" distB="0" distL="0" distR="0">
            <wp:extent cx="5731510" cy="7178040"/>
            <wp:effectExtent l="0" t="0" r="2540" b="381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ntitled Diagram (1).jpg"/>
                    <pic:cNvPicPr/>
                  </pic:nvPicPr>
                  <pic:blipFill>
                    <a:blip r:embed="rId31">
                      <a:extLst>
                        <a:ext uri="{28A0092B-C50C-407E-A947-70E740481C1C}">
                          <a14:useLocalDpi xmlns:a14="http://schemas.microsoft.com/office/drawing/2010/main" val="0"/>
                        </a:ext>
                      </a:extLst>
                    </a:blip>
                    <a:stretch>
                      <a:fillRect/>
                    </a:stretch>
                  </pic:blipFill>
                  <pic:spPr>
                    <a:xfrm>
                      <a:off x="0" y="0"/>
                      <a:ext cx="5731510" cy="7178040"/>
                    </a:xfrm>
                    <a:prstGeom prst="rect">
                      <a:avLst/>
                    </a:prstGeom>
                  </pic:spPr>
                </pic:pic>
              </a:graphicData>
            </a:graphic>
          </wp:inline>
        </w:drawing>
      </w:r>
    </w:p>
    <w:p w:rsidR="00327184" w:rsidRPr="00327184" w:rsidRDefault="00327184" w:rsidP="00327184">
      <w:pPr>
        <w:jc w:val="center"/>
        <w:rPr>
          <w:rFonts w:ascii="Verdana" w:hAnsi="Verdana"/>
          <w:sz w:val="18"/>
          <w:szCs w:val="18"/>
          <w:lang w:val="en-US"/>
        </w:rPr>
      </w:pPr>
      <w:r w:rsidRPr="00327184">
        <w:rPr>
          <w:rFonts w:ascii="Verdana" w:hAnsi="Verdana"/>
          <w:sz w:val="18"/>
          <w:szCs w:val="18"/>
          <w:lang w:val="en-US"/>
        </w:rPr>
        <w:t>Figure 6.2 Overview of the research process</w:t>
      </w:r>
    </w:p>
    <w:p w:rsidR="000E223B" w:rsidRPr="00FB5C1D" w:rsidRDefault="00327184" w:rsidP="000E223B">
      <w:pPr>
        <w:pStyle w:val="Heading2"/>
        <w:spacing w:line="360" w:lineRule="auto"/>
        <w:jc w:val="both"/>
        <w:rPr>
          <w:rFonts w:ascii="Verdana" w:hAnsi="Verdana" w:cs="Times New Roman"/>
          <w:sz w:val="20"/>
          <w:szCs w:val="20"/>
        </w:rPr>
      </w:pPr>
      <w:bookmarkStart w:id="121" w:name="_Toc423597581"/>
      <w:r>
        <w:rPr>
          <w:rFonts w:ascii="Verdana" w:hAnsi="Verdana" w:cs="Times New Roman"/>
          <w:sz w:val="20"/>
          <w:szCs w:val="20"/>
        </w:rPr>
        <w:t>6.4.2</w:t>
      </w:r>
      <w:r w:rsidR="000E223B" w:rsidRPr="00FB5C1D">
        <w:rPr>
          <w:rFonts w:ascii="Verdana" w:hAnsi="Verdana" w:cs="Times New Roman"/>
          <w:sz w:val="20"/>
          <w:szCs w:val="20"/>
        </w:rPr>
        <w:t xml:space="preserve"> Research methodology part 1</w:t>
      </w:r>
      <w:bookmarkEnd w:id="121"/>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In chapter 4, section 4.5.2, table 4.2 we introduced the key process areas identified during our first literature review  for data governance programs and projects. The model contained 9 processes and 36 sub-processes, with corresponding definitions for each key process. </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lastRenderedPageBreak/>
        <w:t xml:space="preserve">Kindler (2013) used the Basel III </w:t>
      </w:r>
      <w:r w:rsidRPr="000E223B">
        <w:rPr>
          <w:rFonts w:ascii="Verdana" w:hAnsi="Verdana" w:cs="Times New Roman"/>
          <w:i/>
          <w:sz w:val="20"/>
          <w:szCs w:val="20"/>
          <w:lang w:val="en-US"/>
        </w:rPr>
        <w:t xml:space="preserve">Principles for effective data aggregation and risk reporting </w:t>
      </w:r>
      <w:r w:rsidRPr="000E223B">
        <w:rPr>
          <w:rFonts w:ascii="Verdana" w:hAnsi="Verdana" w:cs="Times New Roman"/>
          <w:sz w:val="20"/>
          <w:szCs w:val="20"/>
          <w:lang w:val="en-US"/>
        </w:rPr>
        <w:t xml:space="preserve">to map the guidelines outlined by the Committee on Banking Supervision with the potential data and platform requirements. The mapping translates each guideline into the </w:t>
      </w:r>
      <w:r w:rsidRPr="000E223B">
        <w:rPr>
          <w:rFonts w:ascii="Verdana" w:hAnsi="Verdana" w:cs="Times New Roman"/>
          <w:i/>
          <w:sz w:val="20"/>
          <w:szCs w:val="20"/>
          <w:lang w:val="en-US"/>
        </w:rPr>
        <w:t>derived technical/platform requirements</w:t>
      </w:r>
      <w:r w:rsidRPr="000E223B">
        <w:rPr>
          <w:rFonts w:ascii="Verdana" w:hAnsi="Verdana" w:cs="Times New Roman"/>
          <w:sz w:val="20"/>
          <w:szCs w:val="20"/>
          <w:lang w:val="en-US"/>
        </w:rPr>
        <w:t xml:space="preserve"> needed to implement it. Based on the mapping created by Teradata (Kindler, 2013), we then mapped the model developed in Chapter 4 to the Teradata model by translating each of the technical/platform requirements into either a key process area or a sub-processes. </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The mapping has been done based on the definitions presented for each key process area in chapter 4 or by re-analyzing the definitions/references for each sub-process areas in our literature review. The mapping is then two-folded in its potential use because : 1) we test the importance of each key process area/sub-process in the Basel III guideline and 2) we help defining and better understanding what each sub-process refers to. Because of its size, we have placed the original mapping as presented by Kindler (2013) in appendix D.</w:t>
      </w:r>
    </w:p>
    <w:p w:rsidR="000E223B" w:rsidRPr="000E223B" w:rsidRDefault="000E223B" w:rsidP="000E223B">
      <w:pPr>
        <w:spacing w:line="360" w:lineRule="auto"/>
        <w:jc w:val="both"/>
        <w:rPr>
          <w:rFonts w:ascii="Verdana" w:hAnsi="Verdana" w:cs="Times New Roman"/>
          <w:sz w:val="20"/>
          <w:szCs w:val="20"/>
          <w:lang w:val="en-US"/>
        </w:rPr>
      </w:pPr>
    </w:p>
    <w:p w:rsidR="000E223B" w:rsidRPr="00FB5C1D" w:rsidRDefault="000B1D7B" w:rsidP="000E223B">
      <w:pPr>
        <w:pStyle w:val="Heading2"/>
        <w:spacing w:line="360" w:lineRule="auto"/>
        <w:jc w:val="both"/>
        <w:rPr>
          <w:rFonts w:ascii="Verdana" w:hAnsi="Verdana" w:cs="Times New Roman"/>
          <w:sz w:val="20"/>
          <w:szCs w:val="20"/>
        </w:rPr>
      </w:pPr>
      <w:bookmarkStart w:id="122" w:name="_Toc423597582"/>
      <w:r>
        <w:rPr>
          <w:rFonts w:ascii="Verdana" w:hAnsi="Verdana" w:cs="Times New Roman"/>
          <w:sz w:val="20"/>
          <w:szCs w:val="20"/>
        </w:rPr>
        <w:t>6.4.3</w:t>
      </w:r>
      <w:r w:rsidR="000E223B" w:rsidRPr="00FB5C1D">
        <w:rPr>
          <w:rFonts w:ascii="Verdana" w:hAnsi="Verdana" w:cs="Times New Roman"/>
          <w:sz w:val="20"/>
          <w:szCs w:val="20"/>
        </w:rPr>
        <w:t xml:space="preserve"> Mapping Basel III principles to data governance key process areas</w:t>
      </w:r>
      <w:bookmarkEnd w:id="122"/>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 Table 6.1 presents a summarized version of the Basel III guidelines by referencing the principle  and its indicated order</w:t>
      </w:r>
      <w:r w:rsidR="004E613D">
        <w:rPr>
          <w:rStyle w:val="FootnoteReference"/>
          <w:rFonts w:ascii="Verdana" w:hAnsi="Verdana" w:cs="Times New Roman"/>
          <w:sz w:val="20"/>
          <w:szCs w:val="20"/>
          <w:lang w:val="en-US"/>
        </w:rPr>
        <w:footnoteReference w:id="1"/>
      </w:r>
      <w:r w:rsidRPr="000E223B">
        <w:rPr>
          <w:rFonts w:ascii="Verdana" w:hAnsi="Verdana" w:cs="Times New Roman"/>
          <w:sz w:val="20"/>
          <w:szCs w:val="20"/>
          <w:lang w:val="en-US"/>
        </w:rPr>
        <w:t xml:space="preserve">, the Teradata derived requirements (also available in appendix D) and the key process areas identified in chapter 4. </w:t>
      </w:r>
    </w:p>
    <w:p w:rsidR="000E223B" w:rsidRPr="000E223B" w:rsidRDefault="000E223B" w:rsidP="000E223B">
      <w:pPr>
        <w:spacing w:line="360" w:lineRule="auto"/>
        <w:jc w:val="both"/>
        <w:rPr>
          <w:rFonts w:ascii="Verdana" w:hAnsi="Verdana" w:cs="Times New Roman"/>
          <w:sz w:val="20"/>
          <w:szCs w:val="20"/>
          <w:lang w:val="en-US"/>
        </w:rPr>
      </w:pPr>
    </w:p>
    <w:tbl>
      <w:tblPr>
        <w:tblStyle w:val="LightShading-Accent2"/>
        <w:tblW w:w="5000" w:type="pct"/>
        <w:tblLook w:val="04A0" w:firstRow="1" w:lastRow="0" w:firstColumn="1" w:lastColumn="0" w:noHBand="0" w:noVBand="1"/>
      </w:tblPr>
      <w:tblGrid>
        <w:gridCol w:w="2544"/>
        <w:gridCol w:w="3875"/>
        <w:gridCol w:w="2823"/>
      </w:tblGrid>
      <w:tr w:rsidR="000E223B" w:rsidRPr="001A0FAF" w:rsidTr="001106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pct"/>
          </w:tcPr>
          <w:p w:rsidR="000E223B" w:rsidRPr="000E223B" w:rsidRDefault="000E223B" w:rsidP="001106BD">
            <w:pPr>
              <w:jc w:val="both"/>
              <w:rPr>
                <w:rFonts w:ascii="Verdana" w:hAnsi="Verdana" w:cs="Times New Roman"/>
                <w:sz w:val="16"/>
                <w:szCs w:val="16"/>
                <w:lang w:val="en-US"/>
              </w:rPr>
            </w:pPr>
            <w:r w:rsidRPr="000E223B">
              <w:rPr>
                <w:rFonts w:ascii="Verdana" w:hAnsi="Verdana" w:cs="Times New Roman"/>
                <w:sz w:val="16"/>
                <w:szCs w:val="16"/>
                <w:lang w:val="en-US"/>
              </w:rPr>
              <w:t>Basel III Principles and Guidelines</w:t>
            </w:r>
          </w:p>
        </w:tc>
        <w:tc>
          <w:tcPr>
            <w:tcW w:w="2096" w:type="pct"/>
          </w:tcPr>
          <w:p w:rsidR="000E223B" w:rsidRPr="000B0C2D" w:rsidRDefault="000E223B" w:rsidP="001106BD">
            <w:pPr>
              <w:jc w:val="both"/>
              <w:cnfStyle w:val="100000000000" w:firstRow="1" w:lastRow="0" w:firstColumn="0" w:lastColumn="0" w:oddVBand="0" w:evenVBand="0" w:oddHBand="0" w:evenHBand="0" w:firstRowFirstColumn="0" w:firstRowLastColumn="0" w:lastRowFirstColumn="0" w:lastRowLastColumn="0"/>
              <w:rPr>
                <w:rFonts w:ascii="Verdana" w:hAnsi="Verdana" w:cs="Times New Roman"/>
                <w:sz w:val="16"/>
                <w:szCs w:val="16"/>
              </w:rPr>
            </w:pPr>
            <w:r w:rsidRPr="000B0C2D">
              <w:rPr>
                <w:rFonts w:ascii="Verdana" w:hAnsi="Verdana" w:cs="Times New Roman"/>
                <w:sz w:val="16"/>
                <w:szCs w:val="16"/>
              </w:rPr>
              <w:t>Teradata derived requirements</w:t>
            </w:r>
          </w:p>
        </w:tc>
        <w:tc>
          <w:tcPr>
            <w:tcW w:w="1527" w:type="pct"/>
          </w:tcPr>
          <w:p w:rsidR="000E223B" w:rsidRPr="000E223B" w:rsidRDefault="000E223B" w:rsidP="001106BD">
            <w:pPr>
              <w:jc w:val="both"/>
              <w:cnfStyle w:val="100000000000" w:firstRow="1" w:lastRow="0" w:firstColumn="0" w:lastColumn="0" w:oddVBand="0" w:evenVBand="0" w:oddHBand="0" w:evenHBand="0" w:firstRowFirstColumn="0" w:firstRowLastColumn="0" w:lastRowFirstColumn="0" w:lastRowLastColumn="0"/>
              <w:rPr>
                <w:rFonts w:ascii="Verdana" w:hAnsi="Verdana" w:cs="Times New Roman"/>
                <w:sz w:val="16"/>
                <w:szCs w:val="16"/>
                <w:lang w:val="en-US"/>
              </w:rPr>
            </w:pPr>
            <w:r w:rsidRPr="000E223B">
              <w:rPr>
                <w:rFonts w:ascii="Verdana" w:hAnsi="Verdana" w:cs="Times New Roman"/>
                <w:sz w:val="16"/>
                <w:szCs w:val="16"/>
                <w:lang w:val="en-US"/>
              </w:rPr>
              <w:t>Data governance key process areas/sub-processes</w:t>
            </w:r>
          </w:p>
        </w:tc>
      </w:tr>
      <w:tr w:rsidR="000E223B" w:rsidRPr="001A0FAF" w:rsidTr="00110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pct"/>
          </w:tcPr>
          <w:p w:rsidR="000E223B" w:rsidRPr="00730B17" w:rsidRDefault="000E223B" w:rsidP="001106BD">
            <w:pPr>
              <w:jc w:val="both"/>
              <w:rPr>
                <w:rFonts w:ascii="Verdana" w:hAnsi="Verdana" w:cs="Times New Roman"/>
                <w:sz w:val="16"/>
                <w:szCs w:val="16"/>
              </w:rPr>
            </w:pPr>
            <w:r w:rsidRPr="00730B17">
              <w:rPr>
                <w:rFonts w:ascii="Verdana" w:hAnsi="Verdana" w:cs="Times New Roman"/>
                <w:sz w:val="16"/>
                <w:szCs w:val="16"/>
              </w:rPr>
              <w:t xml:space="preserve">Principle 1: Governance, guideline 27 </w:t>
            </w:r>
          </w:p>
        </w:tc>
        <w:tc>
          <w:tcPr>
            <w:tcW w:w="2096" w:type="pct"/>
          </w:tcPr>
          <w:p w:rsidR="000E223B" w:rsidRPr="00730B17" w:rsidRDefault="000E223B" w:rsidP="000E223B">
            <w:pPr>
              <w:pStyle w:val="ListParagraph"/>
              <w:numPr>
                <w:ilvl w:val="0"/>
                <w:numId w:val="39"/>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Clearly defined, implemented and live data-governance policy</w:t>
            </w:r>
          </w:p>
          <w:p w:rsidR="000E223B" w:rsidRPr="00730B17" w:rsidRDefault="000E223B" w:rsidP="000E223B">
            <w:pPr>
              <w:pStyle w:val="ListParagraph"/>
              <w:numPr>
                <w:ilvl w:val="0"/>
                <w:numId w:val="39"/>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Clearly defined and guaranteed service levels for data processing, analysis and reporting</w:t>
            </w:r>
          </w:p>
        </w:tc>
        <w:tc>
          <w:tcPr>
            <w:tcW w:w="1527" w:type="pct"/>
          </w:tcPr>
          <w:p w:rsidR="000E223B" w:rsidRPr="000E223B"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lang w:val="en-US"/>
              </w:rPr>
            </w:pPr>
            <w:r w:rsidRPr="000E223B">
              <w:rPr>
                <w:rFonts w:ascii="Verdana" w:hAnsi="Verdana" w:cs="Times New Roman"/>
                <w:sz w:val="16"/>
                <w:szCs w:val="16"/>
                <w:lang w:val="en-US"/>
              </w:rPr>
              <w:t>Roles, structures and policies (policies and standards ; processes and practices)</w:t>
            </w:r>
          </w:p>
        </w:tc>
      </w:tr>
      <w:tr w:rsidR="000E223B" w:rsidRPr="00730B17" w:rsidTr="001106BD">
        <w:tc>
          <w:tcPr>
            <w:cnfStyle w:val="001000000000" w:firstRow="0" w:lastRow="0" w:firstColumn="1" w:lastColumn="0" w:oddVBand="0" w:evenVBand="0" w:oddHBand="0" w:evenHBand="0" w:firstRowFirstColumn="0" w:firstRowLastColumn="0" w:lastRowFirstColumn="0" w:lastRowLastColumn="0"/>
            <w:tcW w:w="1376" w:type="pct"/>
          </w:tcPr>
          <w:p w:rsidR="000E223B" w:rsidRPr="00730B17" w:rsidRDefault="000E223B" w:rsidP="001106BD">
            <w:pPr>
              <w:jc w:val="both"/>
              <w:rPr>
                <w:rFonts w:ascii="Verdana" w:hAnsi="Verdana" w:cs="Times New Roman"/>
                <w:sz w:val="16"/>
                <w:szCs w:val="16"/>
              </w:rPr>
            </w:pPr>
            <w:r w:rsidRPr="00730B17">
              <w:rPr>
                <w:rFonts w:ascii="Verdana" w:hAnsi="Verdana" w:cs="Times New Roman"/>
                <w:sz w:val="16"/>
                <w:szCs w:val="16"/>
              </w:rPr>
              <w:t>Principle 1: Governance, guideline 29</w:t>
            </w:r>
          </w:p>
        </w:tc>
        <w:tc>
          <w:tcPr>
            <w:tcW w:w="2096" w:type="pct"/>
          </w:tcPr>
          <w:p w:rsidR="000E223B" w:rsidRPr="00730B17" w:rsidRDefault="000E223B" w:rsidP="000E223B">
            <w:pPr>
              <w:pStyle w:val="ListParagraph"/>
              <w:numPr>
                <w:ilvl w:val="0"/>
                <w:numId w:val="40"/>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Review of architectures, effectiveness, and compliance by an external and independent validation unit with specific IT, data, and reporting knowledge</w:t>
            </w:r>
          </w:p>
        </w:tc>
        <w:tc>
          <w:tcPr>
            <w:tcW w:w="1527" w:type="pct"/>
          </w:tcPr>
          <w:p w:rsidR="000E223B" w:rsidRPr="00730B17"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 xml:space="preserve">Technology (infrastructure) </w:t>
            </w:r>
          </w:p>
        </w:tc>
      </w:tr>
      <w:tr w:rsidR="000E223B" w:rsidRPr="001A0FAF" w:rsidTr="00110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pct"/>
          </w:tcPr>
          <w:p w:rsidR="000E223B" w:rsidRPr="000E223B" w:rsidRDefault="000E223B" w:rsidP="001106BD">
            <w:pPr>
              <w:jc w:val="both"/>
              <w:rPr>
                <w:rFonts w:ascii="Verdana" w:hAnsi="Verdana" w:cs="Times New Roman"/>
                <w:sz w:val="16"/>
                <w:szCs w:val="16"/>
                <w:lang w:val="en-US"/>
              </w:rPr>
            </w:pPr>
            <w:r w:rsidRPr="000E223B">
              <w:rPr>
                <w:rFonts w:ascii="Verdana" w:hAnsi="Verdana" w:cs="Times New Roman"/>
                <w:sz w:val="16"/>
                <w:szCs w:val="16"/>
                <w:lang w:val="en-US"/>
              </w:rPr>
              <w:t>Principle 2: Data architecture and IT infrastructure</w:t>
            </w:r>
          </w:p>
        </w:tc>
        <w:tc>
          <w:tcPr>
            <w:tcW w:w="2096" w:type="pct"/>
          </w:tcPr>
          <w:p w:rsidR="000E223B" w:rsidRPr="00730B17" w:rsidRDefault="000E223B" w:rsidP="000E223B">
            <w:pPr>
              <w:pStyle w:val="ListParagraph"/>
              <w:numPr>
                <w:ilvl w:val="0"/>
                <w:numId w:val="40"/>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Risk-architecture analysis, and reporting capabilities outlined and scaled for worst-case conditions</w:t>
            </w:r>
          </w:p>
          <w:p w:rsidR="000E223B" w:rsidRPr="00730B17" w:rsidRDefault="000E223B" w:rsidP="000E223B">
            <w:pPr>
              <w:pStyle w:val="ListParagraph"/>
              <w:numPr>
                <w:ilvl w:val="0"/>
                <w:numId w:val="40"/>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Infrastructure scaled to max but payment for utilization only</w:t>
            </w:r>
          </w:p>
        </w:tc>
        <w:tc>
          <w:tcPr>
            <w:tcW w:w="1527" w:type="pct"/>
          </w:tcPr>
          <w:p w:rsidR="000E223B" w:rsidRPr="000E223B"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lang w:val="en-US"/>
              </w:rPr>
            </w:pPr>
            <w:r w:rsidRPr="000E223B">
              <w:rPr>
                <w:rFonts w:ascii="Verdana" w:hAnsi="Verdana" w:cs="Times New Roman"/>
                <w:sz w:val="16"/>
                <w:szCs w:val="16"/>
                <w:lang w:val="en-US"/>
              </w:rPr>
              <w:t xml:space="preserve">Data architecture </w:t>
            </w:r>
          </w:p>
          <w:p w:rsidR="000E223B" w:rsidRPr="000E223B"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lang w:val="en-US"/>
              </w:rPr>
            </w:pPr>
            <w:r w:rsidRPr="000E223B">
              <w:rPr>
                <w:rFonts w:ascii="Verdana" w:hAnsi="Verdana" w:cs="Times New Roman"/>
                <w:sz w:val="16"/>
                <w:szCs w:val="16"/>
                <w:lang w:val="en-US"/>
              </w:rPr>
              <w:t>Technology (infrastructure; business applications)</w:t>
            </w:r>
          </w:p>
        </w:tc>
      </w:tr>
      <w:tr w:rsidR="000E223B" w:rsidRPr="001A0FAF" w:rsidTr="001106BD">
        <w:tc>
          <w:tcPr>
            <w:cnfStyle w:val="001000000000" w:firstRow="0" w:lastRow="0" w:firstColumn="1" w:lastColumn="0" w:oddVBand="0" w:evenVBand="0" w:oddHBand="0" w:evenHBand="0" w:firstRowFirstColumn="0" w:firstRowLastColumn="0" w:lastRowFirstColumn="0" w:lastRowLastColumn="0"/>
            <w:tcW w:w="1376" w:type="pct"/>
          </w:tcPr>
          <w:p w:rsidR="000E223B" w:rsidRPr="000E223B" w:rsidRDefault="000E223B" w:rsidP="001106BD">
            <w:pPr>
              <w:jc w:val="both"/>
              <w:rPr>
                <w:rFonts w:ascii="Verdana" w:hAnsi="Verdana" w:cs="Times New Roman"/>
                <w:sz w:val="16"/>
                <w:szCs w:val="16"/>
                <w:lang w:val="en-US"/>
              </w:rPr>
            </w:pPr>
            <w:r w:rsidRPr="000E223B">
              <w:rPr>
                <w:rFonts w:ascii="Verdana" w:hAnsi="Verdana" w:cs="Times New Roman"/>
                <w:sz w:val="16"/>
                <w:szCs w:val="16"/>
                <w:lang w:val="en-US"/>
              </w:rPr>
              <w:t>Principle 3: Accuracy and integrity, guideline 36 (c)</w:t>
            </w:r>
          </w:p>
        </w:tc>
        <w:tc>
          <w:tcPr>
            <w:tcW w:w="2096" w:type="pct"/>
          </w:tcPr>
          <w:p w:rsidR="000E223B" w:rsidRPr="00730B17" w:rsidRDefault="000E223B" w:rsidP="000E223B">
            <w:pPr>
              <w:pStyle w:val="ListParagraph"/>
              <w:numPr>
                <w:ilvl w:val="0"/>
                <w:numId w:val="41"/>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Accuracy of reporting under stress/crisis</w:t>
            </w:r>
          </w:p>
          <w:p w:rsidR="000E223B" w:rsidRPr="00730B17" w:rsidRDefault="000E223B" w:rsidP="000E223B">
            <w:pPr>
              <w:pStyle w:val="ListParagraph"/>
              <w:numPr>
                <w:ilvl w:val="0"/>
                <w:numId w:val="41"/>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Automated data sourcing and aggregation, minimal manual interaction</w:t>
            </w:r>
          </w:p>
          <w:p w:rsidR="000E223B" w:rsidRPr="00730B17" w:rsidRDefault="000E223B" w:rsidP="000E223B">
            <w:pPr>
              <w:pStyle w:val="ListParagraph"/>
              <w:numPr>
                <w:ilvl w:val="0"/>
                <w:numId w:val="41"/>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Reconciled finance and risk data</w:t>
            </w:r>
          </w:p>
          <w:p w:rsidR="000E223B" w:rsidRPr="00730B17" w:rsidRDefault="000E223B" w:rsidP="000E223B">
            <w:pPr>
              <w:pStyle w:val="ListParagraph"/>
              <w:numPr>
                <w:ilvl w:val="0"/>
                <w:numId w:val="41"/>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Common data model for finance and risk</w:t>
            </w:r>
          </w:p>
          <w:p w:rsidR="000E223B" w:rsidRPr="00730B17" w:rsidRDefault="000E223B" w:rsidP="000E223B">
            <w:pPr>
              <w:pStyle w:val="ListParagraph"/>
              <w:numPr>
                <w:ilvl w:val="0"/>
                <w:numId w:val="41"/>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Ideally, shared data warehouse for finance and risk</w:t>
            </w:r>
          </w:p>
        </w:tc>
        <w:tc>
          <w:tcPr>
            <w:tcW w:w="1527" w:type="pct"/>
          </w:tcPr>
          <w:p w:rsidR="000E223B" w:rsidRPr="000E223B"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lang w:val="en-US"/>
              </w:rPr>
            </w:pPr>
            <w:r w:rsidRPr="000E223B">
              <w:rPr>
                <w:rFonts w:ascii="Verdana" w:hAnsi="Verdana" w:cs="Times New Roman"/>
                <w:sz w:val="16"/>
                <w:szCs w:val="16"/>
                <w:lang w:val="en-US"/>
              </w:rPr>
              <w:t>Data management (Document and content management; Retention and archiving management)</w:t>
            </w:r>
          </w:p>
          <w:p w:rsidR="000E223B" w:rsidRPr="000E223B"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lang w:val="en-US"/>
              </w:rPr>
            </w:pPr>
            <w:r w:rsidRPr="000E223B">
              <w:rPr>
                <w:rFonts w:ascii="Verdana" w:hAnsi="Verdana" w:cs="Times New Roman"/>
                <w:sz w:val="16"/>
                <w:szCs w:val="16"/>
                <w:lang w:val="en-US"/>
              </w:rPr>
              <w:t xml:space="preserve">Master data management (data stores, data warehousing, data integration) </w:t>
            </w:r>
          </w:p>
        </w:tc>
      </w:tr>
      <w:tr w:rsidR="000E223B" w:rsidRPr="001A0FAF" w:rsidTr="00110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pct"/>
          </w:tcPr>
          <w:p w:rsidR="000E223B" w:rsidRPr="000E223B" w:rsidRDefault="000E223B" w:rsidP="001106BD">
            <w:pPr>
              <w:jc w:val="both"/>
              <w:rPr>
                <w:rFonts w:ascii="Verdana" w:hAnsi="Verdana" w:cs="Times New Roman"/>
                <w:sz w:val="16"/>
                <w:szCs w:val="16"/>
                <w:lang w:val="en-US"/>
              </w:rPr>
            </w:pPr>
            <w:r w:rsidRPr="000E223B">
              <w:rPr>
                <w:rFonts w:ascii="Verdana" w:hAnsi="Verdana" w:cs="Times New Roman"/>
                <w:sz w:val="16"/>
                <w:szCs w:val="16"/>
                <w:lang w:val="en-US"/>
              </w:rPr>
              <w:lastRenderedPageBreak/>
              <w:t>Principle 3: accuracy and integrity, guideline 36 (d)</w:t>
            </w:r>
          </w:p>
        </w:tc>
        <w:tc>
          <w:tcPr>
            <w:tcW w:w="2096" w:type="pct"/>
          </w:tcPr>
          <w:p w:rsidR="000E223B" w:rsidRPr="00730B17" w:rsidRDefault="000E223B" w:rsidP="000E223B">
            <w:pPr>
              <w:pStyle w:val="ListParagraph"/>
              <w:numPr>
                <w:ilvl w:val="0"/>
                <w:numId w:val="42"/>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One source of data for risk data aggregation and reporting</w:t>
            </w:r>
          </w:p>
          <w:p w:rsidR="000E223B" w:rsidRPr="00730B17" w:rsidRDefault="000E223B" w:rsidP="000E223B">
            <w:pPr>
              <w:pStyle w:val="ListParagraph"/>
              <w:numPr>
                <w:ilvl w:val="0"/>
                <w:numId w:val="42"/>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One source of truth</w:t>
            </w:r>
          </w:p>
        </w:tc>
        <w:tc>
          <w:tcPr>
            <w:tcW w:w="1527" w:type="pct"/>
          </w:tcPr>
          <w:p w:rsidR="000E223B" w:rsidRPr="000E223B"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lang w:val="en-US"/>
              </w:rPr>
            </w:pPr>
            <w:r w:rsidRPr="000E223B">
              <w:rPr>
                <w:rFonts w:ascii="Verdana" w:hAnsi="Verdana" w:cs="Times New Roman"/>
                <w:sz w:val="16"/>
                <w:szCs w:val="16"/>
                <w:lang w:val="en-US"/>
              </w:rPr>
              <w:t>Master data management (enterprise data model, reference data management)</w:t>
            </w:r>
          </w:p>
        </w:tc>
      </w:tr>
      <w:tr w:rsidR="000E223B" w:rsidRPr="001A0FAF" w:rsidTr="001106BD">
        <w:tc>
          <w:tcPr>
            <w:cnfStyle w:val="001000000000" w:firstRow="0" w:lastRow="0" w:firstColumn="1" w:lastColumn="0" w:oddVBand="0" w:evenVBand="0" w:oddHBand="0" w:evenHBand="0" w:firstRowFirstColumn="0" w:firstRowLastColumn="0" w:lastRowFirstColumn="0" w:lastRowLastColumn="0"/>
            <w:tcW w:w="1376" w:type="pct"/>
          </w:tcPr>
          <w:p w:rsidR="000E223B" w:rsidRPr="000E223B" w:rsidRDefault="000E223B" w:rsidP="001106BD">
            <w:pPr>
              <w:jc w:val="both"/>
              <w:rPr>
                <w:rFonts w:ascii="Verdana" w:hAnsi="Verdana" w:cs="Times New Roman"/>
                <w:sz w:val="16"/>
                <w:szCs w:val="16"/>
                <w:lang w:val="en-US"/>
              </w:rPr>
            </w:pPr>
            <w:r w:rsidRPr="000E223B">
              <w:rPr>
                <w:rFonts w:ascii="Verdana" w:hAnsi="Verdana" w:cs="Times New Roman"/>
                <w:sz w:val="16"/>
                <w:szCs w:val="16"/>
                <w:lang w:val="en-US"/>
              </w:rPr>
              <w:t>Principle 3: accuracy and integrity,</w:t>
            </w:r>
          </w:p>
          <w:p w:rsidR="000E223B" w:rsidRPr="000E223B" w:rsidRDefault="000E223B" w:rsidP="001106BD">
            <w:pPr>
              <w:jc w:val="both"/>
              <w:rPr>
                <w:rFonts w:ascii="Verdana" w:hAnsi="Verdana" w:cs="Times New Roman"/>
                <w:sz w:val="16"/>
                <w:szCs w:val="16"/>
                <w:lang w:val="en-US"/>
              </w:rPr>
            </w:pPr>
            <w:r w:rsidRPr="000E223B">
              <w:rPr>
                <w:rFonts w:ascii="Verdana" w:hAnsi="Verdana" w:cs="Times New Roman"/>
                <w:sz w:val="16"/>
                <w:szCs w:val="16"/>
                <w:lang w:val="en-US"/>
              </w:rPr>
              <w:t>guideline 37</w:t>
            </w:r>
          </w:p>
        </w:tc>
        <w:tc>
          <w:tcPr>
            <w:tcW w:w="2096" w:type="pct"/>
          </w:tcPr>
          <w:p w:rsidR="000E223B" w:rsidRPr="00730B17" w:rsidRDefault="000E223B" w:rsidP="000E223B">
            <w:pPr>
              <w:pStyle w:val="ListParagraph"/>
              <w:numPr>
                <w:ilvl w:val="0"/>
                <w:numId w:val="43"/>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One logical data model across the risk and finance area</w:t>
            </w:r>
          </w:p>
          <w:p w:rsidR="000E223B" w:rsidRPr="00730B17" w:rsidRDefault="000E223B" w:rsidP="000E223B">
            <w:pPr>
              <w:pStyle w:val="ListParagraph"/>
              <w:numPr>
                <w:ilvl w:val="0"/>
                <w:numId w:val="43"/>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One business data model (access layer, etc.) across the risk and finance area</w:t>
            </w:r>
          </w:p>
        </w:tc>
        <w:tc>
          <w:tcPr>
            <w:tcW w:w="1527" w:type="pct"/>
          </w:tcPr>
          <w:p w:rsidR="000E223B" w:rsidRPr="000E223B"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lang w:val="en-US"/>
              </w:rPr>
            </w:pPr>
            <w:r w:rsidRPr="000E223B">
              <w:rPr>
                <w:rFonts w:ascii="Verdana" w:hAnsi="Verdana" w:cs="Times New Roman"/>
                <w:sz w:val="16"/>
                <w:szCs w:val="16"/>
                <w:lang w:val="en-US"/>
              </w:rPr>
              <w:t>Master data management (enterprise data model, reference data management, data integration)</w:t>
            </w:r>
          </w:p>
        </w:tc>
      </w:tr>
      <w:tr w:rsidR="000E223B" w:rsidRPr="00730B17" w:rsidTr="00110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pct"/>
          </w:tcPr>
          <w:p w:rsidR="000E223B" w:rsidRPr="000E223B" w:rsidRDefault="000E223B" w:rsidP="001106BD">
            <w:pPr>
              <w:jc w:val="both"/>
              <w:rPr>
                <w:rFonts w:ascii="Verdana" w:hAnsi="Verdana" w:cs="Times New Roman"/>
                <w:sz w:val="16"/>
                <w:szCs w:val="16"/>
                <w:lang w:val="en-US"/>
              </w:rPr>
            </w:pPr>
            <w:r w:rsidRPr="000E223B">
              <w:rPr>
                <w:rFonts w:ascii="Verdana" w:hAnsi="Verdana" w:cs="Times New Roman"/>
                <w:sz w:val="16"/>
                <w:szCs w:val="16"/>
                <w:lang w:val="en-US"/>
              </w:rPr>
              <w:t>Principle 3: accuracy and integrity,</w:t>
            </w:r>
          </w:p>
          <w:p w:rsidR="000E223B" w:rsidRPr="000E223B" w:rsidRDefault="000E223B" w:rsidP="001106BD">
            <w:pPr>
              <w:jc w:val="both"/>
              <w:rPr>
                <w:rFonts w:ascii="Verdana" w:hAnsi="Verdana" w:cs="Times New Roman"/>
                <w:sz w:val="16"/>
                <w:szCs w:val="16"/>
                <w:lang w:val="en-US"/>
              </w:rPr>
            </w:pPr>
            <w:r w:rsidRPr="000E223B">
              <w:rPr>
                <w:rFonts w:ascii="Verdana" w:hAnsi="Verdana" w:cs="Times New Roman"/>
                <w:sz w:val="16"/>
                <w:szCs w:val="16"/>
                <w:lang w:val="en-US"/>
              </w:rPr>
              <w:t>guideline 40</w:t>
            </w:r>
          </w:p>
        </w:tc>
        <w:tc>
          <w:tcPr>
            <w:tcW w:w="2096" w:type="pct"/>
          </w:tcPr>
          <w:p w:rsidR="000E223B" w:rsidRPr="00730B17" w:rsidRDefault="000E223B" w:rsidP="000E223B">
            <w:pPr>
              <w:pStyle w:val="ListParagraph"/>
              <w:numPr>
                <w:ilvl w:val="0"/>
                <w:numId w:val="43"/>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High data quality</w:t>
            </w:r>
          </w:p>
          <w:p w:rsidR="000E223B" w:rsidRPr="00730B17" w:rsidRDefault="000E223B" w:rsidP="000E223B">
            <w:pPr>
              <w:pStyle w:val="ListParagraph"/>
              <w:numPr>
                <w:ilvl w:val="0"/>
                <w:numId w:val="43"/>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Data-quality metrics</w:t>
            </w:r>
          </w:p>
          <w:p w:rsidR="000E223B" w:rsidRPr="00730B17" w:rsidRDefault="000E223B" w:rsidP="000E223B">
            <w:pPr>
              <w:pStyle w:val="ListParagraph"/>
              <w:numPr>
                <w:ilvl w:val="0"/>
                <w:numId w:val="43"/>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Automated data-quality monitoring</w:t>
            </w:r>
          </w:p>
        </w:tc>
        <w:tc>
          <w:tcPr>
            <w:tcW w:w="1527" w:type="pct"/>
          </w:tcPr>
          <w:p w:rsidR="000E223B" w:rsidRPr="00730B17"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 xml:space="preserve">Data quality management </w:t>
            </w:r>
          </w:p>
        </w:tc>
      </w:tr>
      <w:tr w:rsidR="000E223B" w:rsidRPr="001A0FAF" w:rsidTr="001106BD">
        <w:tc>
          <w:tcPr>
            <w:cnfStyle w:val="001000000000" w:firstRow="0" w:lastRow="0" w:firstColumn="1" w:lastColumn="0" w:oddVBand="0" w:evenVBand="0" w:oddHBand="0" w:evenHBand="0" w:firstRowFirstColumn="0" w:firstRowLastColumn="0" w:lastRowFirstColumn="0" w:lastRowLastColumn="0"/>
            <w:tcW w:w="1376" w:type="pct"/>
          </w:tcPr>
          <w:p w:rsidR="000E223B" w:rsidRPr="00730B17" w:rsidRDefault="000E223B" w:rsidP="001106BD">
            <w:pPr>
              <w:jc w:val="both"/>
              <w:rPr>
                <w:rFonts w:ascii="Verdana" w:hAnsi="Verdana" w:cs="Times New Roman"/>
                <w:sz w:val="16"/>
                <w:szCs w:val="16"/>
              </w:rPr>
            </w:pPr>
            <w:r w:rsidRPr="00730B17">
              <w:rPr>
                <w:rFonts w:ascii="Verdana" w:hAnsi="Verdana" w:cs="Times New Roman"/>
                <w:sz w:val="16"/>
                <w:szCs w:val="16"/>
              </w:rPr>
              <w:t>Principle 4: Completeness</w:t>
            </w:r>
          </w:p>
        </w:tc>
        <w:tc>
          <w:tcPr>
            <w:tcW w:w="2096" w:type="pct"/>
          </w:tcPr>
          <w:p w:rsidR="000E223B" w:rsidRPr="00730B17" w:rsidRDefault="000E223B" w:rsidP="000E223B">
            <w:pPr>
              <w:pStyle w:val="ListParagraph"/>
              <w:numPr>
                <w:ilvl w:val="0"/>
                <w:numId w:val="44"/>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Central data warehouse with all data from all divisions within the bank</w:t>
            </w:r>
          </w:p>
          <w:p w:rsidR="000E223B" w:rsidRPr="00730B17" w:rsidRDefault="000E223B" w:rsidP="000E223B">
            <w:pPr>
              <w:pStyle w:val="ListParagraph"/>
              <w:numPr>
                <w:ilvl w:val="0"/>
                <w:numId w:val="44"/>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Data storing in lowest granularity level to enable aggregation across different dimensions</w:t>
            </w:r>
          </w:p>
        </w:tc>
        <w:tc>
          <w:tcPr>
            <w:tcW w:w="1527" w:type="pct"/>
          </w:tcPr>
          <w:p w:rsidR="000E223B" w:rsidRPr="000E223B"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lang w:val="en-US"/>
              </w:rPr>
            </w:pPr>
            <w:r w:rsidRPr="000E223B">
              <w:rPr>
                <w:rFonts w:ascii="Verdana" w:hAnsi="Verdana" w:cs="Times New Roman"/>
                <w:sz w:val="16"/>
                <w:szCs w:val="16"/>
                <w:lang w:val="en-US"/>
              </w:rPr>
              <w:t>Master data management (data warehousing, data integration, data modeling)</w:t>
            </w:r>
          </w:p>
          <w:p w:rsidR="000E223B" w:rsidRPr="000E223B"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lang w:val="en-US"/>
              </w:rPr>
            </w:pPr>
            <w:r w:rsidRPr="000E223B">
              <w:rPr>
                <w:rFonts w:ascii="Verdana" w:hAnsi="Verdana" w:cs="Times New Roman"/>
                <w:sz w:val="16"/>
                <w:szCs w:val="16"/>
                <w:lang w:val="en-US"/>
              </w:rPr>
              <w:t>Data management (data taxonomy, data storage)</w:t>
            </w:r>
          </w:p>
        </w:tc>
      </w:tr>
      <w:tr w:rsidR="000E223B" w:rsidRPr="001A0FAF" w:rsidTr="00110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pct"/>
          </w:tcPr>
          <w:p w:rsidR="000E223B" w:rsidRPr="00730B17" w:rsidRDefault="000E223B" w:rsidP="001106BD">
            <w:pPr>
              <w:jc w:val="both"/>
              <w:rPr>
                <w:rFonts w:ascii="Verdana" w:hAnsi="Verdana" w:cs="Times New Roman"/>
                <w:sz w:val="16"/>
                <w:szCs w:val="16"/>
              </w:rPr>
            </w:pPr>
            <w:r w:rsidRPr="00730B17">
              <w:rPr>
                <w:rFonts w:ascii="Verdana" w:hAnsi="Verdana" w:cs="Times New Roman"/>
                <w:sz w:val="16"/>
                <w:szCs w:val="16"/>
              </w:rPr>
              <w:t>Principle 5 : Timeliness</w:t>
            </w:r>
          </w:p>
        </w:tc>
        <w:tc>
          <w:tcPr>
            <w:tcW w:w="2096" w:type="pct"/>
          </w:tcPr>
          <w:p w:rsidR="000E223B" w:rsidRPr="00730B17" w:rsidRDefault="000E223B" w:rsidP="000E223B">
            <w:pPr>
              <w:pStyle w:val="ListParagraph"/>
              <w:numPr>
                <w:ilvl w:val="0"/>
                <w:numId w:val="45"/>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Timely import of new data to data warehouse</w:t>
            </w:r>
          </w:p>
          <w:p w:rsidR="000E223B" w:rsidRPr="00730B17" w:rsidRDefault="000E223B" w:rsidP="000E223B">
            <w:pPr>
              <w:pStyle w:val="ListParagraph"/>
              <w:numPr>
                <w:ilvl w:val="0"/>
                <w:numId w:val="45"/>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Rapid production of new analysis and reports (depending on criticality of results)</w:t>
            </w:r>
          </w:p>
          <w:p w:rsidR="000E223B" w:rsidRPr="00730B17" w:rsidRDefault="000E223B" w:rsidP="000E223B">
            <w:pPr>
              <w:pStyle w:val="ListParagraph"/>
              <w:numPr>
                <w:ilvl w:val="0"/>
                <w:numId w:val="45"/>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Intraday data on-demand import, aggregation, analysis, and reporting</w:t>
            </w:r>
          </w:p>
          <w:p w:rsidR="000E223B" w:rsidRPr="00730B17" w:rsidRDefault="000E223B" w:rsidP="000E223B">
            <w:pPr>
              <w:pStyle w:val="ListParagraph"/>
              <w:numPr>
                <w:ilvl w:val="0"/>
                <w:numId w:val="45"/>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System-log analysis resulting in required unstructured data-analysis tools and big data requirements</w:t>
            </w:r>
          </w:p>
        </w:tc>
        <w:tc>
          <w:tcPr>
            <w:tcW w:w="1527" w:type="pct"/>
          </w:tcPr>
          <w:p w:rsidR="000E223B" w:rsidRPr="000E223B"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lang w:val="en-US"/>
              </w:rPr>
            </w:pPr>
            <w:r w:rsidRPr="000E223B">
              <w:rPr>
                <w:rFonts w:ascii="Verdana" w:hAnsi="Verdana" w:cs="Times New Roman"/>
                <w:sz w:val="16"/>
                <w:szCs w:val="16"/>
                <w:lang w:val="en-US"/>
              </w:rPr>
              <w:t>Data management (data migration, third party data extract)</w:t>
            </w:r>
          </w:p>
        </w:tc>
      </w:tr>
      <w:tr w:rsidR="000E223B" w:rsidRPr="00730B17" w:rsidTr="001106BD">
        <w:tc>
          <w:tcPr>
            <w:cnfStyle w:val="001000000000" w:firstRow="0" w:lastRow="0" w:firstColumn="1" w:lastColumn="0" w:oddVBand="0" w:evenVBand="0" w:oddHBand="0" w:evenHBand="0" w:firstRowFirstColumn="0" w:firstRowLastColumn="0" w:lastRowFirstColumn="0" w:lastRowLastColumn="0"/>
            <w:tcW w:w="1376" w:type="pct"/>
          </w:tcPr>
          <w:p w:rsidR="000E223B" w:rsidRPr="00730B17" w:rsidRDefault="000E223B" w:rsidP="001106BD">
            <w:pPr>
              <w:jc w:val="both"/>
              <w:rPr>
                <w:rFonts w:ascii="Verdana" w:hAnsi="Verdana" w:cs="Times New Roman"/>
                <w:sz w:val="16"/>
                <w:szCs w:val="16"/>
              </w:rPr>
            </w:pPr>
            <w:r w:rsidRPr="00730B17">
              <w:rPr>
                <w:rFonts w:ascii="Verdana" w:hAnsi="Verdana" w:cs="Times New Roman"/>
                <w:sz w:val="16"/>
                <w:szCs w:val="16"/>
              </w:rPr>
              <w:t>Principle 6: Adaptability, guideline 48 , 49 (b)</w:t>
            </w:r>
          </w:p>
        </w:tc>
        <w:tc>
          <w:tcPr>
            <w:tcW w:w="2096" w:type="pct"/>
          </w:tcPr>
          <w:p w:rsidR="000E223B" w:rsidRPr="00730B17" w:rsidRDefault="000E223B" w:rsidP="000E223B">
            <w:pPr>
              <w:pStyle w:val="ListParagraph"/>
              <w:numPr>
                <w:ilvl w:val="0"/>
                <w:numId w:val="46"/>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 xml:space="preserve">Flexibility in implementation of new requirements </w:t>
            </w:r>
          </w:p>
          <w:p w:rsidR="000E223B" w:rsidRPr="00730B17" w:rsidRDefault="000E223B" w:rsidP="000E223B">
            <w:pPr>
              <w:pStyle w:val="ListParagraph"/>
              <w:numPr>
                <w:ilvl w:val="0"/>
                <w:numId w:val="46"/>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Rapid time to market for new requirements</w:t>
            </w:r>
          </w:p>
          <w:p w:rsidR="000E223B" w:rsidRPr="00730B17" w:rsidRDefault="000E223B" w:rsidP="000E223B">
            <w:pPr>
              <w:pStyle w:val="ListParagraph"/>
              <w:numPr>
                <w:ilvl w:val="0"/>
                <w:numId w:val="46"/>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Ad-hoc queries</w:t>
            </w:r>
          </w:p>
          <w:p w:rsidR="000E223B" w:rsidRPr="00730B17" w:rsidRDefault="000E223B" w:rsidP="000E223B">
            <w:pPr>
              <w:pStyle w:val="ListParagraph"/>
              <w:numPr>
                <w:ilvl w:val="0"/>
                <w:numId w:val="46"/>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Ad-hoc analysis besides standard reporting</w:t>
            </w:r>
          </w:p>
          <w:p w:rsidR="000E223B" w:rsidRPr="00730B17" w:rsidRDefault="000E223B" w:rsidP="000E223B">
            <w:pPr>
              <w:pStyle w:val="ListParagraph"/>
              <w:numPr>
                <w:ilvl w:val="0"/>
                <w:numId w:val="46"/>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Forward-looking analysis and scenario calculations</w:t>
            </w:r>
          </w:p>
          <w:p w:rsidR="000E223B" w:rsidRPr="00730B17" w:rsidRDefault="000E223B" w:rsidP="000E223B">
            <w:pPr>
              <w:pStyle w:val="ListParagraph"/>
              <w:numPr>
                <w:ilvl w:val="0"/>
                <w:numId w:val="46"/>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Ad-hoc prediction of future risks</w:t>
            </w:r>
          </w:p>
          <w:p w:rsidR="000E223B" w:rsidRPr="00730B17" w:rsidRDefault="000E223B" w:rsidP="000E223B">
            <w:pPr>
              <w:pStyle w:val="ListParagraph"/>
              <w:numPr>
                <w:ilvl w:val="0"/>
                <w:numId w:val="46"/>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Interactive stress-testing across all data and risk factors of the bank across all dimensions</w:t>
            </w:r>
          </w:p>
          <w:p w:rsidR="000E223B" w:rsidRPr="00730B17" w:rsidRDefault="000E223B" w:rsidP="000E223B">
            <w:pPr>
              <w:pStyle w:val="ListParagraph"/>
              <w:numPr>
                <w:ilvl w:val="0"/>
                <w:numId w:val="46"/>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Drill-down capabilities to lowest granularity</w:t>
            </w:r>
          </w:p>
          <w:p w:rsidR="000E223B" w:rsidRPr="00730B17" w:rsidRDefault="000E223B" w:rsidP="000E223B">
            <w:pPr>
              <w:pStyle w:val="ListParagraph"/>
              <w:numPr>
                <w:ilvl w:val="0"/>
                <w:numId w:val="46"/>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Rapid visualization of ad-hoc results</w:t>
            </w:r>
          </w:p>
        </w:tc>
        <w:tc>
          <w:tcPr>
            <w:tcW w:w="1527" w:type="pct"/>
          </w:tcPr>
          <w:p w:rsidR="000E223B" w:rsidRPr="00730B17"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Analytics</w:t>
            </w:r>
          </w:p>
          <w:p w:rsidR="000E223B" w:rsidRPr="00730B17"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p>
        </w:tc>
      </w:tr>
      <w:tr w:rsidR="000E223B" w:rsidRPr="00730B17" w:rsidTr="00110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pct"/>
          </w:tcPr>
          <w:p w:rsidR="000E223B" w:rsidRPr="00730B17" w:rsidRDefault="000E223B" w:rsidP="001106BD">
            <w:pPr>
              <w:jc w:val="both"/>
              <w:rPr>
                <w:rFonts w:ascii="Verdana" w:hAnsi="Verdana" w:cs="Times New Roman"/>
                <w:sz w:val="16"/>
                <w:szCs w:val="16"/>
              </w:rPr>
            </w:pPr>
            <w:r w:rsidRPr="00730B17">
              <w:rPr>
                <w:rFonts w:ascii="Verdana" w:hAnsi="Verdana" w:cs="Times New Roman"/>
                <w:sz w:val="16"/>
                <w:szCs w:val="16"/>
              </w:rPr>
              <w:t>Principle 6: Adaptability, guideline 48 ( c) , (d)</w:t>
            </w:r>
          </w:p>
        </w:tc>
        <w:tc>
          <w:tcPr>
            <w:tcW w:w="2096" w:type="pct"/>
          </w:tcPr>
          <w:p w:rsidR="000E223B" w:rsidRPr="00730B17" w:rsidRDefault="000E223B" w:rsidP="000E223B">
            <w:pPr>
              <w:pStyle w:val="ListParagraph"/>
              <w:numPr>
                <w:ilvl w:val="0"/>
                <w:numId w:val="47"/>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Rapid business-driven change and enhancement capabilities within entire risk-aggregation value chain</w:t>
            </w:r>
          </w:p>
        </w:tc>
        <w:tc>
          <w:tcPr>
            <w:tcW w:w="1527" w:type="pct"/>
          </w:tcPr>
          <w:p w:rsidR="000E223B" w:rsidRPr="00730B17"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Analytics</w:t>
            </w:r>
          </w:p>
          <w:p w:rsidR="000E223B" w:rsidRPr="00730B17"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p>
        </w:tc>
      </w:tr>
      <w:tr w:rsidR="000E223B" w:rsidRPr="00730B17" w:rsidTr="001106BD">
        <w:tc>
          <w:tcPr>
            <w:cnfStyle w:val="001000000000" w:firstRow="0" w:lastRow="0" w:firstColumn="1" w:lastColumn="0" w:oddVBand="0" w:evenVBand="0" w:oddHBand="0" w:evenHBand="0" w:firstRowFirstColumn="0" w:firstRowLastColumn="0" w:lastRowFirstColumn="0" w:lastRowLastColumn="0"/>
            <w:tcW w:w="1376" w:type="pct"/>
          </w:tcPr>
          <w:p w:rsidR="000E223B" w:rsidRPr="00730B17" w:rsidRDefault="000E223B" w:rsidP="001106BD">
            <w:pPr>
              <w:jc w:val="both"/>
              <w:rPr>
                <w:rFonts w:ascii="Verdana" w:hAnsi="Verdana" w:cs="Times New Roman"/>
                <w:sz w:val="16"/>
                <w:szCs w:val="16"/>
              </w:rPr>
            </w:pPr>
            <w:r w:rsidRPr="00730B17">
              <w:rPr>
                <w:rFonts w:ascii="Verdana" w:hAnsi="Verdana" w:cs="Times New Roman"/>
                <w:sz w:val="16"/>
                <w:szCs w:val="16"/>
              </w:rPr>
              <w:t>Principle 6: Adaptability, guideline 50</w:t>
            </w:r>
          </w:p>
        </w:tc>
        <w:tc>
          <w:tcPr>
            <w:tcW w:w="2096" w:type="pct"/>
          </w:tcPr>
          <w:p w:rsidR="000E223B" w:rsidRPr="00730B17" w:rsidRDefault="000E223B" w:rsidP="000E223B">
            <w:pPr>
              <w:pStyle w:val="ListParagraph"/>
              <w:numPr>
                <w:ilvl w:val="0"/>
                <w:numId w:val="47"/>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Ad-hoc scenario capabilities on any set of data across the entire bank</w:t>
            </w:r>
          </w:p>
          <w:p w:rsidR="000E223B" w:rsidRPr="00730B17" w:rsidRDefault="000E223B" w:rsidP="000E223B">
            <w:pPr>
              <w:pStyle w:val="ListParagraph"/>
              <w:numPr>
                <w:ilvl w:val="0"/>
                <w:numId w:val="47"/>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Full business-driven flexibility in setting-up new simulations</w:t>
            </w:r>
          </w:p>
          <w:p w:rsidR="000E223B" w:rsidRPr="00730B17" w:rsidRDefault="000E223B" w:rsidP="000E223B">
            <w:pPr>
              <w:pStyle w:val="ListParagraph"/>
              <w:numPr>
                <w:ilvl w:val="0"/>
                <w:numId w:val="47"/>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Drill-down capabilities on ad-hoc scenario simulations</w:t>
            </w:r>
          </w:p>
        </w:tc>
        <w:tc>
          <w:tcPr>
            <w:tcW w:w="1527" w:type="pct"/>
          </w:tcPr>
          <w:p w:rsidR="000E223B" w:rsidRPr="00730B17"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Analytics</w:t>
            </w:r>
          </w:p>
          <w:p w:rsidR="000E223B" w:rsidRPr="00730B17"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p>
        </w:tc>
      </w:tr>
      <w:tr w:rsidR="000E223B" w:rsidRPr="001A0FAF" w:rsidTr="00110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pct"/>
          </w:tcPr>
          <w:p w:rsidR="000E223B" w:rsidRPr="00730B17" w:rsidRDefault="000E223B" w:rsidP="001106BD">
            <w:pPr>
              <w:jc w:val="both"/>
              <w:rPr>
                <w:rFonts w:ascii="Verdana" w:hAnsi="Verdana" w:cs="Times New Roman"/>
                <w:sz w:val="16"/>
                <w:szCs w:val="16"/>
              </w:rPr>
            </w:pPr>
            <w:r w:rsidRPr="00730B17">
              <w:rPr>
                <w:rFonts w:ascii="Verdana" w:hAnsi="Verdana" w:cs="Times New Roman"/>
                <w:sz w:val="16"/>
                <w:szCs w:val="16"/>
              </w:rPr>
              <w:t>Guideline 51</w:t>
            </w:r>
          </w:p>
        </w:tc>
        <w:tc>
          <w:tcPr>
            <w:tcW w:w="2096" w:type="pct"/>
          </w:tcPr>
          <w:p w:rsidR="000E223B" w:rsidRPr="00730B17" w:rsidRDefault="000E223B" w:rsidP="000E223B">
            <w:pPr>
              <w:pStyle w:val="ListParagraph"/>
              <w:numPr>
                <w:ilvl w:val="0"/>
                <w:numId w:val="48"/>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Flexibility to send the right information at the right time to the right people</w:t>
            </w:r>
          </w:p>
        </w:tc>
        <w:tc>
          <w:tcPr>
            <w:tcW w:w="1527" w:type="pct"/>
          </w:tcPr>
          <w:p w:rsidR="000E223B" w:rsidRPr="000E223B"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lang w:val="en-US"/>
              </w:rPr>
            </w:pPr>
            <w:r w:rsidRPr="000E223B">
              <w:rPr>
                <w:rFonts w:ascii="Verdana" w:hAnsi="Verdana" w:cs="Times New Roman"/>
                <w:sz w:val="16"/>
                <w:szCs w:val="16"/>
                <w:lang w:val="en-US"/>
              </w:rPr>
              <w:t>Security and privacy (data access rights)</w:t>
            </w:r>
          </w:p>
        </w:tc>
      </w:tr>
      <w:tr w:rsidR="000E223B" w:rsidRPr="001A0FAF" w:rsidTr="001106BD">
        <w:tc>
          <w:tcPr>
            <w:cnfStyle w:val="001000000000" w:firstRow="0" w:lastRow="0" w:firstColumn="1" w:lastColumn="0" w:oddVBand="0" w:evenVBand="0" w:oddHBand="0" w:evenHBand="0" w:firstRowFirstColumn="0" w:firstRowLastColumn="0" w:lastRowFirstColumn="0" w:lastRowLastColumn="0"/>
            <w:tcW w:w="1376" w:type="pct"/>
          </w:tcPr>
          <w:p w:rsidR="000E223B" w:rsidRPr="00730B17" w:rsidRDefault="000E223B" w:rsidP="001106BD">
            <w:pPr>
              <w:jc w:val="both"/>
              <w:rPr>
                <w:rFonts w:ascii="Verdana" w:hAnsi="Verdana" w:cs="Times New Roman"/>
                <w:sz w:val="16"/>
                <w:szCs w:val="16"/>
              </w:rPr>
            </w:pPr>
            <w:r w:rsidRPr="00730B17">
              <w:rPr>
                <w:rFonts w:ascii="Verdana" w:hAnsi="Verdana" w:cs="Times New Roman"/>
                <w:sz w:val="16"/>
                <w:szCs w:val="16"/>
              </w:rPr>
              <w:t>Principle 7: Accuracy</w:t>
            </w:r>
          </w:p>
        </w:tc>
        <w:tc>
          <w:tcPr>
            <w:tcW w:w="2096" w:type="pct"/>
          </w:tcPr>
          <w:p w:rsidR="000E223B" w:rsidRPr="00730B17" w:rsidRDefault="000E223B" w:rsidP="000E223B">
            <w:pPr>
              <w:pStyle w:val="ListParagraph"/>
              <w:numPr>
                <w:ilvl w:val="0"/>
                <w:numId w:val="48"/>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Reconciliation capabilities across different results</w:t>
            </w:r>
          </w:p>
        </w:tc>
        <w:tc>
          <w:tcPr>
            <w:tcW w:w="1527" w:type="pct"/>
          </w:tcPr>
          <w:p w:rsidR="000E223B" w:rsidRPr="000E223B"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lang w:val="en-US"/>
              </w:rPr>
            </w:pPr>
            <w:r w:rsidRPr="000E223B">
              <w:rPr>
                <w:rFonts w:ascii="Verdana" w:hAnsi="Verdana" w:cs="Times New Roman"/>
                <w:sz w:val="16"/>
                <w:szCs w:val="16"/>
                <w:lang w:val="en-US"/>
              </w:rPr>
              <w:t>Security and privacy (data compliance)</w:t>
            </w:r>
          </w:p>
        </w:tc>
      </w:tr>
      <w:tr w:rsidR="000E223B" w:rsidRPr="00730B17" w:rsidTr="00110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pct"/>
          </w:tcPr>
          <w:p w:rsidR="000E223B" w:rsidRPr="00730B17" w:rsidRDefault="000E223B" w:rsidP="001106BD">
            <w:pPr>
              <w:jc w:val="both"/>
              <w:rPr>
                <w:rFonts w:ascii="Verdana" w:hAnsi="Verdana" w:cs="Times New Roman"/>
                <w:sz w:val="16"/>
                <w:szCs w:val="16"/>
              </w:rPr>
            </w:pPr>
            <w:r w:rsidRPr="00730B17">
              <w:rPr>
                <w:rFonts w:ascii="Verdana" w:hAnsi="Verdana" w:cs="Times New Roman"/>
                <w:sz w:val="16"/>
                <w:szCs w:val="16"/>
              </w:rPr>
              <w:t>Principle 7: Accuracy, guideline 53</w:t>
            </w:r>
          </w:p>
        </w:tc>
        <w:tc>
          <w:tcPr>
            <w:tcW w:w="2096" w:type="pct"/>
          </w:tcPr>
          <w:p w:rsidR="000E223B" w:rsidRPr="00730B17" w:rsidRDefault="000E223B" w:rsidP="000E223B">
            <w:pPr>
              <w:pStyle w:val="ListParagraph"/>
              <w:numPr>
                <w:ilvl w:val="0"/>
                <w:numId w:val="48"/>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Automated reasonability and quality checks</w:t>
            </w:r>
          </w:p>
        </w:tc>
        <w:tc>
          <w:tcPr>
            <w:tcW w:w="1527" w:type="pct"/>
          </w:tcPr>
          <w:p w:rsidR="000E223B" w:rsidRPr="00730B17"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Data quality management</w:t>
            </w:r>
          </w:p>
        </w:tc>
      </w:tr>
      <w:tr w:rsidR="000E223B" w:rsidRPr="001A0FAF" w:rsidTr="001106BD">
        <w:tc>
          <w:tcPr>
            <w:cnfStyle w:val="001000000000" w:firstRow="0" w:lastRow="0" w:firstColumn="1" w:lastColumn="0" w:oddVBand="0" w:evenVBand="0" w:oddHBand="0" w:evenHBand="0" w:firstRowFirstColumn="0" w:firstRowLastColumn="0" w:lastRowFirstColumn="0" w:lastRowLastColumn="0"/>
            <w:tcW w:w="1376" w:type="pct"/>
          </w:tcPr>
          <w:p w:rsidR="000E223B" w:rsidRPr="00730B17" w:rsidRDefault="000E223B" w:rsidP="001106BD">
            <w:pPr>
              <w:jc w:val="both"/>
              <w:rPr>
                <w:rFonts w:ascii="Verdana" w:hAnsi="Verdana" w:cs="Times New Roman"/>
                <w:sz w:val="16"/>
                <w:szCs w:val="16"/>
              </w:rPr>
            </w:pPr>
            <w:r w:rsidRPr="00730B17">
              <w:rPr>
                <w:rFonts w:ascii="Verdana" w:hAnsi="Verdana" w:cs="Times New Roman"/>
                <w:sz w:val="16"/>
                <w:szCs w:val="16"/>
              </w:rPr>
              <w:t>Principle 8: Comprehensiveness, guideline 57</w:t>
            </w:r>
          </w:p>
        </w:tc>
        <w:tc>
          <w:tcPr>
            <w:tcW w:w="2096" w:type="pct"/>
          </w:tcPr>
          <w:p w:rsidR="000E223B" w:rsidRPr="00730B17" w:rsidRDefault="000E223B" w:rsidP="000E223B">
            <w:pPr>
              <w:pStyle w:val="ListParagraph"/>
              <w:numPr>
                <w:ilvl w:val="0"/>
                <w:numId w:val="48"/>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All material risk data within the organization included in data aggregation and analysis</w:t>
            </w:r>
          </w:p>
          <w:p w:rsidR="000E223B" w:rsidRPr="00730B17" w:rsidRDefault="000E223B" w:rsidP="000E223B">
            <w:pPr>
              <w:pStyle w:val="ListParagraph"/>
              <w:numPr>
                <w:ilvl w:val="0"/>
                <w:numId w:val="48"/>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All transactional data produced within a bank included in the risk data warehouse</w:t>
            </w:r>
          </w:p>
        </w:tc>
        <w:tc>
          <w:tcPr>
            <w:tcW w:w="1527" w:type="pct"/>
          </w:tcPr>
          <w:p w:rsidR="000E223B" w:rsidRPr="000E223B"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lang w:val="en-US"/>
              </w:rPr>
            </w:pPr>
            <w:r w:rsidRPr="000E223B">
              <w:rPr>
                <w:rFonts w:ascii="Verdana" w:hAnsi="Verdana" w:cs="Times New Roman"/>
                <w:sz w:val="16"/>
                <w:szCs w:val="16"/>
                <w:lang w:val="en-US"/>
              </w:rPr>
              <w:t>Security and privacy (data risk management, data compliance)</w:t>
            </w:r>
          </w:p>
        </w:tc>
      </w:tr>
      <w:tr w:rsidR="000E223B" w:rsidRPr="001A0FAF" w:rsidTr="00110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pct"/>
          </w:tcPr>
          <w:p w:rsidR="000E223B" w:rsidRPr="00730B17" w:rsidRDefault="000E223B" w:rsidP="001106BD">
            <w:pPr>
              <w:jc w:val="both"/>
              <w:rPr>
                <w:rFonts w:ascii="Verdana" w:hAnsi="Verdana" w:cs="Times New Roman"/>
                <w:sz w:val="16"/>
                <w:szCs w:val="16"/>
              </w:rPr>
            </w:pPr>
            <w:r w:rsidRPr="00730B17">
              <w:rPr>
                <w:rFonts w:ascii="Verdana" w:hAnsi="Verdana" w:cs="Times New Roman"/>
                <w:sz w:val="16"/>
                <w:szCs w:val="16"/>
              </w:rPr>
              <w:t>Principle 8: Comprehensiveness, guideline 58</w:t>
            </w:r>
          </w:p>
        </w:tc>
        <w:tc>
          <w:tcPr>
            <w:tcW w:w="2096" w:type="pct"/>
          </w:tcPr>
          <w:p w:rsidR="000E223B" w:rsidRPr="00730B17" w:rsidRDefault="000E223B" w:rsidP="000E223B">
            <w:pPr>
              <w:pStyle w:val="ListParagraph"/>
              <w:numPr>
                <w:ilvl w:val="0"/>
                <w:numId w:val="49"/>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Risk results comparable across the entire organization and all divisions</w:t>
            </w:r>
          </w:p>
          <w:p w:rsidR="000E223B" w:rsidRPr="00730B17" w:rsidRDefault="000E223B" w:rsidP="000E223B">
            <w:pPr>
              <w:pStyle w:val="ListParagraph"/>
              <w:numPr>
                <w:ilvl w:val="0"/>
                <w:numId w:val="49"/>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One data model (logical, semantic layer, data access layer, etc.) across the organization and all divisions</w:t>
            </w:r>
          </w:p>
        </w:tc>
        <w:tc>
          <w:tcPr>
            <w:tcW w:w="1527" w:type="pct"/>
          </w:tcPr>
          <w:p w:rsidR="000E223B" w:rsidRPr="000E223B"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lang w:val="en-US"/>
              </w:rPr>
            </w:pPr>
            <w:r w:rsidRPr="000E223B">
              <w:rPr>
                <w:rFonts w:ascii="Verdana" w:hAnsi="Verdana" w:cs="Times New Roman"/>
                <w:sz w:val="16"/>
                <w:szCs w:val="16"/>
                <w:lang w:val="en-US"/>
              </w:rPr>
              <w:t>Master data management (enterprise data model, data modeling)</w:t>
            </w:r>
          </w:p>
          <w:p w:rsidR="000E223B" w:rsidRPr="000E223B"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lang w:val="en-US"/>
              </w:rPr>
            </w:pPr>
            <w:r w:rsidRPr="000E223B">
              <w:rPr>
                <w:rFonts w:ascii="Verdana" w:hAnsi="Verdana" w:cs="Times New Roman"/>
                <w:sz w:val="16"/>
                <w:szCs w:val="16"/>
                <w:lang w:val="en-US"/>
              </w:rPr>
              <w:t>Data management (data traceability)</w:t>
            </w:r>
          </w:p>
          <w:p w:rsidR="000E223B" w:rsidRPr="000E223B"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lang w:val="en-US"/>
              </w:rPr>
            </w:pPr>
            <w:r w:rsidRPr="000E223B">
              <w:rPr>
                <w:rFonts w:ascii="Verdana" w:hAnsi="Verdana" w:cs="Times New Roman"/>
                <w:sz w:val="16"/>
                <w:szCs w:val="16"/>
                <w:lang w:val="en-US"/>
              </w:rPr>
              <w:t>Metadata management</w:t>
            </w:r>
          </w:p>
        </w:tc>
      </w:tr>
      <w:tr w:rsidR="000E223B" w:rsidRPr="00730B17" w:rsidTr="001106BD">
        <w:tc>
          <w:tcPr>
            <w:cnfStyle w:val="001000000000" w:firstRow="0" w:lastRow="0" w:firstColumn="1" w:lastColumn="0" w:oddVBand="0" w:evenVBand="0" w:oddHBand="0" w:evenHBand="0" w:firstRowFirstColumn="0" w:firstRowLastColumn="0" w:lastRowFirstColumn="0" w:lastRowLastColumn="0"/>
            <w:tcW w:w="1376" w:type="pct"/>
          </w:tcPr>
          <w:p w:rsidR="000E223B" w:rsidRPr="00730B17" w:rsidRDefault="000E223B" w:rsidP="001106BD">
            <w:pPr>
              <w:jc w:val="both"/>
              <w:rPr>
                <w:rFonts w:ascii="Verdana" w:hAnsi="Verdana" w:cs="Times New Roman"/>
                <w:sz w:val="16"/>
                <w:szCs w:val="16"/>
              </w:rPr>
            </w:pPr>
            <w:r w:rsidRPr="00730B17">
              <w:rPr>
                <w:rFonts w:ascii="Verdana" w:hAnsi="Verdana" w:cs="Times New Roman"/>
                <w:sz w:val="16"/>
                <w:szCs w:val="16"/>
              </w:rPr>
              <w:t xml:space="preserve">Principle 8: Comprehensiveness, </w:t>
            </w:r>
            <w:r w:rsidRPr="00730B17">
              <w:rPr>
                <w:rFonts w:ascii="Verdana" w:hAnsi="Verdana" w:cs="Times New Roman"/>
                <w:sz w:val="16"/>
                <w:szCs w:val="16"/>
              </w:rPr>
              <w:lastRenderedPageBreak/>
              <w:t>guideline 60</w:t>
            </w:r>
          </w:p>
        </w:tc>
        <w:tc>
          <w:tcPr>
            <w:tcW w:w="2096" w:type="pct"/>
          </w:tcPr>
          <w:p w:rsidR="000E223B" w:rsidRPr="00730B17" w:rsidRDefault="000E223B" w:rsidP="000E223B">
            <w:pPr>
              <w:pStyle w:val="ListParagraph"/>
              <w:numPr>
                <w:ilvl w:val="0"/>
                <w:numId w:val="50"/>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lastRenderedPageBreak/>
              <w:t xml:space="preserve">Ex-post analysis and an ex-ante simulation layer available across all risks </w:t>
            </w:r>
            <w:r w:rsidRPr="00730B17">
              <w:rPr>
                <w:rFonts w:ascii="Verdana" w:hAnsi="Verdana" w:cs="Times New Roman"/>
                <w:sz w:val="16"/>
                <w:szCs w:val="16"/>
              </w:rPr>
              <w:lastRenderedPageBreak/>
              <w:t>within the bank</w:t>
            </w:r>
          </w:p>
        </w:tc>
        <w:tc>
          <w:tcPr>
            <w:tcW w:w="1527" w:type="pct"/>
          </w:tcPr>
          <w:p w:rsidR="000E223B" w:rsidRPr="00730B17"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lastRenderedPageBreak/>
              <w:t>Analytics</w:t>
            </w:r>
          </w:p>
        </w:tc>
      </w:tr>
      <w:tr w:rsidR="000E223B" w:rsidRPr="00730B17" w:rsidTr="00110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pct"/>
          </w:tcPr>
          <w:p w:rsidR="000E223B" w:rsidRPr="00730B17" w:rsidRDefault="000E223B" w:rsidP="001106BD">
            <w:pPr>
              <w:jc w:val="both"/>
              <w:rPr>
                <w:rFonts w:ascii="Verdana" w:hAnsi="Verdana" w:cs="Times New Roman"/>
                <w:sz w:val="16"/>
                <w:szCs w:val="16"/>
              </w:rPr>
            </w:pPr>
            <w:r w:rsidRPr="00730B17">
              <w:rPr>
                <w:rFonts w:ascii="Verdana" w:hAnsi="Verdana" w:cs="Times New Roman"/>
                <w:sz w:val="16"/>
                <w:szCs w:val="16"/>
              </w:rPr>
              <w:lastRenderedPageBreak/>
              <w:t>Principle 10: Frequency</w:t>
            </w:r>
          </w:p>
        </w:tc>
        <w:tc>
          <w:tcPr>
            <w:tcW w:w="2096" w:type="pct"/>
          </w:tcPr>
          <w:p w:rsidR="000E223B" w:rsidRPr="00730B17" w:rsidRDefault="000E223B" w:rsidP="000E223B">
            <w:pPr>
              <w:pStyle w:val="ListParagraph"/>
              <w:numPr>
                <w:ilvl w:val="0"/>
                <w:numId w:val="50"/>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Analysis and reporting frequency to match the speed with which the underlying risk may change</w:t>
            </w:r>
          </w:p>
          <w:p w:rsidR="000E223B" w:rsidRPr="00730B17" w:rsidRDefault="000E223B" w:rsidP="000E223B">
            <w:pPr>
              <w:pStyle w:val="ListParagraph"/>
              <w:numPr>
                <w:ilvl w:val="0"/>
                <w:numId w:val="50"/>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 xml:space="preserve">Capability for the reality that credit risk, market risk, and liquidity risk all depend on capital market prices and can change drastically within seconds </w:t>
            </w:r>
          </w:p>
          <w:p w:rsidR="000E223B" w:rsidRPr="00730B17" w:rsidRDefault="000E223B" w:rsidP="000E223B">
            <w:pPr>
              <w:pStyle w:val="ListParagraph"/>
              <w:numPr>
                <w:ilvl w:val="0"/>
                <w:numId w:val="50"/>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Intra-day risk reporting at a minimum or, better, within hours or minutes</w:t>
            </w:r>
          </w:p>
          <w:p w:rsidR="000E223B" w:rsidRPr="00730B17" w:rsidRDefault="000E223B" w:rsidP="000E223B">
            <w:pPr>
              <w:pStyle w:val="ListParagraph"/>
              <w:numPr>
                <w:ilvl w:val="0"/>
                <w:numId w:val="50"/>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Risk on demand in times of market turmoil</w:t>
            </w:r>
          </w:p>
        </w:tc>
        <w:tc>
          <w:tcPr>
            <w:tcW w:w="1527" w:type="pct"/>
          </w:tcPr>
          <w:p w:rsidR="000E223B" w:rsidRPr="00730B17"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Analytics</w:t>
            </w:r>
          </w:p>
        </w:tc>
      </w:tr>
      <w:tr w:rsidR="000E223B" w:rsidRPr="00730B17" w:rsidTr="001106BD">
        <w:tc>
          <w:tcPr>
            <w:cnfStyle w:val="001000000000" w:firstRow="0" w:lastRow="0" w:firstColumn="1" w:lastColumn="0" w:oddVBand="0" w:evenVBand="0" w:oddHBand="0" w:evenHBand="0" w:firstRowFirstColumn="0" w:firstRowLastColumn="0" w:lastRowFirstColumn="0" w:lastRowLastColumn="0"/>
            <w:tcW w:w="1376" w:type="pct"/>
          </w:tcPr>
          <w:p w:rsidR="000E223B" w:rsidRPr="00730B17" w:rsidRDefault="000E223B" w:rsidP="001106BD">
            <w:pPr>
              <w:jc w:val="both"/>
              <w:rPr>
                <w:rFonts w:ascii="Verdana" w:hAnsi="Verdana" w:cs="Times New Roman"/>
                <w:sz w:val="16"/>
                <w:szCs w:val="16"/>
              </w:rPr>
            </w:pPr>
            <w:r w:rsidRPr="00730B17">
              <w:rPr>
                <w:rFonts w:ascii="Verdana" w:hAnsi="Verdana" w:cs="Times New Roman"/>
                <w:sz w:val="16"/>
                <w:szCs w:val="16"/>
              </w:rPr>
              <w:t>Principle 12: Review, guideline 75</w:t>
            </w:r>
          </w:p>
        </w:tc>
        <w:tc>
          <w:tcPr>
            <w:tcW w:w="2096" w:type="pct"/>
          </w:tcPr>
          <w:p w:rsidR="000E223B" w:rsidRPr="00730B17" w:rsidRDefault="000E223B" w:rsidP="000E223B">
            <w:pPr>
              <w:pStyle w:val="ListParagraph"/>
              <w:numPr>
                <w:ilvl w:val="0"/>
                <w:numId w:val="51"/>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Capability for more frequent and rapid review and testing of aggregation and analytical results by regulators</w:t>
            </w:r>
          </w:p>
          <w:p w:rsidR="000E223B" w:rsidRPr="00730B17" w:rsidRDefault="000E223B" w:rsidP="000E223B">
            <w:pPr>
              <w:pStyle w:val="ListParagraph"/>
              <w:numPr>
                <w:ilvl w:val="0"/>
                <w:numId w:val="51"/>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Ability to explain data and analytical results produced in the past</w:t>
            </w:r>
          </w:p>
          <w:p w:rsidR="000E223B" w:rsidRPr="00730B17" w:rsidRDefault="000E223B" w:rsidP="000E223B">
            <w:pPr>
              <w:pStyle w:val="ListParagraph"/>
              <w:numPr>
                <w:ilvl w:val="0"/>
                <w:numId w:val="51"/>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Rapid retrievability of historic data content and assumptions going into analysis</w:t>
            </w:r>
          </w:p>
          <w:p w:rsidR="000E223B" w:rsidRPr="00730B17" w:rsidRDefault="000E223B" w:rsidP="000E223B">
            <w:pPr>
              <w:pStyle w:val="ListParagraph"/>
              <w:numPr>
                <w:ilvl w:val="0"/>
                <w:numId w:val="51"/>
              </w:numPr>
              <w:spacing w:after="0" w:line="240" w:lineRule="auto"/>
              <w:ind w:left="0" w:firstLine="0"/>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 xml:space="preserve">Temporal database design and retrieval capabilities </w:t>
            </w:r>
          </w:p>
        </w:tc>
        <w:tc>
          <w:tcPr>
            <w:tcW w:w="1527" w:type="pct"/>
          </w:tcPr>
          <w:p w:rsidR="000E223B" w:rsidRPr="00730B17" w:rsidRDefault="000E223B" w:rsidP="001106BD">
            <w:pPr>
              <w:jc w:val="both"/>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Data management</w:t>
            </w:r>
          </w:p>
        </w:tc>
      </w:tr>
      <w:tr w:rsidR="000E223B" w:rsidRPr="00730B17" w:rsidTr="00110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pct"/>
          </w:tcPr>
          <w:p w:rsidR="000E223B" w:rsidRPr="00730B17" w:rsidRDefault="000E223B" w:rsidP="001106BD">
            <w:pPr>
              <w:jc w:val="both"/>
              <w:rPr>
                <w:rFonts w:ascii="Verdana" w:hAnsi="Verdana" w:cs="Times New Roman"/>
                <w:sz w:val="16"/>
                <w:szCs w:val="16"/>
              </w:rPr>
            </w:pPr>
            <w:r w:rsidRPr="00730B17">
              <w:rPr>
                <w:rFonts w:ascii="Verdana" w:hAnsi="Verdana" w:cs="Times New Roman"/>
                <w:sz w:val="16"/>
                <w:szCs w:val="16"/>
              </w:rPr>
              <w:t>Principle 12: Review, guideline 76</w:t>
            </w:r>
          </w:p>
        </w:tc>
        <w:tc>
          <w:tcPr>
            <w:tcW w:w="2096" w:type="pct"/>
          </w:tcPr>
          <w:p w:rsidR="000E223B" w:rsidRPr="00730B17" w:rsidRDefault="000E223B" w:rsidP="000E223B">
            <w:pPr>
              <w:pStyle w:val="ListParagraph"/>
              <w:numPr>
                <w:ilvl w:val="0"/>
                <w:numId w:val="52"/>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Review and assessment of data aggregation and analysis from external experts</w:t>
            </w:r>
          </w:p>
        </w:tc>
        <w:tc>
          <w:tcPr>
            <w:tcW w:w="1527" w:type="pct"/>
          </w:tcPr>
          <w:p w:rsidR="000E223B" w:rsidRPr="00730B17" w:rsidRDefault="000E223B" w:rsidP="001106BD">
            <w:pPr>
              <w:jc w:val="both"/>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Metrics development and monitoring</w:t>
            </w:r>
          </w:p>
        </w:tc>
      </w:tr>
    </w:tbl>
    <w:p w:rsidR="000E223B" w:rsidRPr="00753959" w:rsidRDefault="000E223B" w:rsidP="000E223B">
      <w:pPr>
        <w:spacing w:line="360" w:lineRule="auto"/>
        <w:jc w:val="center"/>
        <w:rPr>
          <w:rFonts w:ascii="Verdana" w:hAnsi="Verdana" w:cs="Times New Roman"/>
          <w:sz w:val="18"/>
          <w:szCs w:val="18"/>
          <w:lang w:val="en-US"/>
        </w:rPr>
      </w:pPr>
      <w:r w:rsidRPr="00753959">
        <w:rPr>
          <w:rFonts w:ascii="Verdana" w:hAnsi="Verdana" w:cs="Times New Roman"/>
          <w:sz w:val="18"/>
          <w:szCs w:val="18"/>
          <w:lang w:val="en-US"/>
        </w:rPr>
        <w:t>Table 6.1 Mapping Basel III principles to data governance processes</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From table 6.1 we notice that the same elements from the model presented in Chapter 4 are mentioned more than once while mapping the Basel III principles and guidelines. Based on how frequently these key process areas/sub-processes are mentioned, we can create a ranking of the most important elements of a data governance program, applicable to the financial sector, based o</w:t>
      </w:r>
      <w:r w:rsidR="00753959">
        <w:rPr>
          <w:rFonts w:ascii="Verdana" w:hAnsi="Verdana" w:cs="Times New Roman"/>
          <w:sz w:val="20"/>
          <w:szCs w:val="20"/>
          <w:lang w:val="en-US"/>
        </w:rPr>
        <w:t xml:space="preserve">n the Basel III framework. The </w:t>
      </w:r>
      <w:r w:rsidRPr="000E223B">
        <w:rPr>
          <w:rFonts w:ascii="Verdana" w:hAnsi="Verdana" w:cs="Times New Roman"/>
          <w:sz w:val="20"/>
          <w:szCs w:val="20"/>
          <w:lang w:val="en-US"/>
        </w:rPr>
        <w:t xml:space="preserve">ranking frequency is presented in Appendix E. </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The key process areas and sub-processes most frequently mentioned in the Basel III framework for risk reporting are the following : </w:t>
      </w:r>
      <w:r w:rsidRPr="000E223B">
        <w:rPr>
          <w:rFonts w:ascii="Verdana" w:hAnsi="Verdana" w:cs="Times New Roman"/>
          <w:i/>
          <w:sz w:val="20"/>
          <w:szCs w:val="20"/>
          <w:u w:val="single"/>
          <w:lang w:val="en-US"/>
        </w:rPr>
        <w:t>analytics</w:t>
      </w:r>
      <w:r w:rsidRPr="000E223B">
        <w:rPr>
          <w:rFonts w:ascii="Verdana" w:hAnsi="Verdana" w:cs="Times New Roman"/>
          <w:sz w:val="20"/>
          <w:szCs w:val="20"/>
          <w:lang w:val="en-US"/>
        </w:rPr>
        <w:t xml:space="preserve">, </w:t>
      </w:r>
      <w:r w:rsidRPr="000E223B">
        <w:rPr>
          <w:rFonts w:ascii="Verdana" w:hAnsi="Verdana" w:cs="Times New Roman"/>
          <w:i/>
          <w:sz w:val="20"/>
          <w:szCs w:val="20"/>
          <w:u w:val="single"/>
          <w:lang w:val="en-US"/>
        </w:rPr>
        <w:t>infrastructure</w:t>
      </w:r>
      <w:r w:rsidRPr="000E223B">
        <w:rPr>
          <w:rFonts w:ascii="Verdana" w:hAnsi="Verdana" w:cs="Times New Roman"/>
          <w:sz w:val="20"/>
          <w:szCs w:val="20"/>
          <w:lang w:val="en-US"/>
        </w:rPr>
        <w:t xml:space="preserve">, </w:t>
      </w:r>
      <w:r w:rsidRPr="000E223B">
        <w:rPr>
          <w:rFonts w:ascii="Verdana" w:hAnsi="Verdana" w:cs="Times New Roman"/>
          <w:i/>
          <w:sz w:val="20"/>
          <w:szCs w:val="20"/>
          <w:u w:val="single"/>
          <w:lang w:val="en-US"/>
        </w:rPr>
        <w:t>data integration</w:t>
      </w:r>
      <w:r w:rsidRPr="000E223B">
        <w:rPr>
          <w:rFonts w:ascii="Verdana" w:hAnsi="Verdana" w:cs="Times New Roman"/>
          <w:sz w:val="20"/>
          <w:szCs w:val="20"/>
          <w:lang w:val="en-US"/>
        </w:rPr>
        <w:t xml:space="preserve">, </w:t>
      </w:r>
      <w:r w:rsidRPr="000E223B">
        <w:rPr>
          <w:rFonts w:ascii="Verdana" w:hAnsi="Verdana" w:cs="Times New Roman"/>
          <w:i/>
          <w:sz w:val="20"/>
          <w:szCs w:val="20"/>
          <w:u w:val="single"/>
          <w:lang w:val="en-US"/>
        </w:rPr>
        <w:t>data warehousing</w:t>
      </w:r>
      <w:r w:rsidRPr="000E223B">
        <w:rPr>
          <w:rFonts w:ascii="Verdana" w:hAnsi="Verdana" w:cs="Times New Roman"/>
          <w:sz w:val="20"/>
          <w:szCs w:val="20"/>
          <w:lang w:val="en-US"/>
        </w:rPr>
        <w:t xml:space="preserve">, </w:t>
      </w:r>
      <w:r w:rsidRPr="000E223B">
        <w:rPr>
          <w:rFonts w:ascii="Verdana" w:hAnsi="Verdana" w:cs="Times New Roman"/>
          <w:i/>
          <w:sz w:val="20"/>
          <w:szCs w:val="20"/>
          <w:u w:val="single"/>
          <w:lang w:val="en-US"/>
        </w:rPr>
        <w:t>data modeling</w:t>
      </w:r>
      <w:r w:rsidRPr="000E223B">
        <w:rPr>
          <w:rFonts w:ascii="Verdana" w:hAnsi="Verdana" w:cs="Times New Roman"/>
          <w:sz w:val="20"/>
          <w:szCs w:val="20"/>
          <w:lang w:val="en-US"/>
        </w:rPr>
        <w:t xml:space="preserve">, </w:t>
      </w:r>
      <w:r w:rsidRPr="000E223B">
        <w:rPr>
          <w:rFonts w:ascii="Verdana" w:hAnsi="Verdana" w:cs="Times New Roman"/>
          <w:i/>
          <w:sz w:val="20"/>
          <w:szCs w:val="20"/>
          <w:u w:val="single"/>
          <w:lang w:val="en-US"/>
        </w:rPr>
        <w:t>enterprise data model</w:t>
      </w:r>
      <w:r w:rsidRPr="000E223B">
        <w:rPr>
          <w:rFonts w:ascii="Verdana" w:hAnsi="Verdana" w:cs="Times New Roman"/>
          <w:sz w:val="20"/>
          <w:szCs w:val="20"/>
          <w:lang w:val="en-US"/>
        </w:rPr>
        <w:t xml:space="preserve">, </w:t>
      </w:r>
      <w:r w:rsidRPr="000E223B">
        <w:rPr>
          <w:rFonts w:ascii="Verdana" w:hAnsi="Verdana" w:cs="Times New Roman"/>
          <w:i/>
          <w:sz w:val="20"/>
          <w:szCs w:val="20"/>
          <w:u w:val="single"/>
          <w:lang w:val="en-US"/>
        </w:rPr>
        <w:t>data quality management</w:t>
      </w:r>
      <w:r w:rsidRPr="000E223B">
        <w:rPr>
          <w:rFonts w:ascii="Verdana" w:hAnsi="Verdana" w:cs="Times New Roman"/>
          <w:sz w:val="20"/>
          <w:szCs w:val="20"/>
          <w:lang w:val="en-US"/>
        </w:rPr>
        <w:t xml:space="preserve">, </w:t>
      </w:r>
      <w:r w:rsidRPr="000E223B">
        <w:rPr>
          <w:rFonts w:ascii="Verdana" w:hAnsi="Verdana" w:cs="Times New Roman"/>
          <w:i/>
          <w:sz w:val="20"/>
          <w:szCs w:val="20"/>
          <w:u w:val="single"/>
          <w:lang w:val="en-US"/>
        </w:rPr>
        <w:t>data management</w:t>
      </w:r>
      <w:r w:rsidRPr="000E223B">
        <w:rPr>
          <w:rFonts w:ascii="Verdana" w:hAnsi="Verdana" w:cs="Times New Roman"/>
          <w:sz w:val="20"/>
          <w:szCs w:val="20"/>
          <w:lang w:val="en-US"/>
        </w:rPr>
        <w:t xml:space="preserve">, </w:t>
      </w:r>
      <w:r w:rsidRPr="000E223B">
        <w:rPr>
          <w:rFonts w:ascii="Verdana" w:hAnsi="Verdana" w:cs="Times New Roman"/>
          <w:i/>
          <w:sz w:val="20"/>
          <w:szCs w:val="20"/>
          <w:u w:val="single"/>
          <w:lang w:val="en-US"/>
        </w:rPr>
        <w:t>data compliance</w:t>
      </w:r>
      <w:r w:rsidRPr="000E223B">
        <w:rPr>
          <w:rFonts w:ascii="Verdana" w:hAnsi="Verdana" w:cs="Times New Roman"/>
          <w:sz w:val="20"/>
          <w:szCs w:val="20"/>
          <w:lang w:val="en-US"/>
        </w:rPr>
        <w:t xml:space="preserve">. </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In the light of the findings presented so far, it is important to note that the scope of the Basel III “</w:t>
      </w:r>
      <w:r w:rsidRPr="000E223B">
        <w:rPr>
          <w:rFonts w:ascii="Verdana" w:hAnsi="Verdana" w:cs="Times New Roman"/>
          <w:i/>
          <w:sz w:val="20"/>
          <w:szCs w:val="20"/>
          <w:lang w:val="en-US"/>
        </w:rPr>
        <w:t>Principles for effective risk data aggregation and risk reporting</w:t>
      </w:r>
      <w:r w:rsidRPr="000E223B">
        <w:rPr>
          <w:rFonts w:ascii="Verdana" w:hAnsi="Verdana" w:cs="Times New Roman"/>
          <w:sz w:val="20"/>
          <w:szCs w:val="20"/>
          <w:lang w:val="en-US"/>
        </w:rPr>
        <w:t xml:space="preserve">” covers 4 main topics : </w:t>
      </w:r>
      <w:r w:rsidRPr="000E223B">
        <w:rPr>
          <w:rFonts w:ascii="Verdana" w:hAnsi="Verdana" w:cs="Times New Roman"/>
          <w:i/>
          <w:sz w:val="20"/>
          <w:szCs w:val="20"/>
          <w:lang w:val="en-US"/>
        </w:rPr>
        <w:t>governance</w:t>
      </w:r>
      <w:r w:rsidRPr="000E223B">
        <w:rPr>
          <w:rFonts w:ascii="Verdana" w:hAnsi="Verdana" w:cs="Times New Roman"/>
          <w:sz w:val="20"/>
          <w:szCs w:val="20"/>
          <w:lang w:val="en-US"/>
        </w:rPr>
        <w:t xml:space="preserve"> and </w:t>
      </w:r>
      <w:r w:rsidRPr="000E223B">
        <w:rPr>
          <w:rFonts w:ascii="Verdana" w:hAnsi="Verdana" w:cs="Times New Roman"/>
          <w:i/>
          <w:sz w:val="20"/>
          <w:szCs w:val="20"/>
          <w:lang w:val="en-US"/>
        </w:rPr>
        <w:t>infrastructure</w:t>
      </w:r>
      <w:r w:rsidRPr="000E223B">
        <w:rPr>
          <w:rFonts w:ascii="Verdana" w:hAnsi="Verdana" w:cs="Times New Roman"/>
          <w:sz w:val="20"/>
          <w:szCs w:val="20"/>
          <w:lang w:val="en-US"/>
        </w:rPr>
        <w:t xml:space="preserve">, </w:t>
      </w:r>
      <w:r w:rsidRPr="000E223B">
        <w:rPr>
          <w:rFonts w:ascii="Verdana" w:hAnsi="Verdana" w:cs="Times New Roman"/>
          <w:i/>
          <w:sz w:val="20"/>
          <w:szCs w:val="20"/>
          <w:lang w:val="en-US"/>
        </w:rPr>
        <w:t>risk data aggregation</w:t>
      </w:r>
      <w:r w:rsidRPr="000E223B">
        <w:rPr>
          <w:rFonts w:ascii="Verdana" w:hAnsi="Verdana" w:cs="Times New Roman"/>
          <w:sz w:val="20"/>
          <w:szCs w:val="20"/>
          <w:lang w:val="en-US"/>
        </w:rPr>
        <w:t xml:space="preserve">, </w:t>
      </w:r>
      <w:r w:rsidRPr="000E223B">
        <w:rPr>
          <w:rFonts w:ascii="Verdana" w:hAnsi="Verdana" w:cs="Times New Roman"/>
          <w:i/>
          <w:sz w:val="20"/>
          <w:szCs w:val="20"/>
          <w:lang w:val="en-US"/>
        </w:rPr>
        <w:t>risk reporting</w:t>
      </w:r>
      <w:r w:rsidRPr="000E223B">
        <w:rPr>
          <w:rFonts w:ascii="Verdana" w:hAnsi="Verdana" w:cs="Times New Roman"/>
          <w:sz w:val="20"/>
          <w:szCs w:val="20"/>
          <w:lang w:val="en-US"/>
        </w:rPr>
        <w:t xml:space="preserve"> and </w:t>
      </w:r>
      <w:r w:rsidRPr="000E223B">
        <w:rPr>
          <w:rFonts w:ascii="Verdana" w:hAnsi="Verdana" w:cs="Times New Roman"/>
          <w:i/>
          <w:sz w:val="20"/>
          <w:szCs w:val="20"/>
          <w:lang w:val="en-US"/>
        </w:rPr>
        <w:t>supervisory review</w:t>
      </w:r>
      <w:r w:rsidRPr="000E223B">
        <w:rPr>
          <w:rFonts w:ascii="Verdana" w:hAnsi="Verdana" w:cs="Times New Roman"/>
          <w:sz w:val="20"/>
          <w:szCs w:val="20"/>
          <w:lang w:val="en-US"/>
        </w:rPr>
        <w:t xml:space="preserve">, </w:t>
      </w:r>
      <w:r w:rsidRPr="000E223B">
        <w:rPr>
          <w:rFonts w:ascii="Verdana" w:hAnsi="Verdana" w:cs="Times New Roman"/>
          <w:i/>
          <w:sz w:val="20"/>
          <w:szCs w:val="20"/>
          <w:lang w:val="en-US"/>
        </w:rPr>
        <w:t>tools</w:t>
      </w:r>
      <w:r w:rsidRPr="000E223B">
        <w:rPr>
          <w:rFonts w:ascii="Verdana" w:hAnsi="Verdana" w:cs="Times New Roman"/>
          <w:sz w:val="20"/>
          <w:szCs w:val="20"/>
          <w:lang w:val="en-US"/>
        </w:rPr>
        <w:t xml:space="preserve"> and </w:t>
      </w:r>
      <w:r w:rsidRPr="000E223B">
        <w:rPr>
          <w:rFonts w:ascii="Verdana" w:hAnsi="Verdana" w:cs="Times New Roman"/>
          <w:i/>
          <w:sz w:val="20"/>
          <w:szCs w:val="20"/>
          <w:lang w:val="en-US"/>
        </w:rPr>
        <w:t>cooperation</w:t>
      </w:r>
      <w:r w:rsidRPr="000E223B">
        <w:rPr>
          <w:rFonts w:ascii="Verdana" w:hAnsi="Verdana" w:cs="Times New Roman"/>
          <w:sz w:val="20"/>
          <w:szCs w:val="20"/>
          <w:lang w:val="en-US"/>
        </w:rPr>
        <w:t xml:space="preserve"> (Basel Committee on Banking Supervision, 2013). The model we identified in chapter 4 is a general model which applies regardless of sector or data handling practices that a company may pursue. Otherwise put, our model is industry-free and it can be tailored to fit any sector as it is based on an extensive literature review which is grounded in theoretical research and constructed to be tailored according to practices, regulations and business models. As such, although our model does not specifically focus on risk data governance practices, its elements (key process areas or sub-processes) can be tailored the fit the scope of the Basel III framework from the perspective of the data management challenges and practices it chooses to pursue. </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lastRenderedPageBreak/>
        <w:t>Among the objectives of the Basel III principles and guidelines, we have the following : “</w:t>
      </w:r>
      <w:r w:rsidRPr="000E223B">
        <w:rPr>
          <w:rFonts w:ascii="Verdana" w:hAnsi="Verdana" w:cs="Times New Roman"/>
          <w:i/>
          <w:sz w:val="20"/>
          <w:szCs w:val="20"/>
          <w:lang w:val="en-US"/>
        </w:rPr>
        <w:t>enable fundamental improvements to the management of banks</w:t>
      </w:r>
      <w:r w:rsidRPr="000E223B">
        <w:rPr>
          <w:rFonts w:ascii="Verdana" w:hAnsi="Verdana" w:cs="Times New Roman"/>
          <w:sz w:val="20"/>
          <w:szCs w:val="20"/>
          <w:lang w:val="en-US"/>
        </w:rPr>
        <w:t>”(Basel Committee on Banking Supervision, 2013, pp. 10). From this and from the other objectives mentioned in guideline 10, we can conclude that building a risk data governance practice as presented by Basel III does not imply starting “from scratch” but rather building, improving and enhancing the capabilities a bank already has. Kindler (2013) mentions in his whitepaper with Teradata that compliance with Basel III involves banks “</w:t>
      </w:r>
      <w:r w:rsidRPr="000E223B">
        <w:rPr>
          <w:rFonts w:ascii="Verdana" w:hAnsi="Verdana" w:cs="Times New Roman"/>
          <w:i/>
          <w:sz w:val="20"/>
          <w:szCs w:val="20"/>
          <w:lang w:val="en-US"/>
        </w:rPr>
        <w:t>making comprehensive enhancements to their data-management processes</w:t>
      </w:r>
      <w:r w:rsidRPr="000E223B">
        <w:rPr>
          <w:rFonts w:ascii="Verdana" w:hAnsi="Verdana" w:cs="Times New Roman"/>
          <w:sz w:val="20"/>
          <w:szCs w:val="20"/>
          <w:lang w:val="en-US"/>
        </w:rPr>
        <w:t xml:space="preserve">” (Kindler, 2013, pp.3). We will further develop and discuss this idea in the following sections. </w:t>
      </w:r>
    </w:p>
    <w:p w:rsidR="000E223B" w:rsidRPr="00FB5C1D" w:rsidRDefault="000B1D7B" w:rsidP="000E223B">
      <w:pPr>
        <w:pStyle w:val="Heading2"/>
        <w:spacing w:line="360" w:lineRule="auto"/>
        <w:jc w:val="both"/>
        <w:rPr>
          <w:rFonts w:ascii="Verdana" w:hAnsi="Verdana" w:cs="Times New Roman"/>
          <w:sz w:val="20"/>
          <w:szCs w:val="20"/>
        </w:rPr>
      </w:pPr>
      <w:bookmarkStart w:id="123" w:name="_Toc423597583"/>
      <w:r>
        <w:rPr>
          <w:rFonts w:ascii="Verdana" w:hAnsi="Verdana" w:cs="Times New Roman"/>
          <w:sz w:val="20"/>
          <w:szCs w:val="20"/>
        </w:rPr>
        <w:t>6.4.4</w:t>
      </w:r>
      <w:r w:rsidR="000E223B" w:rsidRPr="00FB5C1D">
        <w:rPr>
          <w:rFonts w:ascii="Verdana" w:hAnsi="Verdana" w:cs="Times New Roman"/>
          <w:sz w:val="20"/>
          <w:szCs w:val="20"/>
        </w:rPr>
        <w:t xml:space="preserve"> Research methodology part 2</w:t>
      </w:r>
      <w:bookmarkEnd w:id="123"/>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We introduced the concept of “</w:t>
      </w:r>
      <w:r w:rsidRPr="000E223B">
        <w:rPr>
          <w:rFonts w:ascii="Verdana" w:hAnsi="Verdana" w:cs="Times New Roman"/>
          <w:i/>
          <w:sz w:val="20"/>
          <w:szCs w:val="20"/>
          <w:lang w:val="en-US"/>
        </w:rPr>
        <w:t>capability maturity models</w:t>
      </w:r>
      <w:r w:rsidRPr="000E223B">
        <w:rPr>
          <w:rFonts w:ascii="Verdana" w:hAnsi="Verdana" w:cs="Times New Roman"/>
          <w:sz w:val="20"/>
          <w:szCs w:val="20"/>
          <w:lang w:val="en-US"/>
        </w:rPr>
        <w:t xml:space="preserve">” (CMM) in chapter 3, where we presented what a staged approach looks like, what are the process areas per maturity level and which are the common features usually used by these models. </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Following the process area – maturity level description in chapter 3, section 3.3.2, we wanted to build a similar maturity framework for data governance programs in an organization. The purpose was to group and distribute each sub-process identified in the chapter 4 model to one maturity level from 2 to 5 as presented in chapter 3. </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The method we used to identify which key process areas/sub-processes correspond to which level, was an organized workshop with data governance and enterprise information management consultants from the consulting firm Business &amp; Decision Benelux. The workshop was organized on the 30</w:t>
      </w:r>
      <w:r w:rsidRPr="000E223B">
        <w:rPr>
          <w:rFonts w:ascii="Verdana" w:hAnsi="Verdana" w:cs="Times New Roman"/>
          <w:sz w:val="20"/>
          <w:szCs w:val="20"/>
          <w:vertAlign w:val="superscript"/>
          <w:lang w:val="en-US"/>
        </w:rPr>
        <w:t>th</w:t>
      </w:r>
      <w:r w:rsidRPr="000E223B">
        <w:rPr>
          <w:rFonts w:ascii="Verdana" w:hAnsi="Verdana" w:cs="Times New Roman"/>
          <w:sz w:val="20"/>
          <w:szCs w:val="20"/>
          <w:lang w:val="en-US"/>
        </w:rPr>
        <w:t xml:space="preserve"> of January 2015 at the Business &amp; Decision offices in Brussels.</w:t>
      </w:r>
      <w:r w:rsidR="004E613D">
        <w:rPr>
          <w:rFonts w:ascii="Verdana" w:hAnsi="Verdana" w:cs="Times New Roman"/>
          <w:sz w:val="20"/>
          <w:szCs w:val="20"/>
          <w:lang w:val="en-US"/>
        </w:rPr>
        <w:t xml:space="preserve"> There were a total of 3 participants namely: a data governance expert, a senior enterprise information management consultant and the managing partner for big data and analytics at Business &amp; Decision.  </w:t>
      </w:r>
      <w:r w:rsidRPr="000E223B">
        <w:rPr>
          <w:rFonts w:ascii="Verdana" w:hAnsi="Verdana" w:cs="Times New Roman"/>
          <w:sz w:val="20"/>
          <w:szCs w:val="20"/>
          <w:lang w:val="en-US"/>
        </w:rPr>
        <w:t xml:space="preserve"> The </w:t>
      </w:r>
      <w:r w:rsidR="004E613D">
        <w:rPr>
          <w:rFonts w:ascii="Verdana" w:hAnsi="Verdana" w:cs="Times New Roman"/>
          <w:sz w:val="20"/>
          <w:szCs w:val="20"/>
          <w:lang w:val="en-US"/>
        </w:rPr>
        <w:t xml:space="preserve">3 </w:t>
      </w:r>
      <w:r w:rsidRPr="000E223B">
        <w:rPr>
          <w:rFonts w:ascii="Verdana" w:hAnsi="Verdana" w:cs="Times New Roman"/>
          <w:sz w:val="20"/>
          <w:szCs w:val="20"/>
          <w:lang w:val="en-US"/>
        </w:rPr>
        <w:t xml:space="preserve">participants received a </w:t>
      </w:r>
      <w:r w:rsidR="004E613D">
        <w:rPr>
          <w:rFonts w:ascii="Verdana" w:hAnsi="Verdana" w:cs="Times New Roman"/>
          <w:sz w:val="20"/>
          <w:szCs w:val="20"/>
          <w:lang w:val="en-US"/>
        </w:rPr>
        <w:t xml:space="preserve">thorough </w:t>
      </w:r>
      <w:r w:rsidR="004E613D" w:rsidRPr="000E223B">
        <w:rPr>
          <w:rFonts w:ascii="Verdana" w:hAnsi="Verdana" w:cs="Times New Roman"/>
          <w:sz w:val="20"/>
          <w:szCs w:val="20"/>
          <w:lang w:val="en-US"/>
        </w:rPr>
        <w:t>definition</w:t>
      </w:r>
      <w:r w:rsidRPr="000E223B">
        <w:rPr>
          <w:rFonts w:ascii="Verdana" w:hAnsi="Verdana" w:cs="Times New Roman"/>
          <w:sz w:val="20"/>
          <w:szCs w:val="20"/>
          <w:lang w:val="en-US"/>
        </w:rPr>
        <w:t xml:space="preserve"> of the concepts they had to use as </w:t>
      </w:r>
      <w:r w:rsidR="004E613D" w:rsidRPr="000E223B">
        <w:rPr>
          <w:rFonts w:ascii="Verdana" w:hAnsi="Verdana" w:cs="Times New Roman"/>
          <w:sz w:val="20"/>
          <w:szCs w:val="20"/>
          <w:lang w:val="en-US"/>
        </w:rPr>
        <w:t>input:</w:t>
      </w:r>
      <w:r w:rsidRPr="000E223B">
        <w:rPr>
          <w:rFonts w:ascii="Verdana" w:hAnsi="Verdana" w:cs="Times New Roman"/>
          <w:sz w:val="20"/>
          <w:szCs w:val="20"/>
          <w:lang w:val="en-US"/>
        </w:rPr>
        <w:t xml:space="preserve"> definitions of data governance, CMM as well as what each key process area and sub-process means. Then we presented them with the data governance model from chapter 4 and asked them which elements would correspond to each maturity level of a CMM. </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It is important to note that the data governance model identified in chapter 4 encompasses big data governance components as well. During the process of building the model, we have included articles and references pertaining to matters of big data governance </w:t>
      </w:r>
      <w:r w:rsidR="004E613D">
        <w:rPr>
          <w:rFonts w:ascii="Verdana" w:hAnsi="Verdana" w:cs="Times New Roman"/>
          <w:sz w:val="20"/>
          <w:szCs w:val="20"/>
          <w:lang w:val="en-US"/>
        </w:rPr>
        <w:t>as well</w:t>
      </w:r>
      <w:r w:rsidRPr="000E223B">
        <w:rPr>
          <w:rFonts w:ascii="Verdana" w:hAnsi="Verdana" w:cs="Times New Roman"/>
          <w:sz w:val="20"/>
          <w:szCs w:val="20"/>
          <w:lang w:val="en-US"/>
        </w:rPr>
        <w:t xml:space="preserve">. During the workshop, we made sure to inform the participants that the expected output was a model which would correspond to both data and big data governance projects. </w:t>
      </w:r>
    </w:p>
    <w:p w:rsidR="000E223B" w:rsidRPr="00FB5C1D" w:rsidRDefault="000B1D7B" w:rsidP="000E223B">
      <w:pPr>
        <w:pStyle w:val="Heading2"/>
        <w:spacing w:line="360" w:lineRule="auto"/>
        <w:jc w:val="both"/>
        <w:rPr>
          <w:rFonts w:ascii="Verdana" w:hAnsi="Verdana" w:cs="Times New Roman"/>
          <w:sz w:val="20"/>
          <w:szCs w:val="20"/>
        </w:rPr>
      </w:pPr>
      <w:bookmarkStart w:id="124" w:name="_Toc423597584"/>
      <w:r>
        <w:rPr>
          <w:rFonts w:ascii="Verdana" w:hAnsi="Verdana" w:cs="Times New Roman"/>
          <w:sz w:val="20"/>
          <w:szCs w:val="20"/>
        </w:rPr>
        <w:lastRenderedPageBreak/>
        <w:t>6.4.5</w:t>
      </w:r>
      <w:r w:rsidR="000E223B" w:rsidRPr="00FB5C1D">
        <w:rPr>
          <w:rFonts w:ascii="Verdana" w:hAnsi="Verdana" w:cs="Times New Roman"/>
          <w:sz w:val="20"/>
          <w:szCs w:val="20"/>
        </w:rPr>
        <w:t xml:space="preserve"> Data governance process areas by maturity level</w:t>
      </w:r>
      <w:bookmarkEnd w:id="124"/>
      <w:r w:rsidR="000E223B" w:rsidRPr="00FB5C1D">
        <w:rPr>
          <w:rFonts w:ascii="Verdana" w:hAnsi="Verdana" w:cs="Times New Roman"/>
          <w:sz w:val="20"/>
          <w:szCs w:val="20"/>
        </w:rPr>
        <w:t xml:space="preserve"> </w:t>
      </w:r>
    </w:p>
    <w:p w:rsidR="000E223B" w:rsidRPr="000E223B" w:rsidRDefault="000E223B" w:rsidP="000E223B">
      <w:pPr>
        <w:spacing w:line="360" w:lineRule="auto"/>
        <w:jc w:val="both"/>
        <w:rPr>
          <w:rFonts w:ascii="Verdana" w:hAnsi="Verdana" w:cs="Times New Roman"/>
          <w:sz w:val="20"/>
          <w:szCs w:val="20"/>
          <w:lang w:val="en-US"/>
        </w:rPr>
      </w:pPr>
      <w:r w:rsidRPr="00FB5C1D">
        <w:rPr>
          <w:rFonts w:ascii="Verdana" w:hAnsi="Verdana" w:cs="Times New Roman"/>
          <w:noProof/>
          <w:sz w:val="20"/>
          <w:szCs w:val="20"/>
          <w:lang w:val="en-GB" w:eastAsia="en-GB"/>
        </w:rPr>
        <w:drawing>
          <wp:anchor distT="0" distB="0" distL="114300" distR="114300" simplePos="0" relativeHeight="251698688" behindDoc="0" locked="0" layoutInCell="1" allowOverlap="1" wp14:anchorId="7405F75E" wp14:editId="23EFC896">
            <wp:simplePos x="0" y="0"/>
            <wp:positionH relativeFrom="column">
              <wp:posOffset>866775</wp:posOffset>
            </wp:positionH>
            <wp:positionV relativeFrom="paragraph">
              <wp:posOffset>1193165</wp:posOffset>
            </wp:positionV>
            <wp:extent cx="4069080" cy="4838700"/>
            <wp:effectExtent l="0" t="0" r="762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069080" cy="4838700"/>
                    </a:xfrm>
                    <a:prstGeom prst="rect">
                      <a:avLst/>
                    </a:prstGeom>
                  </pic:spPr>
                </pic:pic>
              </a:graphicData>
            </a:graphic>
            <wp14:sizeRelH relativeFrom="page">
              <wp14:pctWidth>0</wp14:pctWidth>
            </wp14:sizeRelH>
            <wp14:sizeRelV relativeFrom="page">
              <wp14:pctHeight>0</wp14:pctHeight>
            </wp14:sizeRelV>
          </wp:anchor>
        </w:drawing>
      </w:r>
      <w:r w:rsidRPr="000E223B">
        <w:rPr>
          <w:rFonts w:ascii="Verdana" w:hAnsi="Verdana" w:cs="Times New Roman"/>
          <w:sz w:val="20"/>
          <w:szCs w:val="20"/>
          <w:lang w:val="en-US"/>
        </w:rPr>
        <w:t xml:space="preserve">Based on the methodology previously described  and in line with figure 3.2 in chapter 3, section 3.3.2, figure 6.2 presents a re-worked version of the initial work of </w:t>
      </w:r>
      <w:r w:rsidR="00D00FE6">
        <w:rPr>
          <w:rFonts w:ascii="Verdana" w:hAnsi="Verdana" w:cs="Times New Roman"/>
          <w:sz w:val="20"/>
          <w:szCs w:val="20"/>
          <w:lang w:val="en-US"/>
        </w:rPr>
        <w:t>O’Regan</w:t>
      </w:r>
      <w:r w:rsidRPr="000E223B">
        <w:rPr>
          <w:rFonts w:ascii="Verdana" w:hAnsi="Verdana" w:cs="Times New Roman"/>
          <w:sz w:val="20"/>
          <w:szCs w:val="20"/>
          <w:lang w:val="en-US"/>
        </w:rPr>
        <w:t xml:space="preserve">    (2011), this time with the main components of a data governance framework such as they were identified and mapped during the workshop.  </w:t>
      </w:r>
    </w:p>
    <w:p w:rsidR="000E223B" w:rsidRPr="000E223B" w:rsidRDefault="000E223B" w:rsidP="000E223B">
      <w:pPr>
        <w:spacing w:line="360" w:lineRule="auto"/>
        <w:jc w:val="both"/>
        <w:rPr>
          <w:rFonts w:ascii="Verdana" w:hAnsi="Verdana" w:cs="Times New Roman"/>
          <w:sz w:val="20"/>
          <w:szCs w:val="20"/>
          <w:lang w:val="en-US"/>
        </w:rPr>
      </w:pPr>
    </w:p>
    <w:p w:rsidR="000E223B" w:rsidRPr="000E223B" w:rsidRDefault="000E223B" w:rsidP="000E223B">
      <w:pPr>
        <w:spacing w:line="360" w:lineRule="auto"/>
        <w:jc w:val="both"/>
        <w:rPr>
          <w:rFonts w:ascii="Verdana" w:hAnsi="Verdana" w:cs="Times New Roman"/>
          <w:sz w:val="20"/>
          <w:szCs w:val="20"/>
          <w:lang w:val="en-US"/>
        </w:rPr>
      </w:pPr>
    </w:p>
    <w:p w:rsidR="000E223B" w:rsidRPr="000E223B" w:rsidRDefault="000E223B" w:rsidP="000E223B">
      <w:pPr>
        <w:spacing w:line="360" w:lineRule="auto"/>
        <w:jc w:val="both"/>
        <w:rPr>
          <w:rFonts w:ascii="Verdana" w:hAnsi="Verdana" w:cs="Times New Roman"/>
          <w:sz w:val="20"/>
          <w:szCs w:val="20"/>
          <w:lang w:val="en-US"/>
        </w:rPr>
      </w:pPr>
    </w:p>
    <w:p w:rsidR="000E223B" w:rsidRPr="000E223B" w:rsidRDefault="000E223B" w:rsidP="000E223B">
      <w:pPr>
        <w:spacing w:line="360" w:lineRule="auto"/>
        <w:jc w:val="both"/>
        <w:rPr>
          <w:rFonts w:ascii="Verdana" w:hAnsi="Verdana" w:cs="Times New Roman"/>
          <w:sz w:val="20"/>
          <w:szCs w:val="20"/>
          <w:lang w:val="en-US"/>
        </w:rPr>
      </w:pPr>
    </w:p>
    <w:p w:rsidR="000E223B" w:rsidRPr="000E223B" w:rsidRDefault="000E223B" w:rsidP="000E223B">
      <w:pPr>
        <w:spacing w:line="360" w:lineRule="auto"/>
        <w:jc w:val="both"/>
        <w:rPr>
          <w:rFonts w:ascii="Verdana" w:hAnsi="Verdana" w:cs="Times New Roman"/>
          <w:sz w:val="20"/>
          <w:szCs w:val="20"/>
          <w:lang w:val="en-US"/>
        </w:rPr>
      </w:pPr>
    </w:p>
    <w:p w:rsidR="000E223B" w:rsidRPr="000E223B" w:rsidRDefault="000E223B" w:rsidP="000E223B">
      <w:pPr>
        <w:spacing w:line="360" w:lineRule="auto"/>
        <w:jc w:val="both"/>
        <w:rPr>
          <w:rFonts w:ascii="Verdana" w:hAnsi="Verdana" w:cs="Times New Roman"/>
          <w:sz w:val="20"/>
          <w:szCs w:val="20"/>
          <w:lang w:val="en-US"/>
        </w:rPr>
      </w:pPr>
    </w:p>
    <w:p w:rsidR="000E223B" w:rsidRPr="000E223B" w:rsidRDefault="000E223B" w:rsidP="000E223B">
      <w:pPr>
        <w:spacing w:line="360" w:lineRule="auto"/>
        <w:jc w:val="both"/>
        <w:rPr>
          <w:rFonts w:ascii="Verdana" w:hAnsi="Verdana" w:cs="Times New Roman"/>
          <w:sz w:val="20"/>
          <w:szCs w:val="20"/>
          <w:lang w:val="en-US"/>
        </w:rPr>
      </w:pPr>
    </w:p>
    <w:p w:rsidR="000E223B" w:rsidRPr="000E223B" w:rsidRDefault="000E223B" w:rsidP="000E223B">
      <w:pPr>
        <w:spacing w:line="360" w:lineRule="auto"/>
        <w:jc w:val="both"/>
        <w:rPr>
          <w:rFonts w:ascii="Verdana" w:hAnsi="Verdana" w:cs="Times New Roman"/>
          <w:sz w:val="20"/>
          <w:szCs w:val="20"/>
          <w:lang w:val="en-US"/>
        </w:rPr>
      </w:pPr>
    </w:p>
    <w:p w:rsidR="000E223B" w:rsidRPr="000E223B" w:rsidRDefault="000E223B" w:rsidP="000E223B">
      <w:pPr>
        <w:spacing w:line="360" w:lineRule="auto"/>
        <w:jc w:val="both"/>
        <w:rPr>
          <w:rFonts w:ascii="Verdana" w:hAnsi="Verdana" w:cs="Times New Roman"/>
          <w:sz w:val="20"/>
          <w:szCs w:val="20"/>
          <w:lang w:val="en-US"/>
        </w:rPr>
      </w:pPr>
    </w:p>
    <w:p w:rsidR="000E223B" w:rsidRPr="000E223B" w:rsidRDefault="000E223B" w:rsidP="000E223B">
      <w:pPr>
        <w:spacing w:line="360" w:lineRule="auto"/>
        <w:jc w:val="both"/>
        <w:rPr>
          <w:rFonts w:ascii="Verdana" w:hAnsi="Verdana" w:cs="Times New Roman"/>
          <w:sz w:val="20"/>
          <w:szCs w:val="20"/>
          <w:lang w:val="en-US"/>
        </w:rPr>
      </w:pPr>
    </w:p>
    <w:p w:rsidR="000E223B" w:rsidRPr="000E223B" w:rsidRDefault="000E223B" w:rsidP="000E223B">
      <w:pPr>
        <w:spacing w:line="360" w:lineRule="auto"/>
        <w:jc w:val="both"/>
        <w:rPr>
          <w:rFonts w:ascii="Verdana" w:hAnsi="Verdana" w:cs="Times New Roman"/>
          <w:sz w:val="20"/>
          <w:szCs w:val="20"/>
          <w:lang w:val="en-US"/>
        </w:rPr>
      </w:pPr>
    </w:p>
    <w:p w:rsidR="000E223B" w:rsidRPr="000E223B" w:rsidRDefault="000E223B" w:rsidP="000E223B">
      <w:pPr>
        <w:spacing w:line="360" w:lineRule="auto"/>
        <w:jc w:val="both"/>
        <w:rPr>
          <w:rFonts w:ascii="Verdana" w:hAnsi="Verdana" w:cs="Times New Roman"/>
          <w:sz w:val="20"/>
          <w:szCs w:val="20"/>
          <w:lang w:val="en-US"/>
        </w:rPr>
      </w:pPr>
    </w:p>
    <w:p w:rsidR="000E223B" w:rsidRPr="000E223B" w:rsidRDefault="000E223B" w:rsidP="000E223B">
      <w:pPr>
        <w:spacing w:line="360" w:lineRule="auto"/>
        <w:jc w:val="both"/>
        <w:rPr>
          <w:rFonts w:ascii="Verdana" w:hAnsi="Verdana" w:cs="Times New Roman"/>
          <w:sz w:val="20"/>
          <w:szCs w:val="20"/>
          <w:lang w:val="en-US"/>
        </w:rPr>
      </w:pPr>
    </w:p>
    <w:p w:rsidR="000E223B" w:rsidRPr="000E223B" w:rsidRDefault="000E223B" w:rsidP="000E223B">
      <w:pPr>
        <w:spacing w:line="360" w:lineRule="auto"/>
        <w:jc w:val="both"/>
        <w:rPr>
          <w:rFonts w:ascii="Verdana" w:hAnsi="Verdana" w:cs="Times New Roman"/>
          <w:sz w:val="20"/>
          <w:szCs w:val="20"/>
          <w:lang w:val="en-US"/>
        </w:rPr>
      </w:pPr>
    </w:p>
    <w:p w:rsidR="000E223B" w:rsidRPr="00753959" w:rsidRDefault="000B1D7B" w:rsidP="00753959">
      <w:pPr>
        <w:pStyle w:val="NoSpacing"/>
        <w:spacing w:line="360" w:lineRule="auto"/>
        <w:ind w:firstLine="708"/>
        <w:rPr>
          <w:rFonts w:ascii="Verdana" w:hAnsi="Verdana" w:cs="Times New Roman"/>
          <w:sz w:val="18"/>
          <w:szCs w:val="18"/>
        </w:rPr>
      </w:pPr>
      <w:r>
        <w:rPr>
          <w:rFonts w:ascii="Verdana" w:hAnsi="Verdana" w:cs="Times New Roman"/>
          <w:sz w:val="18"/>
          <w:szCs w:val="18"/>
        </w:rPr>
        <w:t>Figure 6.3</w:t>
      </w:r>
      <w:r w:rsidR="000E223B" w:rsidRPr="00753959">
        <w:rPr>
          <w:rFonts w:ascii="Verdana" w:hAnsi="Verdana" w:cs="Times New Roman"/>
          <w:sz w:val="18"/>
          <w:szCs w:val="18"/>
        </w:rPr>
        <w:t xml:space="preserve"> The key processes areas of a data governance program by maturity level</w:t>
      </w:r>
    </w:p>
    <w:p w:rsidR="000E223B" w:rsidRPr="00FB5C1D" w:rsidRDefault="000E223B" w:rsidP="000E223B">
      <w:pPr>
        <w:pStyle w:val="NoSpacing"/>
        <w:spacing w:line="360" w:lineRule="auto"/>
        <w:jc w:val="both"/>
        <w:rPr>
          <w:rFonts w:ascii="Verdana" w:hAnsi="Verdana" w:cs="Times New Roman"/>
          <w:sz w:val="20"/>
          <w:szCs w:val="20"/>
        </w:rPr>
      </w:pPr>
    </w:p>
    <w:p w:rsidR="000E223B" w:rsidRPr="00FB5C1D" w:rsidRDefault="000E223B" w:rsidP="000E223B">
      <w:pPr>
        <w:pStyle w:val="NoSpacing"/>
        <w:spacing w:line="360" w:lineRule="auto"/>
        <w:jc w:val="both"/>
        <w:rPr>
          <w:rFonts w:ascii="Verdana" w:hAnsi="Verdana" w:cs="Times New Roman"/>
          <w:sz w:val="20"/>
          <w:szCs w:val="20"/>
        </w:rPr>
      </w:pPr>
      <w:r w:rsidRPr="00FB5C1D">
        <w:rPr>
          <w:rFonts w:ascii="Verdana" w:hAnsi="Verdana" w:cs="Times New Roman"/>
          <w:sz w:val="20"/>
          <w:szCs w:val="20"/>
        </w:rPr>
        <w:t>Comparing this figure with table 4.2 (Chapter 4, section 4.5.2), we can conclude the following :</w:t>
      </w:r>
    </w:p>
    <w:p w:rsidR="000E223B" w:rsidRPr="00FB5C1D" w:rsidRDefault="000E223B" w:rsidP="000E223B">
      <w:pPr>
        <w:pStyle w:val="NoSpacing"/>
        <w:numPr>
          <w:ilvl w:val="0"/>
          <w:numId w:val="52"/>
        </w:numPr>
        <w:spacing w:line="360" w:lineRule="auto"/>
        <w:ind w:left="0" w:firstLine="567"/>
        <w:jc w:val="both"/>
        <w:rPr>
          <w:rFonts w:ascii="Verdana" w:hAnsi="Verdana" w:cs="Times New Roman"/>
          <w:sz w:val="20"/>
          <w:szCs w:val="20"/>
        </w:rPr>
      </w:pPr>
      <w:r w:rsidRPr="00FB5C1D">
        <w:rPr>
          <w:rFonts w:ascii="Verdana" w:hAnsi="Verdana" w:cs="Times New Roman"/>
          <w:sz w:val="20"/>
          <w:szCs w:val="20"/>
        </w:rPr>
        <w:t>Each maturity level contains at least one sub-pro</w:t>
      </w:r>
      <w:r>
        <w:rPr>
          <w:rFonts w:ascii="Verdana" w:hAnsi="Verdana" w:cs="Times New Roman"/>
          <w:sz w:val="20"/>
          <w:szCs w:val="20"/>
        </w:rPr>
        <w:t>cess from each key process area</w:t>
      </w:r>
      <w:r w:rsidRPr="00FB5C1D">
        <w:rPr>
          <w:rFonts w:ascii="Verdana" w:hAnsi="Verdana" w:cs="Times New Roman"/>
          <w:sz w:val="20"/>
          <w:szCs w:val="20"/>
        </w:rPr>
        <w:t xml:space="preserve"> identified (expect for level 5 which is the only level where Metrics development and monitoring is mentioned): this is in line with the philosophy of a CMM which suggests a cumulative implementation which builds upon the key process areas in an inferior level of maturity (such as described in Chapter 3);</w:t>
      </w:r>
    </w:p>
    <w:p w:rsidR="000E223B" w:rsidRPr="00FB5C1D" w:rsidRDefault="000E223B" w:rsidP="000E223B">
      <w:pPr>
        <w:pStyle w:val="NoSpacing"/>
        <w:numPr>
          <w:ilvl w:val="0"/>
          <w:numId w:val="52"/>
        </w:numPr>
        <w:spacing w:line="360" w:lineRule="auto"/>
        <w:ind w:left="0" w:firstLine="567"/>
        <w:jc w:val="both"/>
        <w:rPr>
          <w:rFonts w:ascii="Verdana" w:hAnsi="Verdana" w:cs="Times New Roman"/>
          <w:sz w:val="20"/>
          <w:szCs w:val="20"/>
        </w:rPr>
      </w:pPr>
      <w:r w:rsidRPr="00FB5C1D">
        <w:rPr>
          <w:rFonts w:ascii="Verdana" w:hAnsi="Verdana" w:cs="Times New Roman"/>
          <w:sz w:val="20"/>
          <w:szCs w:val="20"/>
        </w:rPr>
        <w:t xml:space="preserve">Aside from metrics development and monitoring, no key process area is entirely implemented in one level only : this is in line with a staged approach that involves some </w:t>
      </w:r>
      <w:r w:rsidRPr="00FB5C1D">
        <w:rPr>
          <w:rFonts w:ascii="Verdana" w:hAnsi="Verdana" w:cs="Times New Roman"/>
          <w:sz w:val="20"/>
          <w:szCs w:val="20"/>
        </w:rPr>
        <w:lastRenderedPageBreak/>
        <w:t xml:space="preserve">basic control objectives first as we move </w:t>
      </w:r>
      <w:r>
        <w:rPr>
          <w:rFonts w:ascii="Verdana" w:hAnsi="Verdana" w:cs="Times New Roman"/>
          <w:sz w:val="20"/>
          <w:szCs w:val="20"/>
        </w:rPr>
        <w:t>to</w:t>
      </w:r>
      <w:r w:rsidRPr="00FB5C1D">
        <w:rPr>
          <w:rFonts w:ascii="Verdana" w:hAnsi="Verdana" w:cs="Times New Roman"/>
          <w:sz w:val="20"/>
          <w:szCs w:val="20"/>
        </w:rPr>
        <w:t xml:space="preserve"> a higher level of maturity (such as described in Chapter 3);</w:t>
      </w:r>
    </w:p>
    <w:p w:rsidR="000E223B" w:rsidRPr="00FB5C1D" w:rsidRDefault="000E223B" w:rsidP="000E223B">
      <w:pPr>
        <w:pStyle w:val="NoSpacing"/>
        <w:numPr>
          <w:ilvl w:val="0"/>
          <w:numId w:val="52"/>
        </w:numPr>
        <w:spacing w:line="360" w:lineRule="auto"/>
        <w:ind w:left="0" w:firstLine="567"/>
        <w:jc w:val="both"/>
        <w:rPr>
          <w:rFonts w:ascii="Verdana" w:hAnsi="Verdana" w:cs="Times New Roman"/>
          <w:sz w:val="20"/>
          <w:szCs w:val="20"/>
        </w:rPr>
      </w:pPr>
      <w:r w:rsidRPr="00FB5C1D">
        <w:rPr>
          <w:rFonts w:ascii="Verdana" w:hAnsi="Verdana" w:cs="Times New Roman"/>
          <w:sz w:val="20"/>
          <w:szCs w:val="20"/>
        </w:rPr>
        <w:t xml:space="preserve">Just because one process implementation appears later in a maturity level (such as, for example, Analytics appearing for the first time in level 3) it does not mean that some basic implementation of that process does not yet exist </w:t>
      </w:r>
      <w:r>
        <w:rPr>
          <w:rFonts w:ascii="Verdana" w:hAnsi="Verdana" w:cs="Times New Roman"/>
          <w:sz w:val="20"/>
          <w:szCs w:val="20"/>
        </w:rPr>
        <w:t>at</w:t>
      </w:r>
      <w:r w:rsidRPr="00FB5C1D">
        <w:rPr>
          <w:rFonts w:ascii="Verdana" w:hAnsi="Verdana" w:cs="Times New Roman"/>
          <w:sz w:val="20"/>
          <w:szCs w:val="20"/>
        </w:rPr>
        <w:t xml:space="preserve"> an inferior level; the difference is that the process is not standardized enterprise-wide </w:t>
      </w:r>
      <w:r>
        <w:rPr>
          <w:rFonts w:ascii="Verdana" w:hAnsi="Verdana" w:cs="Times New Roman"/>
          <w:sz w:val="20"/>
          <w:szCs w:val="20"/>
        </w:rPr>
        <w:t>at</w:t>
      </w:r>
      <w:r w:rsidRPr="00FB5C1D">
        <w:rPr>
          <w:rFonts w:ascii="Verdana" w:hAnsi="Verdana" w:cs="Times New Roman"/>
          <w:sz w:val="20"/>
          <w:szCs w:val="20"/>
        </w:rPr>
        <w:t xml:space="preserve"> an inferior level and a proper a</w:t>
      </w:r>
      <w:r>
        <w:rPr>
          <w:rFonts w:ascii="Verdana" w:hAnsi="Verdana" w:cs="Times New Roman"/>
          <w:sz w:val="20"/>
          <w:szCs w:val="20"/>
        </w:rPr>
        <w:t>doption occurs at a later stage.</w:t>
      </w:r>
    </w:p>
    <w:p w:rsidR="000E223B" w:rsidRPr="00FB5C1D" w:rsidRDefault="000E223B" w:rsidP="000E223B">
      <w:pPr>
        <w:pStyle w:val="NoSpacing"/>
        <w:spacing w:line="360" w:lineRule="auto"/>
        <w:jc w:val="both"/>
        <w:rPr>
          <w:rFonts w:ascii="Verdana" w:hAnsi="Verdana" w:cs="Times New Roman"/>
          <w:sz w:val="20"/>
          <w:szCs w:val="20"/>
        </w:rPr>
      </w:pPr>
    </w:p>
    <w:p w:rsidR="000E223B" w:rsidRPr="00FB5C1D" w:rsidRDefault="000B1D7B" w:rsidP="000E223B">
      <w:pPr>
        <w:pStyle w:val="Heading2"/>
        <w:spacing w:line="360" w:lineRule="auto"/>
        <w:jc w:val="both"/>
        <w:rPr>
          <w:rFonts w:ascii="Verdana" w:hAnsi="Verdana" w:cs="Times New Roman"/>
          <w:sz w:val="20"/>
          <w:szCs w:val="20"/>
        </w:rPr>
      </w:pPr>
      <w:bookmarkStart w:id="125" w:name="_Toc423597585"/>
      <w:r>
        <w:rPr>
          <w:rFonts w:ascii="Verdana" w:hAnsi="Verdana" w:cs="Times New Roman"/>
          <w:sz w:val="20"/>
          <w:szCs w:val="20"/>
        </w:rPr>
        <w:t>6.4.6</w:t>
      </w:r>
      <w:r w:rsidR="000E223B" w:rsidRPr="00FB5C1D">
        <w:rPr>
          <w:rFonts w:ascii="Verdana" w:hAnsi="Verdana" w:cs="Times New Roman"/>
          <w:sz w:val="20"/>
          <w:szCs w:val="20"/>
        </w:rPr>
        <w:t xml:space="preserve"> Basel III implementation model by maturity level</w:t>
      </w:r>
      <w:bookmarkEnd w:id="125"/>
      <w:r w:rsidR="000E223B" w:rsidRPr="00FB5C1D">
        <w:rPr>
          <w:rFonts w:ascii="Verdana" w:hAnsi="Verdana" w:cs="Times New Roman"/>
          <w:sz w:val="20"/>
          <w:szCs w:val="20"/>
        </w:rPr>
        <w:t xml:space="preserve"> </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So far, we have presented frameworks specific for data governance in the financial sector as well as industry-free frameworks for data governance in a more general context. The purpose in this sub-section is to bring together the models presented in section 6.4.2 and 6.4.4 in developing a capability maturity model for data (and big data) governance implementations as they have been described in the Basel III “</w:t>
      </w:r>
      <w:r w:rsidRPr="000E223B">
        <w:rPr>
          <w:rFonts w:ascii="Verdana" w:hAnsi="Verdana" w:cs="Times New Roman"/>
          <w:i/>
          <w:sz w:val="20"/>
          <w:szCs w:val="20"/>
          <w:lang w:val="en-US"/>
        </w:rPr>
        <w:t>Principles for effective risk data aggregation and risk reporting</w:t>
      </w:r>
      <w:r w:rsidRPr="000E223B">
        <w:rPr>
          <w:rFonts w:ascii="Verdana" w:hAnsi="Verdana" w:cs="Times New Roman"/>
          <w:sz w:val="20"/>
          <w:szCs w:val="20"/>
          <w:lang w:val="en-US"/>
        </w:rPr>
        <w:t xml:space="preserve">”. </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We have advanced the idea in section 6.4.2 that Basel III does not imply starting “from scratch” but rather building, improving and enhancing the capabilities a bank already has. In this optic, we will categorize the implementation of the Basel III framework as described in “</w:t>
      </w:r>
      <w:r w:rsidRPr="000E223B">
        <w:rPr>
          <w:rFonts w:ascii="Verdana" w:hAnsi="Verdana" w:cs="Times New Roman"/>
          <w:i/>
          <w:sz w:val="20"/>
          <w:szCs w:val="20"/>
          <w:lang w:val="en-US"/>
        </w:rPr>
        <w:t>Principles for effective risk data aggregation and risk reporting</w:t>
      </w:r>
      <w:r w:rsidRPr="000E223B">
        <w:rPr>
          <w:rFonts w:ascii="Verdana" w:hAnsi="Verdana" w:cs="Times New Roman"/>
          <w:sz w:val="20"/>
          <w:szCs w:val="20"/>
          <w:lang w:val="en-US"/>
        </w:rPr>
        <w:t xml:space="preserve">” to be a level 3 – managed implementation (according to the CMM maturity level description). The rationale is that Basel III builds on the Basel I and II implementations (Basel Committee on Banking Supervision, 2013) which means that there are already some basic, repeatable (level 1 &amp; 2) processes already in place for data governance and risk reporting practices. </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With this in mind, we mapped the 2 models described in the previous sections by holding level 3 as the level which best mirrors the Basel III implementation guidelines while for the other levels, we kept the original distribution with small adjustments.</w:t>
      </w:r>
    </w:p>
    <w:p w:rsidR="000E223B" w:rsidRPr="000E223B" w:rsidRDefault="004E613D" w:rsidP="000E223B">
      <w:pPr>
        <w:spacing w:line="360" w:lineRule="auto"/>
        <w:jc w:val="both"/>
        <w:rPr>
          <w:rFonts w:ascii="Verdana" w:hAnsi="Verdana" w:cs="Times New Roman"/>
          <w:sz w:val="20"/>
          <w:szCs w:val="20"/>
          <w:lang w:val="en-US"/>
        </w:rPr>
      </w:pPr>
      <w:r>
        <w:rPr>
          <w:rFonts w:ascii="Verdana" w:hAnsi="Verdana" w:cs="Times New Roman"/>
          <w:sz w:val="20"/>
          <w:szCs w:val="20"/>
          <w:lang w:val="en-US"/>
        </w:rPr>
        <w:t>Table 6.3</w:t>
      </w:r>
      <w:r w:rsidR="000E223B" w:rsidRPr="000E223B">
        <w:rPr>
          <w:rFonts w:ascii="Verdana" w:hAnsi="Verdana" w:cs="Times New Roman"/>
          <w:sz w:val="20"/>
          <w:szCs w:val="20"/>
          <w:lang w:val="en-US"/>
        </w:rPr>
        <w:t xml:space="preserve"> aggregates the 2 models together and presents the re-arranged version of a capability maturity model for a data and big data governance framework. </w:t>
      </w:r>
    </w:p>
    <w:tbl>
      <w:tblPr>
        <w:tblStyle w:val="LightShading-Accent2"/>
        <w:tblpPr w:leftFromText="141" w:rightFromText="141" w:vertAnchor="text" w:horzAnchor="margin" w:tblpY="254"/>
        <w:tblW w:w="5000" w:type="pct"/>
        <w:tblLook w:val="04A0" w:firstRow="1" w:lastRow="0" w:firstColumn="1" w:lastColumn="0" w:noHBand="0" w:noVBand="1"/>
      </w:tblPr>
      <w:tblGrid>
        <w:gridCol w:w="1394"/>
        <w:gridCol w:w="794"/>
        <w:gridCol w:w="1981"/>
        <w:gridCol w:w="2388"/>
        <w:gridCol w:w="1335"/>
        <w:gridCol w:w="157"/>
        <w:gridCol w:w="1143"/>
        <w:gridCol w:w="50"/>
      </w:tblGrid>
      <w:tr w:rsidR="000E223B" w:rsidRPr="00730B17" w:rsidTr="001106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4" w:type="pct"/>
          </w:tcPr>
          <w:p w:rsidR="000E223B" w:rsidRPr="000B0C2D" w:rsidRDefault="000E223B" w:rsidP="001106BD">
            <w:pPr>
              <w:rPr>
                <w:rFonts w:ascii="Verdana" w:hAnsi="Verdana" w:cs="Times New Roman"/>
                <w:sz w:val="16"/>
                <w:szCs w:val="16"/>
              </w:rPr>
            </w:pPr>
            <w:r w:rsidRPr="000B0C2D">
              <w:rPr>
                <w:rFonts w:ascii="Verdana" w:hAnsi="Verdana" w:cs="Times New Roman"/>
                <w:sz w:val="16"/>
                <w:szCs w:val="16"/>
              </w:rPr>
              <w:t>Key process area</w:t>
            </w:r>
          </w:p>
        </w:tc>
        <w:tc>
          <w:tcPr>
            <w:tcW w:w="430" w:type="pct"/>
          </w:tcPr>
          <w:p w:rsidR="000E223B" w:rsidRPr="000B0C2D" w:rsidRDefault="000E223B" w:rsidP="001106BD">
            <w:pPr>
              <w:cnfStyle w:val="100000000000" w:firstRow="1" w:lastRow="0" w:firstColumn="0" w:lastColumn="0" w:oddVBand="0" w:evenVBand="0" w:oddHBand="0" w:evenHBand="0" w:firstRowFirstColumn="0" w:firstRowLastColumn="0" w:lastRowFirstColumn="0" w:lastRowLastColumn="0"/>
              <w:rPr>
                <w:rFonts w:ascii="Verdana" w:hAnsi="Verdana" w:cs="Times New Roman"/>
                <w:sz w:val="16"/>
                <w:szCs w:val="16"/>
              </w:rPr>
            </w:pPr>
            <w:r w:rsidRPr="000B0C2D">
              <w:rPr>
                <w:rFonts w:ascii="Verdana" w:hAnsi="Verdana" w:cs="Times New Roman"/>
                <w:sz w:val="16"/>
                <w:szCs w:val="16"/>
              </w:rPr>
              <w:t>Level 1 Initial</w:t>
            </w:r>
          </w:p>
        </w:tc>
        <w:tc>
          <w:tcPr>
            <w:tcW w:w="1072" w:type="pct"/>
          </w:tcPr>
          <w:p w:rsidR="000E223B" w:rsidRPr="000B0C2D" w:rsidRDefault="000E223B" w:rsidP="001106BD">
            <w:pPr>
              <w:cnfStyle w:val="100000000000" w:firstRow="1" w:lastRow="0" w:firstColumn="0" w:lastColumn="0" w:oddVBand="0" w:evenVBand="0" w:oddHBand="0" w:evenHBand="0" w:firstRowFirstColumn="0" w:firstRowLastColumn="0" w:lastRowFirstColumn="0" w:lastRowLastColumn="0"/>
              <w:rPr>
                <w:rFonts w:ascii="Verdana" w:hAnsi="Verdana" w:cs="Times New Roman"/>
                <w:sz w:val="16"/>
                <w:szCs w:val="16"/>
              </w:rPr>
            </w:pPr>
            <w:r w:rsidRPr="000B0C2D">
              <w:rPr>
                <w:rFonts w:ascii="Verdana" w:hAnsi="Verdana" w:cs="Times New Roman"/>
                <w:sz w:val="16"/>
                <w:szCs w:val="16"/>
              </w:rPr>
              <w:t>Level 2 Repeatable</w:t>
            </w:r>
          </w:p>
        </w:tc>
        <w:tc>
          <w:tcPr>
            <w:tcW w:w="1292" w:type="pct"/>
            <w:shd w:val="clear" w:color="auto" w:fill="D99594" w:themeFill="accent2" w:themeFillTint="99"/>
          </w:tcPr>
          <w:p w:rsidR="000E223B" w:rsidRPr="000B0C2D" w:rsidRDefault="000E223B" w:rsidP="001106BD">
            <w:pPr>
              <w:ind w:firstLine="34"/>
              <w:cnfStyle w:val="100000000000" w:firstRow="1" w:lastRow="0" w:firstColumn="0" w:lastColumn="0" w:oddVBand="0" w:evenVBand="0" w:oddHBand="0" w:evenHBand="0" w:firstRowFirstColumn="0" w:firstRowLastColumn="0" w:lastRowFirstColumn="0" w:lastRowLastColumn="0"/>
              <w:rPr>
                <w:rFonts w:ascii="Verdana" w:hAnsi="Verdana" w:cs="Times New Roman"/>
                <w:sz w:val="16"/>
                <w:szCs w:val="16"/>
              </w:rPr>
            </w:pPr>
            <w:r w:rsidRPr="000B0C2D">
              <w:rPr>
                <w:rFonts w:ascii="Verdana" w:hAnsi="Verdana" w:cs="Times New Roman"/>
                <w:sz w:val="16"/>
                <w:szCs w:val="16"/>
              </w:rPr>
              <w:t>Level 3 Defined</w:t>
            </w:r>
          </w:p>
          <w:p w:rsidR="000E223B" w:rsidRPr="000B0C2D" w:rsidRDefault="000E223B" w:rsidP="001106BD">
            <w:pPr>
              <w:ind w:firstLine="34"/>
              <w:cnfStyle w:val="100000000000" w:firstRow="1" w:lastRow="0" w:firstColumn="0" w:lastColumn="0" w:oddVBand="0" w:evenVBand="0" w:oddHBand="0" w:evenHBand="0" w:firstRowFirstColumn="0" w:firstRowLastColumn="0" w:lastRowFirstColumn="0" w:lastRowLastColumn="0"/>
              <w:rPr>
                <w:rFonts w:ascii="Verdana" w:hAnsi="Verdana" w:cs="Times New Roman"/>
                <w:sz w:val="16"/>
                <w:szCs w:val="16"/>
              </w:rPr>
            </w:pPr>
            <w:r w:rsidRPr="000B0C2D">
              <w:rPr>
                <w:rFonts w:ascii="Verdana" w:hAnsi="Verdana" w:cs="Times New Roman"/>
                <w:sz w:val="16"/>
                <w:szCs w:val="16"/>
              </w:rPr>
              <w:t>BASEL III</w:t>
            </w:r>
          </w:p>
        </w:tc>
        <w:tc>
          <w:tcPr>
            <w:tcW w:w="807" w:type="pct"/>
            <w:gridSpan w:val="2"/>
          </w:tcPr>
          <w:p w:rsidR="000E223B" w:rsidRPr="000B0C2D" w:rsidRDefault="000E223B" w:rsidP="001106BD">
            <w:pPr>
              <w:cnfStyle w:val="100000000000" w:firstRow="1" w:lastRow="0" w:firstColumn="0" w:lastColumn="0" w:oddVBand="0" w:evenVBand="0" w:oddHBand="0" w:evenHBand="0" w:firstRowFirstColumn="0" w:firstRowLastColumn="0" w:lastRowFirstColumn="0" w:lastRowLastColumn="0"/>
              <w:rPr>
                <w:rFonts w:ascii="Verdana" w:hAnsi="Verdana" w:cs="Times New Roman"/>
                <w:sz w:val="16"/>
                <w:szCs w:val="16"/>
              </w:rPr>
            </w:pPr>
            <w:r w:rsidRPr="000B0C2D">
              <w:rPr>
                <w:rFonts w:ascii="Verdana" w:hAnsi="Verdana" w:cs="Times New Roman"/>
                <w:sz w:val="16"/>
                <w:szCs w:val="16"/>
              </w:rPr>
              <w:t>Level 4 Quantitatively managed</w:t>
            </w:r>
          </w:p>
        </w:tc>
        <w:tc>
          <w:tcPr>
            <w:tcW w:w="645" w:type="pct"/>
            <w:gridSpan w:val="2"/>
          </w:tcPr>
          <w:p w:rsidR="000E223B" w:rsidRPr="000B0C2D" w:rsidRDefault="000E223B" w:rsidP="001106BD">
            <w:pPr>
              <w:cnfStyle w:val="100000000000" w:firstRow="1" w:lastRow="0" w:firstColumn="0" w:lastColumn="0" w:oddVBand="0" w:evenVBand="0" w:oddHBand="0" w:evenHBand="0" w:firstRowFirstColumn="0" w:firstRowLastColumn="0" w:lastRowFirstColumn="0" w:lastRowLastColumn="0"/>
              <w:rPr>
                <w:rFonts w:ascii="Verdana" w:hAnsi="Verdana" w:cs="Times New Roman"/>
                <w:sz w:val="16"/>
                <w:szCs w:val="16"/>
              </w:rPr>
            </w:pPr>
            <w:r w:rsidRPr="000B0C2D">
              <w:rPr>
                <w:rFonts w:ascii="Verdana" w:hAnsi="Verdana" w:cs="Times New Roman"/>
                <w:sz w:val="16"/>
                <w:szCs w:val="16"/>
              </w:rPr>
              <w:t>Level 5 Optimizing</w:t>
            </w:r>
          </w:p>
        </w:tc>
      </w:tr>
      <w:tr w:rsidR="000E223B" w:rsidRPr="00730B17" w:rsidTr="001106BD">
        <w:trPr>
          <w:gridAfter w:val="1"/>
          <w:cnfStyle w:val="000000100000" w:firstRow="0" w:lastRow="0" w:firstColumn="0" w:lastColumn="0" w:oddVBand="0" w:evenVBand="0" w:oddHBand="1" w:evenHBand="0" w:firstRowFirstColumn="0" w:firstRowLastColumn="0" w:lastRowFirstColumn="0" w:lastRowLastColumn="0"/>
          <w:wAfter w:w="27" w:type="pct"/>
          <w:trHeight w:val="699"/>
        </w:trPr>
        <w:tc>
          <w:tcPr>
            <w:cnfStyle w:val="001000000000" w:firstRow="0" w:lastRow="0" w:firstColumn="1" w:lastColumn="0" w:oddVBand="0" w:evenVBand="0" w:oddHBand="0" w:evenHBand="0" w:firstRowFirstColumn="0" w:firstRowLastColumn="0" w:lastRowFirstColumn="0" w:lastRowLastColumn="0"/>
            <w:tcW w:w="754" w:type="pct"/>
          </w:tcPr>
          <w:p w:rsidR="000E223B" w:rsidRPr="00730B17" w:rsidRDefault="000E223B" w:rsidP="001106BD">
            <w:pPr>
              <w:rPr>
                <w:rFonts w:ascii="Verdana" w:hAnsi="Verdana" w:cs="Times New Roman"/>
                <w:sz w:val="16"/>
                <w:szCs w:val="16"/>
              </w:rPr>
            </w:pPr>
            <w:r w:rsidRPr="00730B17">
              <w:rPr>
                <w:rFonts w:ascii="Verdana" w:hAnsi="Verdana" w:cs="Times New Roman"/>
                <w:sz w:val="16"/>
                <w:szCs w:val="16"/>
              </w:rPr>
              <w:t>Roles, structures &amp; policies</w:t>
            </w:r>
          </w:p>
        </w:tc>
        <w:tc>
          <w:tcPr>
            <w:tcW w:w="430" w:type="pct"/>
          </w:tcPr>
          <w:p w:rsidR="000E223B" w:rsidRPr="00730B17" w:rsidRDefault="000E223B" w:rsidP="001106BD">
            <w:pPr>
              <w:ind w:right="-295"/>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Ad-hoc</w:t>
            </w:r>
          </w:p>
        </w:tc>
        <w:tc>
          <w:tcPr>
            <w:tcW w:w="1072" w:type="pct"/>
          </w:tcPr>
          <w:p w:rsidR="000E223B" w:rsidRPr="00730B17" w:rsidRDefault="000E223B" w:rsidP="001106BD">
            <w:pPr>
              <w:pStyle w:val="ListParagraph"/>
              <w:spacing w:after="0" w:line="240" w:lineRule="auto"/>
              <w:ind w:left="0" w:right="-295"/>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People</w:t>
            </w:r>
          </w:p>
          <w:p w:rsidR="000E223B" w:rsidRPr="00730B17" w:rsidRDefault="000E223B" w:rsidP="001106BD">
            <w:pPr>
              <w:pStyle w:val="ListParagraph"/>
              <w:spacing w:after="0" w:line="240" w:lineRule="auto"/>
              <w:ind w:left="0" w:right="-295"/>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Policies &amp; standards</w:t>
            </w:r>
          </w:p>
        </w:tc>
        <w:tc>
          <w:tcPr>
            <w:tcW w:w="1292" w:type="pct"/>
            <w:shd w:val="clear" w:color="auto" w:fill="D99594" w:themeFill="accent2" w:themeFillTint="99"/>
          </w:tcPr>
          <w:p w:rsidR="000E223B" w:rsidRPr="00730B17" w:rsidRDefault="000E223B" w:rsidP="001106BD">
            <w:pPr>
              <w:pStyle w:val="ListParagraph"/>
              <w:spacing w:after="0" w:line="240" w:lineRule="auto"/>
              <w:ind w:left="175" w:right="-295"/>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Processes &amp; practices</w:t>
            </w:r>
          </w:p>
          <w:p w:rsidR="000E223B" w:rsidRPr="00730B17" w:rsidRDefault="000E223B" w:rsidP="001106BD">
            <w:pPr>
              <w:pStyle w:val="ListParagraph"/>
              <w:spacing w:after="0" w:line="240" w:lineRule="auto"/>
              <w:ind w:left="175" w:right="-295" w:hanging="213"/>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p>
        </w:tc>
        <w:tc>
          <w:tcPr>
            <w:tcW w:w="722" w:type="pct"/>
          </w:tcPr>
          <w:p w:rsidR="000E223B" w:rsidRPr="00730B17" w:rsidRDefault="000E223B" w:rsidP="001106BD">
            <w:pPr>
              <w:pStyle w:val="ListParagraph"/>
              <w:spacing w:after="0" w:line="240" w:lineRule="auto"/>
              <w:ind w:left="176" w:right="-295"/>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Culture &amp; awareness</w:t>
            </w:r>
          </w:p>
        </w:tc>
        <w:tc>
          <w:tcPr>
            <w:tcW w:w="703" w:type="pct"/>
            <w:gridSpan w:val="2"/>
          </w:tcPr>
          <w:p w:rsidR="000E223B" w:rsidRPr="00730B17" w:rsidRDefault="000E223B" w:rsidP="001106BD">
            <w:pPr>
              <w:pStyle w:val="ListParagraph"/>
              <w:spacing w:after="0" w:line="240" w:lineRule="auto"/>
              <w:ind w:left="0" w:right="-295"/>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Data stewardship</w:t>
            </w:r>
          </w:p>
          <w:p w:rsidR="000E223B" w:rsidRPr="00730B17" w:rsidRDefault="000E223B" w:rsidP="001106BD">
            <w:pPr>
              <w:pStyle w:val="ListParagraph"/>
              <w:spacing w:after="0" w:line="240" w:lineRule="auto"/>
              <w:ind w:left="0" w:right="-295"/>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 xml:space="preserve">Business </w:t>
            </w:r>
          </w:p>
          <w:p w:rsidR="000E223B" w:rsidRPr="00730B17" w:rsidRDefault="000E223B" w:rsidP="001106BD">
            <w:pPr>
              <w:pStyle w:val="ListParagraph"/>
              <w:spacing w:after="0" w:line="240" w:lineRule="auto"/>
              <w:ind w:left="0" w:right="-295"/>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model</w:t>
            </w:r>
          </w:p>
        </w:tc>
      </w:tr>
      <w:tr w:rsidR="000E223B" w:rsidRPr="00730B17" w:rsidTr="001106BD">
        <w:trPr>
          <w:gridAfter w:val="1"/>
          <w:wAfter w:w="27" w:type="pct"/>
          <w:trHeight w:val="1611"/>
        </w:trPr>
        <w:tc>
          <w:tcPr>
            <w:cnfStyle w:val="001000000000" w:firstRow="0" w:lastRow="0" w:firstColumn="1" w:lastColumn="0" w:oddVBand="0" w:evenVBand="0" w:oddHBand="0" w:evenHBand="0" w:firstRowFirstColumn="0" w:firstRowLastColumn="0" w:lastRowFirstColumn="0" w:lastRowLastColumn="0"/>
            <w:tcW w:w="754" w:type="pct"/>
          </w:tcPr>
          <w:p w:rsidR="000E223B" w:rsidRPr="00730B17" w:rsidRDefault="000E223B" w:rsidP="001106BD">
            <w:pPr>
              <w:rPr>
                <w:rFonts w:ascii="Verdana" w:hAnsi="Verdana" w:cs="Times New Roman"/>
                <w:sz w:val="16"/>
                <w:szCs w:val="16"/>
              </w:rPr>
            </w:pPr>
            <w:r w:rsidRPr="00730B17">
              <w:rPr>
                <w:rFonts w:ascii="Verdana" w:hAnsi="Verdana" w:cs="Times New Roman"/>
                <w:sz w:val="16"/>
                <w:szCs w:val="16"/>
              </w:rPr>
              <w:lastRenderedPageBreak/>
              <w:t>Data management</w:t>
            </w:r>
          </w:p>
        </w:tc>
        <w:tc>
          <w:tcPr>
            <w:tcW w:w="430" w:type="pct"/>
          </w:tcPr>
          <w:p w:rsidR="000E223B" w:rsidRPr="00730B17" w:rsidRDefault="000E223B" w:rsidP="001106BD">
            <w:pPr>
              <w:ind w:right="-295"/>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Ad-hoc</w:t>
            </w:r>
          </w:p>
        </w:tc>
        <w:tc>
          <w:tcPr>
            <w:tcW w:w="1072" w:type="pct"/>
          </w:tcPr>
          <w:p w:rsidR="000E223B" w:rsidRPr="00730B17" w:rsidRDefault="000E223B" w:rsidP="001106BD">
            <w:pPr>
              <w:pStyle w:val="ListParagraph"/>
              <w:spacing w:after="0" w:line="240" w:lineRule="auto"/>
              <w:ind w:left="0" w:right="-295"/>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Data storage</w:t>
            </w:r>
          </w:p>
          <w:p w:rsidR="000E223B" w:rsidRPr="00730B17" w:rsidRDefault="000E223B" w:rsidP="001106BD">
            <w:pPr>
              <w:pStyle w:val="ListParagraph"/>
              <w:spacing w:after="0" w:line="240" w:lineRule="auto"/>
              <w:ind w:left="0" w:right="-295"/>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Data taxonomy</w:t>
            </w:r>
          </w:p>
        </w:tc>
        <w:tc>
          <w:tcPr>
            <w:tcW w:w="1292" w:type="pct"/>
            <w:shd w:val="clear" w:color="auto" w:fill="D99594" w:themeFill="accent2" w:themeFillTint="99"/>
          </w:tcPr>
          <w:p w:rsidR="000E223B" w:rsidRPr="00730B17" w:rsidRDefault="000E223B" w:rsidP="001106BD">
            <w:pPr>
              <w:pStyle w:val="ListParagraph"/>
              <w:spacing w:after="0" w:line="240" w:lineRule="auto"/>
              <w:ind w:left="175" w:right="-295"/>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Data migration</w:t>
            </w:r>
          </w:p>
          <w:p w:rsidR="000E223B" w:rsidRPr="00730B17" w:rsidRDefault="000E223B" w:rsidP="001106BD">
            <w:pPr>
              <w:pStyle w:val="ListParagraph"/>
              <w:spacing w:after="0" w:line="240" w:lineRule="auto"/>
              <w:ind w:left="175" w:right="-295"/>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Retention &amp; archiving</w:t>
            </w:r>
          </w:p>
          <w:p w:rsidR="000E223B" w:rsidRPr="00730B17" w:rsidRDefault="000E223B" w:rsidP="001106BD">
            <w:pPr>
              <w:pStyle w:val="ListParagraph"/>
              <w:spacing w:after="0" w:line="240" w:lineRule="auto"/>
              <w:ind w:left="175" w:right="-295"/>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Data traceability</w:t>
            </w:r>
          </w:p>
          <w:p w:rsidR="000E223B" w:rsidRPr="00730B17" w:rsidRDefault="000E223B" w:rsidP="001106BD">
            <w:pPr>
              <w:pStyle w:val="ListParagraph"/>
              <w:spacing w:after="0" w:line="240" w:lineRule="auto"/>
              <w:ind w:left="175" w:right="-295"/>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Third party data extract</w:t>
            </w:r>
          </w:p>
          <w:p w:rsidR="000E223B" w:rsidRPr="00730B17" w:rsidRDefault="000E223B" w:rsidP="001106BD">
            <w:pPr>
              <w:pStyle w:val="ListParagraph"/>
              <w:spacing w:after="0" w:line="240" w:lineRule="auto"/>
              <w:ind w:left="175" w:right="-295"/>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Document &amp; content management</w:t>
            </w:r>
          </w:p>
        </w:tc>
        <w:tc>
          <w:tcPr>
            <w:tcW w:w="722" w:type="pct"/>
          </w:tcPr>
          <w:p w:rsidR="000E223B" w:rsidRPr="00730B17" w:rsidRDefault="000E223B" w:rsidP="000E223B">
            <w:pPr>
              <w:pStyle w:val="ListParagraph"/>
              <w:numPr>
                <w:ilvl w:val="0"/>
                <w:numId w:val="53"/>
              </w:numPr>
              <w:spacing w:after="0" w:line="240" w:lineRule="auto"/>
              <w:ind w:left="176" w:right="-295" w:firstLine="0"/>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w:t>
            </w:r>
          </w:p>
        </w:tc>
        <w:tc>
          <w:tcPr>
            <w:tcW w:w="703" w:type="pct"/>
            <w:gridSpan w:val="2"/>
          </w:tcPr>
          <w:p w:rsidR="000E223B" w:rsidRPr="00730B17" w:rsidRDefault="000E223B" w:rsidP="000E223B">
            <w:pPr>
              <w:pStyle w:val="ListParagraph"/>
              <w:numPr>
                <w:ilvl w:val="0"/>
                <w:numId w:val="53"/>
              </w:numPr>
              <w:spacing w:after="0" w:line="240" w:lineRule="auto"/>
              <w:ind w:left="0" w:right="-295" w:firstLine="0"/>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w:t>
            </w:r>
          </w:p>
        </w:tc>
      </w:tr>
      <w:tr w:rsidR="000E223B" w:rsidRPr="00730B17" w:rsidTr="001106BD">
        <w:trPr>
          <w:gridAfter w:val="1"/>
          <w:cnfStyle w:val="000000100000" w:firstRow="0" w:lastRow="0" w:firstColumn="0" w:lastColumn="0" w:oddVBand="0" w:evenVBand="0" w:oddHBand="1" w:evenHBand="0" w:firstRowFirstColumn="0" w:firstRowLastColumn="0" w:lastRowFirstColumn="0" w:lastRowLastColumn="0"/>
          <w:wAfter w:w="27" w:type="pct"/>
        </w:trPr>
        <w:tc>
          <w:tcPr>
            <w:cnfStyle w:val="001000000000" w:firstRow="0" w:lastRow="0" w:firstColumn="1" w:lastColumn="0" w:oddVBand="0" w:evenVBand="0" w:oddHBand="0" w:evenHBand="0" w:firstRowFirstColumn="0" w:firstRowLastColumn="0" w:lastRowFirstColumn="0" w:lastRowLastColumn="0"/>
            <w:tcW w:w="754" w:type="pct"/>
          </w:tcPr>
          <w:p w:rsidR="000E223B" w:rsidRPr="00730B17" w:rsidRDefault="000E223B" w:rsidP="001106BD">
            <w:pPr>
              <w:rPr>
                <w:rFonts w:ascii="Verdana" w:hAnsi="Verdana" w:cs="Times New Roman"/>
                <w:sz w:val="16"/>
                <w:szCs w:val="16"/>
              </w:rPr>
            </w:pPr>
            <w:r w:rsidRPr="00730B17">
              <w:rPr>
                <w:rFonts w:ascii="Verdana" w:hAnsi="Verdana" w:cs="Times New Roman"/>
                <w:sz w:val="16"/>
                <w:szCs w:val="16"/>
              </w:rPr>
              <w:t>Data quality management</w:t>
            </w:r>
          </w:p>
        </w:tc>
        <w:tc>
          <w:tcPr>
            <w:tcW w:w="430" w:type="pct"/>
          </w:tcPr>
          <w:p w:rsidR="000E223B" w:rsidRPr="00730B17" w:rsidRDefault="000E223B" w:rsidP="001106BD">
            <w:pPr>
              <w:ind w:right="-295"/>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Ad-hoc</w:t>
            </w:r>
          </w:p>
        </w:tc>
        <w:tc>
          <w:tcPr>
            <w:tcW w:w="1072" w:type="pct"/>
          </w:tcPr>
          <w:p w:rsidR="000E223B" w:rsidRPr="00730B17" w:rsidRDefault="000E223B" w:rsidP="001106BD">
            <w:pPr>
              <w:pStyle w:val="ListParagraph"/>
              <w:spacing w:after="0" w:line="240" w:lineRule="auto"/>
              <w:ind w:left="0" w:right="-295"/>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Quality dimensions</w:t>
            </w:r>
          </w:p>
        </w:tc>
        <w:tc>
          <w:tcPr>
            <w:tcW w:w="1292" w:type="pct"/>
            <w:shd w:val="clear" w:color="auto" w:fill="D99594" w:themeFill="accent2" w:themeFillTint="99"/>
          </w:tcPr>
          <w:p w:rsidR="000E223B" w:rsidRDefault="000E223B" w:rsidP="001106BD">
            <w:pPr>
              <w:pStyle w:val="ListParagraph"/>
              <w:spacing w:after="0" w:line="240" w:lineRule="auto"/>
              <w:ind w:left="175" w:right="-295"/>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Quality methodologies &amp;</w:t>
            </w:r>
          </w:p>
          <w:p w:rsidR="000E223B" w:rsidRPr="00730B17" w:rsidRDefault="000E223B" w:rsidP="001106BD">
            <w:pPr>
              <w:pStyle w:val="ListParagraph"/>
              <w:spacing w:after="0" w:line="240" w:lineRule="auto"/>
              <w:ind w:left="175" w:right="-295"/>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 xml:space="preserve"> tools</w:t>
            </w:r>
          </w:p>
          <w:p w:rsidR="000E223B" w:rsidRPr="00730B17" w:rsidRDefault="000E223B" w:rsidP="001106BD">
            <w:pPr>
              <w:pStyle w:val="ListParagraph"/>
              <w:spacing w:after="0" w:line="240" w:lineRule="auto"/>
              <w:ind w:left="175" w:right="-295"/>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Quality communication strategies</w:t>
            </w:r>
          </w:p>
        </w:tc>
        <w:tc>
          <w:tcPr>
            <w:tcW w:w="722" w:type="pct"/>
          </w:tcPr>
          <w:p w:rsidR="000E223B" w:rsidRPr="00730B17" w:rsidRDefault="000E223B" w:rsidP="000E223B">
            <w:pPr>
              <w:pStyle w:val="ListParagraph"/>
              <w:numPr>
                <w:ilvl w:val="0"/>
                <w:numId w:val="53"/>
              </w:numPr>
              <w:spacing w:after="0" w:line="240" w:lineRule="auto"/>
              <w:ind w:left="176" w:right="-295" w:firstLine="0"/>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w:t>
            </w:r>
          </w:p>
        </w:tc>
        <w:tc>
          <w:tcPr>
            <w:tcW w:w="703" w:type="pct"/>
            <w:gridSpan w:val="2"/>
          </w:tcPr>
          <w:p w:rsidR="000E223B" w:rsidRPr="00730B17" w:rsidRDefault="000E223B" w:rsidP="000E223B">
            <w:pPr>
              <w:pStyle w:val="ListParagraph"/>
              <w:numPr>
                <w:ilvl w:val="0"/>
                <w:numId w:val="53"/>
              </w:numPr>
              <w:spacing w:after="0" w:line="240" w:lineRule="auto"/>
              <w:ind w:left="0" w:right="-295" w:firstLine="0"/>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w:t>
            </w:r>
          </w:p>
        </w:tc>
      </w:tr>
      <w:tr w:rsidR="000E223B" w:rsidRPr="00730B17" w:rsidTr="001106BD">
        <w:trPr>
          <w:gridAfter w:val="1"/>
          <w:wAfter w:w="27" w:type="pct"/>
        </w:trPr>
        <w:tc>
          <w:tcPr>
            <w:cnfStyle w:val="001000000000" w:firstRow="0" w:lastRow="0" w:firstColumn="1" w:lastColumn="0" w:oddVBand="0" w:evenVBand="0" w:oddHBand="0" w:evenHBand="0" w:firstRowFirstColumn="0" w:firstRowLastColumn="0" w:lastRowFirstColumn="0" w:lastRowLastColumn="0"/>
            <w:tcW w:w="754" w:type="pct"/>
          </w:tcPr>
          <w:p w:rsidR="000E223B" w:rsidRPr="00730B17" w:rsidRDefault="000E223B" w:rsidP="001106BD">
            <w:pPr>
              <w:rPr>
                <w:rFonts w:ascii="Verdana" w:hAnsi="Verdana" w:cs="Times New Roman"/>
                <w:sz w:val="16"/>
                <w:szCs w:val="16"/>
              </w:rPr>
            </w:pPr>
            <w:r w:rsidRPr="00730B17">
              <w:rPr>
                <w:rFonts w:ascii="Verdana" w:hAnsi="Verdana" w:cs="Times New Roman"/>
                <w:sz w:val="16"/>
                <w:szCs w:val="16"/>
              </w:rPr>
              <w:t>Metadata management</w:t>
            </w:r>
          </w:p>
        </w:tc>
        <w:tc>
          <w:tcPr>
            <w:tcW w:w="430" w:type="pct"/>
          </w:tcPr>
          <w:p w:rsidR="000E223B" w:rsidRPr="00730B17" w:rsidRDefault="000E223B" w:rsidP="001106BD">
            <w:pPr>
              <w:ind w:right="-295"/>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Ad-hoc</w:t>
            </w:r>
          </w:p>
        </w:tc>
        <w:tc>
          <w:tcPr>
            <w:tcW w:w="1072" w:type="pct"/>
          </w:tcPr>
          <w:p w:rsidR="000E223B" w:rsidRPr="00730B17" w:rsidRDefault="000E223B" w:rsidP="001106BD">
            <w:pPr>
              <w:pStyle w:val="ListParagraph"/>
              <w:spacing w:after="0" w:line="240" w:lineRule="auto"/>
              <w:ind w:left="0" w:right="-295"/>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 xml:space="preserve">Definitions of </w:t>
            </w:r>
          </w:p>
          <w:p w:rsidR="000E223B" w:rsidRPr="00730B17" w:rsidRDefault="000E223B" w:rsidP="001106BD">
            <w:pPr>
              <w:pStyle w:val="ListParagraph"/>
              <w:spacing w:after="0" w:line="240" w:lineRule="auto"/>
              <w:ind w:left="0" w:right="-295"/>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business metadata</w:t>
            </w:r>
          </w:p>
        </w:tc>
        <w:tc>
          <w:tcPr>
            <w:tcW w:w="1292" w:type="pct"/>
            <w:shd w:val="clear" w:color="auto" w:fill="D99594" w:themeFill="accent2" w:themeFillTint="99"/>
          </w:tcPr>
          <w:p w:rsidR="000E223B" w:rsidRPr="00730B17" w:rsidRDefault="000E223B" w:rsidP="001106BD">
            <w:pPr>
              <w:pStyle w:val="ListParagraph"/>
              <w:spacing w:after="0" w:line="240" w:lineRule="auto"/>
              <w:ind w:left="175" w:right="-295"/>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 xml:space="preserve"> Metadata repository</w:t>
            </w:r>
          </w:p>
        </w:tc>
        <w:tc>
          <w:tcPr>
            <w:tcW w:w="722" w:type="pct"/>
          </w:tcPr>
          <w:p w:rsidR="000E223B" w:rsidRPr="00730B17" w:rsidRDefault="000E223B" w:rsidP="000E223B">
            <w:pPr>
              <w:pStyle w:val="ListParagraph"/>
              <w:numPr>
                <w:ilvl w:val="0"/>
                <w:numId w:val="53"/>
              </w:numPr>
              <w:spacing w:after="0" w:line="240" w:lineRule="auto"/>
              <w:ind w:left="176" w:right="-295" w:firstLine="0"/>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w:t>
            </w:r>
          </w:p>
        </w:tc>
        <w:tc>
          <w:tcPr>
            <w:tcW w:w="703" w:type="pct"/>
            <w:gridSpan w:val="2"/>
          </w:tcPr>
          <w:p w:rsidR="000E223B" w:rsidRPr="00730B17" w:rsidRDefault="000E223B" w:rsidP="000E223B">
            <w:pPr>
              <w:pStyle w:val="ListParagraph"/>
              <w:numPr>
                <w:ilvl w:val="0"/>
                <w:numId w:val="53"/>
              </w:numPr>
              <w:spacing w:after="0" w:line="240" w:lineRule="auto"/>
              <w:ind w:left="0" w:right="-295" w:firstLine="0"/>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w:t>
            </w:r>
          </w:p>
        </w:tc>
      </w:tr>
      <w:tr w:rsidR="000E223B" w:rsidRPr="00730B17" w:rsidTr="001106BD">
        <w:trPr>
          <w:gridAfter w:val="1"/>
          <w:cnfStyle w:val="000000100000" w:firstRow="0" w:lastRow="0" w:firstColumn="0" w:lastColumn="0" w:oddVBand="0" w:evenVBand="0" w:oddHBand="1" w:evenHBand="0" w:firstRowFirstColumn="0" w:firstRowLastColumn="0" w:lastRowFirstColumn="0" w:lastRowLastColumn="0"/>
          <w:wAfter w:w="27" w:type="pct"/>
        </w:trPr>
        <w:tc>
          <w:tcPr>
            <w:cnfStyle w:val="001000000000" w:firstRow="0" w:lastRow="0" w:firstColumn="1" w:lastColumn="0" w:oddVBand="0" w:evenVBand="0" w:oddHBand="0" w:evenHBand="0" w:firstRowFirstColumn="0" w:firstRowLastColumn="0" w:lastRowFirstColumn="0" w:lastRowLastColumn="0"/>
            <w:tcW w:w="754" w:type="pct"/>
          </w:tcPr>
          <w:p w:rsidR="000E223B" w:rsidRPr="00730B17" w:rsidRDefault="000E223B" w:rsidP="001106BD">
            <w:pPr>
              <w:rPr>
                <w:rFonts w:ascii="Verdana" w:hAnsi="Verdana" w:cs="Times New Roman"/>
                <w:sz w:val="16"/>
                <w:szCs w:val="16"/>
              </w:rPr>
            </w:pPr>
            <w:r w:rsidRPr="00730B17">
              <w:rPr>
                <w:rFonts w:ascii="Verdana" w:hAnsi="Verdana" w:cs="Times New Roman"/>
                <w:sz w:val="16"/>
                <w:szCs w:val="16"/>
              </w:rPr>
              <w:t>Master data management</w:t>
            </w:r>
          </w:p>
        </w:tc>
        <w:tc>
          <w:tcPr>
            <w:tcW w:w="430" w:type="pct"/>
          </w:tcPr>
          <w:p w:rsidR="000E223B" w:rsidRPr="00730B17" w:rsidRDefault="000E223B" w:rsidP="001106BD">
            <w:pPr>
              <w:ind w:right="-295"/>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Ad-hoc</w:t>
            </w:r>
          </w:p>
        </w:tc>
        <w:tc>
          <w:tcPr>
            <w:tcW w:w="1072" w:type="pct"/>
          </w:tcPr>
          <w:p w:rsidR="000E223B" w:rsidRPr="00730B17" w:rsidRDefault="000E223B" w:rsidP="001106BD">
            <w:pPr>
              <w:pStyle w:val="ListParagraph"/>
              <w:spacing w:after="0" w:line="240" w:lineRule="auto"/>
              <w:ind w:left="0" w:right="-295"/>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Data stores</w:t>
            </w:r>
          </w:p>
          <w:p w:rsidR="000E223B" w:rsidRPr="00730B17" w:rsidRDefault="000E223B" w:rsidP="001106BD">
            <w:pPr>
              <w:pStyle w:val="ListParagraph"/>
              <w:spacing w:after="0" w:line="240" w:lineRule="auto"/>
              <w:ind w:left="0" w:right="-295"/>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Data modeling</w:t>
            </w:r>
          </w:p>
          <w:p w:rsidR="000E223B" w:rsidRPr="00730B17" w:rsidRDefault="000E223B" w:rsidP="001106BD">
            <w:pPr>
              <w:pStyle w:val="ListParagraph"/>
              <w:spacing w:after="0" w:line="240" w:lineRule="auto"/>
              <w:ind w:left="0" w:right="-295"/>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Enterprise data model</w:t>
            </w:r>
          </w:p>
        </w:tc>
        <w:tc>
          <w:tcPr>
            <w:tcW w:w="1292" w:type="pct"/>
            <w:shd w:val="clear" w:color="auto" w:fill="D99594" w:themeFill="accent2" w:themeFillTint="99"/>
          </w:tcPr>
          <w:p w:rsidR="000E223B" w:rsidRPr="00730B17" w:rsidRDefault="000E223B" w:rsidP="001106BD">
            <w:pPr>
              <w:pStyle w:val="ListParagraph"/>
              <w:spacing w:after="0" w:line="240" w:lineRule="auto"/>
              <w:ind w:left="175" w:right="-295"/>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Data warehousing</w:t>
            </w:r>
          </w:p>
          <w:p w:rsidR="000E223B" w:rsidRPr="00730B17" w:rsidRDefault="000E223B" w:rsidP="001106BD">
            <w:pPr>
              <w:pStyle w:val="ListParagraph"/>
              <w:spacing w:after="0" w:line="240" w:lineRule="auto"/>
              <w:ind w:left="175" w:right="-295"/>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Data integration</w:t>
            </w:r>
          </w:p>
          <w:p w:rsidR="000E223B" w:rsidRPr="00730B17" w:rsidRDefault="000E223B" w:rsidP="001106BD">
            <w:pPr>
              <w:pStyle w:val="ListParagraph"/>
              <w:spacing w:after="0" w:line="240" w:lineRule="auto"/>
              <w:ind w:left="175" w:right="-295"/>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Reference data management</w:t>
            </w:r>
          </w:p>
        </w:tc>
        <w:tc>
          <w:tcPr>
            <w:tcW w:w="722" w:type="pct"/>
          </w:tcPr>
          <w:p w:rsidR="000E223B" w:rsidRPr="00730B17" w:rsidRDefault="000E223B" w:rsidP="000E223B">
            <w:pPr>
              <w:pStyle w:val="ListParagraph"/>
              <w:numPr>
                <w:ilvl w:val="0"/>
                <w:numId w:val="53"/>
              </w:numPr>
              <w:spacing w:after="0" w:line="240" w:lineRule="auto"/>
              <w:ind w:left="176" w:right="-295" w:firstLine="0"/>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w:t>
            </w:r>
          </w:p>
        </w:tc>
        <w:tc>
          <w:tcPr>
            <w:tcW w:w="703" w:type="pct"/>
            <w:gridSpan w:val="2"/>
          </w:tcPr>
          <w:p w:rsidR="000E223B" w:rsidRPr="00730B17" w:rsidRDefault="000E223B" w:rsidP="000E223B">
            <w:pPr>
              <w:pStyle w:val="ListParagraph"/>
              <w:numPr>
                <w:ilvl w:val="0"/>
                <w:numId w:val="53"/>
              </w:numPr>
              <w:spacing w:after="0" w:line="240" w:lineRule="auto"/>
              <w:ind w:left="0" w:right="-295" w:firstLine="0"/>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w:t>
            </w:r>
          </w:p>
        </w:tc>
      </w:tr>
      <w:tr w:rsidR="000E223B" w:rsidRPr="00730B17" w:rsidTr="001106BD">
        <w:trPr>
          <w:gridAfter w:val="1"/>
          <w:wAfter w:w="27" w:type="pct"/>
        </w:trPr>
        <w:tc>
          <w:tcPr>
            <w:cnfStyle w:val="001000000000" w:firstRow="0" w:lastRow="0" w:firstColumn="1" w:lastColumn="0" w:oddVBand="0" w:evenVBand="0" w:oddHBand="0" w:evenHBand="0" w:firstRowFirstColumn="0" w:firstRowLastColumn="0" w:lastRowFirstColumn="0" w:lastRowLastColumn="0"/>
            <w:tcW w:w="754" w:type="pct"/>
          </w:tcPr>
          <w:p w:rsidR="000E223B" w:rsidRPr="00730B17" w:rsidRDefault="000E223B" w:rsidP="001106BD">
            <w:pPr>
              <w:rPr>
                <w:rFonts w:ascii="Verdana" w:hAnsi="Verdana" w:cs="Times New Roman"/>
                <w:sz w:val="16"/>
                <w:szCs w:val="16"/>
              </w:rPr>
            </w:pPr>
            <w:r w:rsidRPr="00730B17">
              <w:rPr>
                <w:rFonts w:ascii="Verdana" w:hAnsi="Verdana" w:cs="Times New Roman"/>
                <w:sz w:val="16"/>
                <w:szCs w:val="16"/>
              </w:rPr>
              <w:t>Data architecture</w:t>
            </w:r>
          </w:p>
        </w:tc>
        <w:tc>
          <w:tcPr>
            <w:tcW w:w="430" w:type="pct"/>
          </w:tcPr>
          <w:p w:rsidR="000E223B" w:rsidRPr="00730B17" w:rsidRDefault="000E223B" w:rsidP="001106BD">
            <w:pPr>
              <w:ind w:right="-295"/>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Ad-hoc</w:t>
            </w:r>
          </w:p>
        </w:tc>
        <w:tc>
          <w:tcPr>
            <w:tcW w:w="1072" w:type="pct"/>
          </w:tcPr>
          <w:p w:rsidR="000E223B" w:rsidRPr="00730B17" w:rsidRDefault="000E223B" w:rsidP="001106BD">
            <w:pPr>
              <w:pStyle w:val="ListParagraph"/>
              <w:spacing w:after="0" w:line="240" w:lineRule="auto"/>
              <w:ind w:left="0" w:right="-295"/>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Pr>
                <w:rFonts w:ascii="Verdana" w:hAnsi="Verdana" w:cs="Times New Roman"/>
                <w:sz w:val="16"/>
                <w:szCs w:val="16"/>
              </w:rPr>
              <w:t xml:space="preserve">Data </w:t>
            </w:r>
            <w:r w:rsidRPr="00730B17">
              <w:rPr>
                <w:rFonts w:ascii="Verdana" w:hAnsi="Verdana" w:cs="Times New Roman"/>
                <w:sz w:val="16"/>
                <w:szCs w:val="16"/>
              </w:rPr>
              <w:t>entity/data component</w:t>
            </w:r>
          </w:p>
          <w:p w:rsidR="000E223B" w:rsidRPr="00730B17" w:rsidRDefault="000E223B" w:rsidP="001106BD">
            <w:pPr>
              <w:pStyle w:val="ListParagraph"/>
              <w:spacing w:after="0" w:line="240" w:lineRule="auto"/>
              <w:ind w:left="0" w:right="-295"/>
              <w:cnfStyle w:val="000000000000" w:firstRow="0" w:lastRow="0" w:firstColumn="0" w:lastColumn="0" w:oddVBand="0" w:evenVBand="0" w:oddHBand="0" w:evenHBand="0" w:firstRowFirstColumn="0" w:firstRowLastColumn="0" w:lastRowFirstColumn="0" w:lastRowLastColumn="0"/>
              <w:rPr>
                <w:rFonts w:ascii="Verdana" w:hAnsi="Verdana" w:cs="Times New Roman"/>
                <w:color w:val="5F497A" w:themeColor="accent4" w:themeShade="BF"/>
                <w:sz w:val="16"/>
                <w:szCs w:val="16"/>
              </w:rPr>
            </w:pPr>
            <w:r w:rsidRPr="00730B17">
              <w:rPr>
                <w:rFonts w:ascii="Verdana" w:hAnsi="Verdana" w:cs="Times New Roman"/>
                <w:sz w:val="16"/>
                <w:szCs w:val="16"/>
              </w:rPr>
              <w:t>catalog</w:t>
            </w:r>
          </w:p>
        </w:tc>
        <w:tc>
          <w:tcPr>
            <w:tcW w:w="1292" w:type="pct"/>
            <w:shd w:val="clear" w:color="auto" w:fill="D99594" w:themeFill="accent2" w:themeFillTint="99"/>
          </w:tcPr>
          <w:p w:rsidR="000E223B" w:rsidRDefault="000E223B" w:rsidP="001106BD">
            <w:pPr>
              <w:pStyle w:val="ListParagraph"/>
              <w:spacing w:after="0" w:line="240" w:lineRule="auto"/>
              <w:ind w:left="175" w:right="-295"/>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 xml:space="preserve">Data entity/business </w:t>
            </w:r>
          </w:p>
          <w:p w:rsidR="000E223B" w:rsidRPr="00730B17" w:rsidRDefault="000E223B" w:rsidP="001106BD">
            <w:pPr>
              <w:pStyle w:val="ListParagraph"/>
              <w:spacing w:after="0" w:line="240" w:lineRule="auto"/>
              <w:ind w:left="175" w:right="-295"/>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function matrix</w:t>
            </w:r>
          </w:p>
        </w:tc>
        <w:tc>
          <w:tcPr>
            <w:tcW w:w="722" w:type="pct"/>
          </w:tcPr>
          <w:p w:rsidR="000E223B" w:rsidRPr="00730B17" w:rsidRDefault="000E223B" w:rsidP="001106BD">
            <w:pPr>
              <w:pStyle w:val="ListParagraph"/>
              <w:spacing w:after="0" w:line="240" w:lineRule="auto"/>
              <w:ind w:left="176" w:right="-295"/>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Application</w:t>
            </w:r>
          </w:p>
          <w:p w:rsidR="000E223B" w:rsidRPr="00730B17" w:rsidRDefault="000E223B" w:rsidP="001106BD">
            <w:pPr>
              <w:pStyle w:val="ListParagraph"/>
              <w:spacing w:after="0" w:line="240" w:lineRule="auto"/>
              <w:ind w:left="176" w:right="-295"/>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/data matrix</w:t>
            </w:r>
          </w:p>
        </w:tc>
        <w:tc>
          <w:tcPr>
            <w:tcW w:w="703" w:type="pct"/>
            <w:gridSpan w:val="2"/>
          </w:tcPr>
          <w:p w:rsidR="000E223B" w:rsidRPr="00730B17" w:rsidRDefault="000E223B" w:rsidP="001106BD">
            <w:pPr>
              <w:pStyle w:val="ListParagraph"/>
              <w:spacing w:after="0" w:line="240" w:lineRule="auto"/>
              <w:ind w:left="0" w:right="-295"/>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Data architecture definition</w:t>
            </w:r>
          </w:p>
        </w:tc>
      </w:tr>
      <w:tr w:rsidR="000E223B" w:rsidRPr="00730B17" w:rsidTr="001106BD">
        <w:trPr>
          <w:gridAfter w:val="1"/>
          <w:cnfStyle w:val="000000100000" w:firstRow="0" w:lastRow="0" w:firstColumn="0" w:lastColumn="0" w:oddVBand="0" w:evenVBand="0" w:oddHBand="1" w:evenHBand="0" w:firstRowFirstColumn="0" w:firstRowLastColumn="0" w:lastRowFirstColumn="0" w:lastRowLastColumn="0"/>
          <w:wAfter w:w="27" w:type="pct"/>
        </w:trPr>
        <w:tc>
          <w:tcPr>
            <w:cnfStyle w:val="001000000000" w:firstRow="0" w:lastRow="0" w:firstColumn="1" w:lastColumn="0" w:oddVBand="0" w:evenVBand="0" w:oddHBand="0" w:evenHBand="0" w:firstRowFirstColumn="0" w:firstRowLastColumn="0" w:lastRowFirstColumn="0" w:lastRowLastColumn="0"/>
            <w:tcW w:w="754" w:type="pct"/>
          </w:tcPr>
          <w:p w:rsidR="000E223B" w:rsidRPr="00730B17" w:rsidRDefault="000E223B" w:rsidP="001106BD">
            <w:pPr>
              <w:rPr>
                <w:rFonts w:ascii="Verdana" w:hAnsi="Verdana" w:cs="Times New Roman"/>
                <w:sz w:val="16"/>
                <w:szCs w:val="16"/>
              </w:rPr>
            </w:pPr>
            <w:r w:rsidRPr="00730B17">
              <w:rPr>
                <w:rFonts w:ascii="Verdana" w:hAnsi="Verdana" w:cs="Times New Roman"/>
                <w:sz w:val="16"/>
                <w:szCs w:val="16"/>
              </w:rPr>
              <w:t>Technology</w:t>
            </w:r>
          </w:p>
        </w:tc>
        <w:tc>
          <w:tcPr>
            <w:tcW w:w="430" w:type="pct"/>
          </w:tcPr>
          <w:p w:rsidR="000E223B" w:rsidRPr="00730B17" w:rsidRDefault="000E223B" w:rsidP="001106BD">
            <w:pPr>
              <w:ind w:right="-295"/>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Ad-hoc</w:t>
            </w:r>
          </w:p>
        </w:tc>
        <w:tc>
          <w:tcPr>
            <w:tcW w:w="1072" w:type="pct"/>
          </w:tcPr>
          <w:p w:rsidR="000E223B" w:rsidRPr="00730B17" w:rsidRDefault="000E223B" w:rsidP="001106BD">
            <w:pPr>
              <w:pStyle w:val="ListParagraph"/>
              <w:spacing w:after="0" w:line="240" w:lineRule="auto"/>
              <w:ind w:left="0" w:right="-295"/>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Infrastructure</w:t>
            </w:r>
          </w:p>
          <w:p w:rsidR="000E223B" w:rsidRPr="00730B17" w:rsidRDefault="000E223B" w:rsidP="001106BD">
            <w:pPr>
              <w:pStyle w:val="ListParagraph"/>
              <w:spacing w:after="0" w:line="240" w:lineRule="auto"/>
              <w:ind w:left="0" w:right="-295"/>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Business applications</w:t>
            </w:r>
          </w:p>
        </w:tc>
        <w:tc>
          <w:tcPr>
            <w:tcW w:w="1292" w:type="pct"/>
            <w:shd w:val="clear" w:color="auto" w:fill="D99594" w:themeFill="accent2" w:themeFillTint="99"/>
          </w:tcPr>
          <w:p w:rsidR="000E223B" w:rsidRPr="00730B17" w:rsidRDefault="000E223B" w:rsidP="001106BD">
            <w:pPr>
              <w:pStyle w:val="ListParagraph"/>
              <w:spacing w:after="0" w:line="240" w:lineRule="auto"/>
              <w:ind w:left="175" w:right="-295"/>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Analytics</w:t>
            </w:r>
          </w:p>
        </w:tc>
        <w:tc>
          <w:tcPr>
            <w:tcW w:w="722" w:type="pct"/>
          </w:tcPr>
          <w:p w:rsidR="000E223B" w:rsidRPr="00730B17" w:rsidRDefault="000E223B" w:rsidP="000E223B">
            <w:pPr>
              <w:pStyle w:val="ListParagraph"/>
              <w:numPr>
                <w:ilvl w:val="0"/>
                <w:numId w:val="53"/>
              </w:numPr>
              <w:spacing w:after="0" w:line="240" w:lineRule="auto"/>
              <w:ind w:left="176" w:right="-295" w:firstLine="0"/>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w:t>
            </w:r>
          </w:p>
        </w:tc>
        <w:tc>
          <w:tcPr>
            <w:tcW w:w="703" w:type="pct"/>
            <w:gridSpan w:val="2"/>
          </w:tcPr>
          <w:p w:rsidR="000E223B" w:rsidRPr="00730B17" w:rsidRDefault="000E223B" w:rsidP="000E223B">
            <w:pPr>
              <w:pStyle w:val="ListParagraph"/>
              <w:numPr>
                <w:ilvl w:val="0"/>
                <w:numId w:val="53"/>
              </w:numPr>
              <w:spacing w:after="0" w:line="240" w:lineRule="auto"/>
              <w:ind w:left="0" w:right="-295" w:firstLine="0"/>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w:t>
            </w:r>
          </w:p>
        </w:tc>
      </w:tr>
      <w:tr w:rsidR="000E223B" w:rsidRPr="00730B17" w:rsidTr="001106BD">
        <w:trPr>
          <w:gridAfter w:val="1"/>
          <w:wAfter w:w="27" w:type="pct"/>
        </w:trPr>
        <w:tc>
          <w:tcPr>
            <w:cnfStyle w:val="001000000000" w:firstRow="0" w:lastRow="0" w:firstColumn="1" w:lastColumn="0" w:oddVBand="0" w:evenVBand="0" w:oddHBand="0" w:evenHBand="0" w:firstRowFirstColumn="0" w:firstRowLastColumn="0" w:lastRowFirstColumn="0" w:lastRowLastColumn="0"/>
            <w:tcW w:w="754" w:type="pct"/>
          </w:tcPr>
          <w:p w:rsidR="000E223B" w:rsidRPr="00730B17" w:rsidRDefault="000E223B" w:rsidP="001106BD">
            <w:pPr>
              <w:rPr>
                <w:rFonts w:ascii="Verdana" w:hAnsi="Verdana" w:cs="Times New Roman"/>
                <w:sz w:val="16"/>
                <w:szCs w:val="16"/>
              </w:rPr>
            </w:pPr>
            <w:r w:rsidRPr="00730B17">
              <w:rPr>
                <w:rFonts w:ascii="Verdana" w:hAnsi="Verdana" w:cs="Times New Roman"/>
                <w:sz w:val="16"/>
                <w:szCs w:val="16"/>
              </w:rPr>
              <w:t>Security &amp; Privacy</w:t>
            </w:r>
          </w:p>
        </w:tc>
        <w:tc>
          <w:tcPr>
            <w:tcW w:w="430" w:type="pct"/>
          </w:tcPr>
          <w:p w:rsidR="000E223B" w:rsidRPr="00730B17" w:rsidRDefault="000E223B" w:rsidP="001106BD">
            <w:pPr>
              <w:ind w:right="-295"/>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Ad-hoc</w:t>
            </w:r>
          </w:p>
        </w:tc>
        <w:tc>
          <w:tcPr>
            <w:tcW w:w="1072" w:type="pct"/>
          </w:tcPr>
          <w:p w:rsidR="000E223B" w:rsidRPr="00730B17" w:rsidRDefault="000E223B" w:rsidP="001106BD">
            <w:pPr>
              <w:pStyle w:val="ListParagraph"/>
              <w:spacing w:after="0" w:line="240" w:lineRule="auto"/>
              <w:ind w:left="0" w:right="-295"/>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Data access rights</w:t>
            </w:r>
          </w:p>
        </w:tc>
        <w:tc>
          <w:tcPr>
            <w:tcW w:w="1292" w:type="pct"/>
            <w:shd w:val="clear" w:color="auto" w:fill="D99594" w:themeFill="accent2" w:themeFillTint="99"/>
          </w:tcPr>
          <w:p w:rsidR="000E223B" w:rsidRPr="00730B17" w:rsidRDefault="000E223B" w:rsidP="001106BD">
            <w:pPr>
              <w:pStyle w:val="ListParagraph"/>
              <w:spacing w:after="0" w:line="240" w:lineRule="auto"/>
              <w:ind w:left="175" w:right="-295"/>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 xml:space="preserve"> Data compliance</w:t>
            </w:r>
          </w:p>
        </w:tc>
        <w:tc>
          <w:tcPr>
            <w:tcW w:w="722" w:type="pct"/>
          </w:tcPr>
          <w:p w:rsidR="000E223B" w:rsidRPr="00730B17" w:rsidRDefault="000E223B" w:rsidP="001106BD">
            <w:pPr>
              <w:pStyle w:val="ListParagraph"/>
              <w:spacing w:after="0" w:line="240" w:lineRule="auto"/>
              <w:ind w:left="176" w:right="-295"/>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Pr>
                <w:rFonts w:ascii="Verdana" w:hAnsi="Verdana" w:cs="Times New Roman"/>
                <w:sz w:val="16"/>
                <w:szCs w:val="16"/>
              </w:rPr>
              <w:t xml:space="preserve">Data </w:t>
            </w:r>
            <w:r w:rsidRPr="00730B17">
              <w:rPr>
                <w:rFonts w:ascii="Verdana" w:hAnsi="Verdana" w:cs="Times New Roman"/>
                <w:sz w:val="16"/>
                <w:szCs w:val="16"/>
              </w:rPr>
              <w:t>risk management</w:t>
            </w:r>
          </w:p>
        </w:tc>
        <w:tc>
          <w:tcPr>
            <w:tcW w:w="703" w:type="pct"/>
            <w:gridSpan w:val="2"/>
          </w:tcPr>
          <w:p w:rsidR="000E223B" w:rsidRPr="00730B17" w:rsidRDefault="000E223B" w:rsidP="000E223B">
            <w:pPr>
              <w:pStyle w:val="ListParagraph"/>
              <w:numPr>
                <w:ilvl w:val="0"/>
                <w:numId w:val="53"/>
              </w:numPr>
              <w:spacing w:after="0" w:line="240" w:lineRule="auto"/>
              <w:ind w:left="0" w:right="-295" w:firstLine="0"/>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p>
        </w:tc>
      </w:tr>
      <w:tr w:rsidR="000E223B" w:rsidRPr="00730B17" w:rsidTr="001106BD">
        <w:trPr>
          <w:gridAfter w:val="1"/>
          <w:cnfStyle w:val="000000100000" w:firstRow="0" w:lastRow="0" w:firstColumn="0" w:lastColumn="0" w:oddVBand="0" w:evenVBand="0" w:oddHBand="1" w:evenHBand="0" w:firstRowFirstColumn="0" w:firstRowLastColumn="0" w:lastRowFirstColumn="0" w:lastRowLastColumn="0"/>
          <w:wAfter w:w="27" w:type="pct"/>
        </w:trPr>
        <w:tc>
          <w:tcPr>
            <w:cnfStyle w:val="001000000000" w:firstRow="0" w:lastRow="0" w:firstColumn="1" w:lastColumn="0" w:oddVBand="0" w:evenVBand="0" w:oddHBand="0" w:evenHBand="0" w:firstRowFirstColumn="0" w:firstRowLastColumn="0" w:lastRowFirstColumn="0" w:lastRowLastColumn="0"/>
            <w:tcW w:w="754" w:type="pct"/>
          </w:tcPr>
          <w:p w:rsidR="000E223B" w:rsidRPr="00730B17" w:rsidRDefault="000E223B" w:rsidP="001106BD">
            <w:pPr>
              <w:rPr>
                <w:rFonts w:ascii="Verdana" w:hAnsi="Verdana" w:cs="Times New Roman"/>
                <w:sz w:val="16"/>
                <w:szCs w:val="16"/>
              </w:rPr>
            </w:pPr>
            <w:r w:rsidRPr="00730B17">
              <w:rPr>
                <w:rFonts w:ascii="Verdana" w:hAnsi="Verdana" w:cs="Times New Roman"/>
                <w:sz w:val="16"/>
                <w:szCs w:val="16"/>
              </w:rPr>
              <w:t>Metrics development &amp; monitoring</w:t>
            </w:r>
          </w:p>
        </w:tc>
        <w:tc>
          <w:tcPr>
            <w:tcW w:w="430" w:type="pct"/>
          </w:tcPr>
          <w:p w:rsidR="000E223B" w:rsidRPr="00730B17" w:rsidRDefault="000E223B" w:rsidP="001106BD">
            <w:pPr>
              <w:ind w:right="-295"/>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Ad-hoc</w:t>
            </w:r>
          </w:p>
        </w:tc>
        <w:tc>
          <w:tcPr>
            <w:tcW w:w="1072" w:type="pct"/>
          </w:tcPr>
          <w:p w:rsidR="000E223B" w:rsidRPr="00730B17" w:rsidRDefault="000E223B" w:rsidP="000E223B">
            <w:pPr>
              <w:pStyle w:val="ListParagraph"/>
              <w:numPr>
                <w:ilvl w:val="0"/>
                <w:numId w:val="53"/>
              </w:numPr>
              <w:spacing w:after="0" w:line="240" w:lineRule="auto"/>
              <w:ind w:left="0" w:right="-295" w:firstLine="0"/>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w:t>
            </w:r>
          </w:p>
        </w:tc>
        <w:tc>
          <w:tcPr>
            <w:tcW w:w="1292" w:type="pct"/>
            <w:shd w:val="clear" w:color="auto" w:fill="D99594" w:themeFill="accent2" w:themeFillTint="99"/>
          </w:tcPr>
          <w:p w:rsidR="000E223B" w:rsidRPr="00730B17" w:rsidRDefault="000E223B" w:rsidP="000E223B">
            <w:pPr>
              <w:pStyle w:val="ListParagraph"/>
              <w:numPr>
                <w:ilvl w:val="0"/>
                <w:numId w:val="53"/>
              </w:numPr>
              <w:spacing w:after="0" w:line="240" w:lineRule="auto"/>
              <w:ind w:left="0" w:right="-295" w:firstLine="34"/>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w:t>
            </w:r>
          </w:p>
        </w:tc>
        <w:tc>
          <w:tcPr>
            <w:tcW w:w="722" w:type="pct"/>
          </w:tcPr>
          <w:p w:rsidR="000E223B" w:rsidRPr="00730B17" w:rsidRDefault="000E223B" w:rsidP="000E223B">
            <w:pPr>
              <w:pStyle w:val="ListParagraph"/>
              <w:numPr>
                <w:ilvl w:val="0"/>
                <w:numId w:val="53"/>
              </w:numPr>
              <w:spacing w:after="0" w:line="240" w:lineRule="auto"/>
              <w:ind w:left="176" w:right="-295" w:firstLine="0"/>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w:t>
            </w:r>
          </w:p>
        </w:tc>
        <w:tc>
          <w:tcPr>
            <w:tcW w:w="703" w:type="pct"/>
            <w:gridSpan w:val="2"/>
          </w:tcPr>
          <w:p w:rsidR="000E223B" w:rsidRPr="00730B17" w:rsidRDefault="000E223B" w:rsidP="001106BD">
            <w:pPr>
              <w:pStyle w:val="ListParagraph"/>
              <w:spacing w:line="240" w:lineRule="auto"/>
              <w:ind w:left="0" w:right="-295"/>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 xml:space="preserve">Benefits management </w:t>
            </w:r>
          </w:p>
          <w:p w:rsidR="000E223B" w:rsidRPr="00730B17" w:rsidRDefault="000E223B" w:rsidP="001106BD">
            <w:pPr>
              <w:pStyle w:val="ListParagraph"/>
              <w:spacing w:line="240" w:lineRule="auto"/>
              <w:ind w:left="0" w:right="-295"/>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&amp; monitoring</w:t>
            </w:r>
          </w:p>
          <w:p w:rsidR="000E223B" w:rsidRPr="00730B17" w:rsidRDefault="000E223B" w:rsidP="001106BD">
            <w:pPr>
              <w:pStyle w:val="ListParagraph"/>
              <w:spacing w:after="0" w:line="240" w:lineRule="auto"/>
              <w:ind w:left="0" w:right="-295"/>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Value</w:t>
            </w:r>
          </w:p>
          <w:p w:rsidR="000E223B" w:rsidRPr="00730B17" w:rsidRDefault="000E223B" w:rsidP="001106BD">
            <w:pPr>
              <w:pStyle w:val="ListParagraph"/>
              <w:spacing w:after="0" w:line="240" w:lineRule="auto"/>
              <w:ind w:left="0" w:right="-295"/>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730B17">
              <w:rPr>
                <w:rFonts w:ascii="Verdana" w:hAnsi="Verdana" w:cs="Times New Roman"/>
                <w:sz w:val="16"/>
                <w:szCs w:val="16"/>
              </w:rPr>
              <w:t xml:space="preserve"> creation quantification</w:t>
            </w:r>
          </w:p>
        </w:tc>
      </w:tr>
    </w:tbl>
    <w:p w:rsidR="000E223B" w:rsidRPr="00753959" w:rsidRDefault="004E613D" w:rsidP="000E223B">
      <w:pPr>
        <w:spacing w:line="360" w:lineRule="auto"/>
        <w:jc w:val="center"/>
        <w:rPr>
          <w:rFonts w:ascii="Verdana" w:hAnsi="Verdana" w:cs="Times New Roman"/>
          <w:sz w:val="18"/>
          <w:szCs w:val="18"/>
          <w:lang w:val="en-US"/>
        </w:rPr>
      </w:pPr>
      <w:r>
        <w:rPr>
          <w:rFonts w:ascii="Verdana" w:hAnsi="Verdana" w:cs="Times New Roman"/>
          <w:sz w:val="18"/>
          <w:szCs w:val="18"/>
          <w:lang w:val="en-US"/>
        </w:rPr>
        <w:t>Table 6.3</w:t>
      </w:r>
      <w:r w:rsidR="000E223B" w:rsidRPr="00753959">
        <w:rPr>
          <w:rFonts w:ascii="Verdana" w:hAnsi="Verdana" w:cs="Times New Roman"/>
          <w:sz w:val="18"/>
          <w:szCs w:val="18"/>
          <w:lang w:val="en-US"/>
        </w:rPr>
        <w:t xml:space="preserve"> Data and big data governance capability maturity model (under the Basel III implementation)</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We can observe that by level 3 – </w:t>
      </w:r>
      <w:r w:rsidRPr="004E613D">
        <w:rPr>
          <w:rFonts w:ascii="Verdana" w:hAnsi="Verdana" w:cs="Times New Roman"/>
          <w:i/>
          <w:sz w:val="20"/>
          <w:szCs w:val="20"/>
          <w:lang w:val="en-US"/>
        </w:rPr>
        <w:t>Defined</w:t>
      </w:r>
      <w:r w:rsidRPr="000E223B">
        <w:rPr>
          <w:rFonts w:ascii="Verdana" w:hAnsi="Verdana" w:cs="Times New Roman"/>
          <w:sz w:val="20"/>
          <w:szCs w:val="20"/>
          <w:lang w:val="en-US"/>
        </w:rPr>
        <w:t>, a model implementation following the Basel III guidelines has mainly already implemented most of the data governance process areas we identified in our industry-free governance model. Level 4 and level 5, in this case, constitute an extension of the “foundation” already built by level 3 : level 4 matures the culture of data risk management across the bank as risk management practices are more and more standardized as status quo in daily management of operations while level 5 is concerned with a changing business model that now evaluates just how well its standards and process</w:t>
      </w:r>
      <w:r w:rsidR="004E613D">
        <w:rPr>
          <w:rFonts w:ascii="Verdana" w:hAnsi="Verdana" w:cs="Times New Roman"/>
          <w:sz w:val="20"/>
          <w:szCs w:val="20"/>
          <w:lang w:val="en-US"/>
        </w:rPr>
        <w:t>es</w:t>
      </w:r>
      <w:r w:rsidRPr="000E223B">
        <w:rPr>
          <w:rFonts w:ascii="Verdana" w:hAnsi="Verdana" w:cs="Times New Roman"/>
          <w:sz w:val="20"/>
          <w:szCs w:val="20"/>
          <w:lang w:val="en-US"/>
        </w:rPr>
        <w:t xml:space="preserve"> are working. </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Compared to the original data governance model in figure 6.2 (section 6.4.4), the differences between the distribution of key process areas by level are not that striking. The manner in which Basel III modifies the way a data governance framework should be implemented is by adding a sense of urgency to correctly and timely implementing the safety nets needed for correct risk assessments and reporting. These are data and quality management practices as well as data compliance and analytics. </w:t>
      </w:r>
    </w:p>
    <w:p w:rsidR="000E223B" w:rsidRPr="00FB5C1D" w:rsidRDefault="000B1D7B" w:rsidP="000E223B">
      <w:pPr>
        <w:pStyle w:val="Heading2"/>
        <w:spacing w:line="360" w:lineRule="auto"/>
        <w:jc w:val="both"/>
        <w:rPr>
          <w:rFonts w:ascii="Verdana" w:hAnsi="Verdana" w:cs="Times New Roman"/>
          <w:sz w:val="20"/>
          <w:szCs w:val="20"/>
        </w:rPr>
      </w:pPr>
      <w:bookmarkStart w:id="126" w:name="_Toc423597586"/>
      <w:r>
        <w:rPr>
          <w:rFonts w:ascii="Verdana" w:hAnsi="Verdana" w:cs="Times New Roman"/>
          <w:sz w:val="20"/>
          <w:szCs w:val="20"/>
        </w:rPr>
        <w:t>6.4.7</w:t>
      </w:r>
      <w:r w:rsidR="000E223B" w:rsidRPr="00FB5C1D">
        <w:rPr>
          <w:rFonts w:ascii="Verdana" w:hAnsi="Verdana" w:cs="Times New Roman"/>
          <w:sz w:val="20"/>
          <w:szCs w:val="20"/>
        </w:rPr>
        <w:t xml:space="preserve"> Empirical testing</w:t>
      </w:r>
      <w:bookmarkEnd w:id="126"/>
      <w:r w:rsidR="000E223B" w:rsidRPr="00FB5C1D">
        <w:rPr>
          <w:rFonts w:ascii="Verdana" w:hAnsi="Verdana" w:cs="Times New Roman"/>
          <w:sz w:val="20"/>
          <w:szCs w:val="20"/>
        </w:rPr>
        <w:t xml:space="preserve"> </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We wanted to test how the data governance capability maturity model fits the actual situation in the Belgian financial sector from a data and big data perspective. Given the novelty of the big data projects, we structured an inquiry form which was used to assess </w:t>
      </w:r>
      <w:r w:rsidRPr="000E223B">
        <w:rPr>
          <w:rFonts w:ascii="Verdana" w:hAnsi="Verdana" w:cs="Times New Roman"/>
          <w:sz w:val="20"/>
          <w:szCs w:val="20"/>
          <w:lang w:val="en-US"/>
        </w:rPr>
        <w:lastRenderedPageBreak/>
        <w:t xml:space="preserve">both data and big data governance </w:t>
      </w:r>
      <w:r w:rsidR="004E613D" w:rsidRPr="000E223B">
        <w:rPr>
          <w:rFonts w:ascii="Verdana" w:hAnsi="Verdana" w:cs="Times New Roman"/>
          <w:sz w:val="20"/>
          <w:szCs w:val="20"/>
          <w:lang w:val="en-US"/>
        </w:rPr>
        <w:t>practices:</w:t>
      </w:r>
      <w:r w:rsidRPr="000E223B">
        <w:rPr>
          <w:rFonts w:ascii="Verdana" w:hAnsi="Verdana" w:cs="Times New Roman"/>
          <w:sz w:val="20"/>
          <w:szCs w:val="20"/>
          <w:lang w:val="en-US"/>
        </w:rPr>
        <w:t xml:space="preserve"> specifically, we devised a question per sub-process with regards to data governance and one question per sub-process fit to accommodate characteristics for big data projects. We also gave the respondents the possibility of 6 answers on a Likert scale: </w:t>
      </w:r>
      <w:r w:rsidRPr="000E223B">
        <w:rPr>
          <w:rFonts w:ascii="Verdana" w:hAnsi="Verdana" w:cs="Times New Roman"/>
          <w:i/>
          <w:sz w:val="20"/>
          <w:szCs w:val="20"/>
          <w:lang w:val="en-US"/>
        </w:rPr>
        <w:t>I don’t know, Strongly disagree, Disagree, Neither agree nor disagree, Agree, Strongly agree</w:t>
      </w:r>
      <w:r w:rsidRPr="000E223B">
        <w:rPr>
          <w:rFonts w:ascii="Verdana" w:hAnsi="Verdana" w:cs="Times New Roman"/>
          <w:sz w:val="20"/>
          <w:szCs w:val="20"/>
          <w:lang w:val="en-US"/>
        </w:rPr>
        <w:t xml:space="preserve">. The population we chose were consultants from the researchers network which had previously participated in data governance projects in the Belgian financial sector. The survey was emailed to them and sometimes a follow-up conversation concluded the participation. </w:t>
      </w:r>
    </w:p>
    <w:p w:rsidR="000E223B" w:rsidRPr="000E223B" w:rsidRDefault="004E613D" w:rsidP="000E223B">
      <w:pPr>
        <w:spacing w:line="360" w:lineRule="auto"/>
        <w:jc w:val="both"/>
        <w:rPr>
          <w:rFonts w:ascii="Verdana" w:hAnsi="Verdana" w:cs="Times New Roman"/>
          <w:sz w:val="20"/>
          <w:szCs w:val="20"/>
          <w:lang w:val="en-US"/>
        </w:rPr>
      </w:pPr>
      <w:r>
        <w:rPr>
          <w:rFonts w:ascii="Verdana" w:hAnsi="Verdana" w:cs="Times New Roman"/>
          <w:sz w:val="20"/>
          <w:szCs w:val="20"/>
          <w:lang w:val="en-US"/>
        </w:rPr>
        <w:t>We sent out a total of 20 invitations to different profiles: CIO’s, CTO’s, project managers and consultants which work and/or participate in projects pertaining to the Belgian financial or banking sector. We only received 5 answers in return, which makes for a 25% response rate. These answers came however from 2 banking professionals and 3 consultants. Because t</w:t>
      </w:r>
      <w:r w:rsidR="000E223B" w:rsidRPr="000E223B">
        <w:rPr>
          <w:rFonts w:ascii="Verdana" w:hAnsi="Verdana" w:cs="Times New Roman"/>
          <w:sz w:val="20"/>
          <w:szCs w:val="20"/>
          <w:lang w:val="en-US"/>
        </w:rPr>
        <w:t>he number of</w:t>
      </w:r>
      <w:r>
        <w:rPr>
          <w:rFonts w:ascii="Verdana" w:hAnsi="Verdana" w:cs="Times New Roman"/>
          <w:sz w:val="20"/>
          <w:szCs w:val="20"/>
          <w:lang w:val="en-US"/>
        </w:rPr>
        <w:t xml:space="preserve"> answers received was very poor, </w:t>
      </w:r>
      <w:r w:rsidR="000E223B" w:rsidRPr="000E223B">
        <w:rPr>
          <w:rFonts w:ascii="Verdana" w:hAnsi="Verdana" w:cs="Times New Roman"/>
          <w:sz w:val="20"/>
          <w:szCs w:val="20"/>
          <w:lang w:val="en-US"/>
        </w:rPr>
        <w:t xml:space="preserve">we would like to draw attention to the fact that we chose to include the empirical results from these questionnaire because of the nature of the work of a </w:t>
      </w:r>
      <w:r w:rsidRPr="000E223B">
        <w:rPr>
          <w:rFonts w:ascii="Verdana" w:hAnsi="Verdana" w:cs="Times New Roman"/>
          <w:sz w:val="20"/>
          <w:szCs w:val="20"/>
          <w:lang w:val="en-US"/>
        </w:rPr>
        <w:t>consultant:</w:t>
      </w:r>
      <w:r w:rsidR="000E223B" w:rsidRPr="000E223B">
        <w:rPr>
          <w:rFonts w:ascii="Verdana" w:hAnsi="Verdana" w:cs="Times New Roman"/>
          <w:sz w:val="20"/>
          <w:szCs w:val="20"/>
          <w:lang w:val="en-US"/>
        </w:rPr>
        <w:t xml:space="preserve"> participating in different projects, across different banks, in missions which allow for diversification. This allows the consultant to gain a global view of how the state of data governance practices in banking actually are. We are, however, well aware of the fact that this perceived advantage in the eyes of the researcher, can also be seen as a </w:t>
      </w:r>
      <w:r w:rsidRPr="000E223B">
        <w:rPr>
          <w:rFonts w:ascii="Verdana" w:hAnsi="Verdana" w:cs="Times New Roman"/>
          <w:sz w:val="20"/>
          <w:szCs w:val="20"/>
          <w:lang w:val="en-US"/>
        </w:rPr>
        <w:t>disadvantage:</w:t>
      </w:r>
      <w:r w:rsidR="000E223B" w:rsidRPr="000E223B">
        <w:rPr>
          <w:rFonts w:ascii="Verdana" w:hAnsi="Verdana" w:cs="Times New Roman"/>
          <w:sz w:val="20"/>
          <w:szCs w:val="20"/>
          <w:lang w:val="en-US"/>
        </w:rPr>
        <w:t xml:space="preserve"> because of the nature of their work (external employees), consultants might not be exposed to all the mechanisms and workings internal to data governance practices. As such, we present the results of our empirical testing under the reserve that the results offer a very specific, singular view on a broad subject such as data and big data </w:t>
      </w:r>
      <w:r w:rsidRPr="000E223B">
        <w:rPr>
          <w:rFonts w:ascii="Verdana" w:hAnsi="Verdana" w:cs="Times New Roman"/>
          <w:sz w:val="20"/>
          <w:szCs w:val="20"/>
          <w:lang w:val="en-US"/>
        </w:rPr>
        <w:t>governance and</w:t>
      </w:r>
      <w:r w:rsidR="000E223B" w:rsidRPr="000E223B">
        <w:rPr>
          <w:rFonts w:ascii="Verdana" w:hAnsi="Verdana" w:cs="Times New Roman"/>
          <w:sz w:val="20"/>
          <w:szCs w:val="20"/>
          <w:lang w:val="en-US"/>
        </w:rPr>
        <w:t xml:space="preserve"> that, as such, these results should not be considered as representative for the entire Belgian financial sector.</w:t>
      </w:r>
    </w:p>
    <w:p w:rsidR="000E223B" w:rsidRPr="00FB5C1D" w:rsidRDefault="000B1D7B" w:rsidP="000E223B">
      <w:pPr>
        <w:pStyle w:val="Heading2"/>
        <w:spacing w:line="360" w:lineRule="auto"/>
        <w:jc w:val="both"/>
        <w:rPr>
          <w:rFonts w:ascii="Verdana" w:hAnsi="Verdana" w:cs="Times New Roman"/>
          <w:sz w:val="20"/>
          <w:szCs w:val="20"/>
        </w:rPr>
      </w:pPr>
      <w:bookmarkStart w:id="127" w:name="_Toc423597587"/>
      <w:r>
        <w:rPr>
          <w:rFonts w:ascii="Verdana" w:hAnsi="Verdana" w:cs="Times New Roman"/>
          <w:sz w:val="20"/>
          <w:szCs w:val="20"/>
        </w:rPr>
        <w:t>6.4.8</w:t>
      </w:r>
      <w:r w:rsidR="000E223B" w:rsidRPr="00FB5C1D">
        <w:rPr>
          <w:rFonts w:ascii="Verdana" w:hAnsi="Verdana" w:cs="Times New Roman"/>
          <w:sz w:val="20"/>
          <w:szCs w:val="20"/>
        </w:rPr>
        <w:t xml:space="preserve"> Empirical results</w:t>
      </w:r>
      <w:bookmarkEnd w:id="127"/>
      <w:r w:rsidR="000E223B" w:rsidRPr="00FB5C1D">
        <w:rPr>
          <w:rFonts w:ascii="Verdana" w:hAnsi="Verdana" w:cs="Times New Roman"/>
          <w:sz w:val="20"/>
          <w:szCs w:val="20"/>
        </w:rPr>
        <w:t xml:space="preserve"> </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Interviewing the different participants to our research revealed that, overall, big data projects, be them short initiatives or more long terms ones, are already being set-up in the banking sector. However, when assessing the maturity level of such big data projects, we find out without surprise, that most of them are in level 1- initial and are as such, composed of ad-hoc, disparate initiatives without any automation or standardization in place. We found, however, that there exists a strong culture &amp; awareness for big data projects among the participants as most decision-making practices involve taking all potential available data in consideration. </w:t>
      </w:r>
      <w:r w:rsidR="004E613D">
        <w:rPr>
          <w:rFonts w:ascii="Verdana" w:hAnsi="Verdana" w:cs="Times New Roman"/>
          <w:sz w:val="20"/>
          <w:szCs w:val="20"/>
          <w:lang w:val="en-US"/>
        </w:rPr>
        <w:t xml:space="preserve">Such a data-oriented mindset is not sustained by </w:t>
      </w:r>
      <w:r w:rsidR="004E613D" w:rsidRPr="000E223B">
        <w:rPr>
          <w:rFonts w:ascii="Verdana" w:hAnsi="Verdana" w:cs="Times New Roman"/>
          <w:sz w:val="20"/>
          <w:szCs w:val="20"/>
          <w:lang w:val="en-US"/>
        </w:rPr>
        <w:t>accurate</w:t>
      </w:r>
      <w:r w:rsidR="004E613D">
        <w:rPr>
          <w:rFonts w:ascii="Verdana" w:hAnsi="Verdana" w:cs="Times New Roman"/>
          <w:sz w:val="20"/>
          <w:szCs w:val="20"/>
          <w:lang w:val="en-US"/>
        </w:rPr>
        <w:t xml:space="preserve"> standards and procedures</w:t>
      </w:r>
      <w:r w:rsidRPr="000E223B">
        <w:rPr>
          <w:rFonts w:ascii="Verdana" w:hAnsi="Verdana" w:cs="Times New Roman"/>
          <w:sz w:val="20"/>
          <w:szCs w:val="20"/>
          <w:lang w:val="en-US"/>
        </w:rPr>
        <w:t>.</w:t>
      </w:r>
    </w:p>
    <w:p w:rsidR="000E223B" w:rsidRPr="000E223B" w:rsidRDefault="000E223B" w:rsidP="000E223B">
      <w:pPr>
        <w:spacing w:line="360" w:lineRule="auto"/>
        <w:jc w:val="both"/>
        <w:rPr>
          <w:rFonts w:ascii="Verdana" w:hAnsi="Verdana" w:cs="Times New Roman"/>
          <w:sz w:val="20"/>
          <w:szCs w:val="20"/>
          <w:lang w:val="en-US"/>
        </w:rPr>
      </w:pPr>
      <w:r w:rsidRPr="00FB5C1D">
        <w:rPr>
          <w:rFonts w:ascii="Verdana" w:hAnsi="Verdana" w:cs="Times New Roman"/>
          <w:noProof/>
          <w:sz w:val="20"/>
          <w:szCs w:val="20"/>
          <w:lang w:val="en-GB" w:eastAsia="en-GB"/>
        </w:rPr>
        <w:lastRenderedPageBreak/>
        <w:drawing>
          <wp:anchor distT="0" distB="0" distL="114300" distR="114300" simplePos="0" relativeHeight="251709952" behindDoc="0" locked="0" layoutInCell="1" allowOverlap="1" wp14:anchorId="1BEE881A" wp14:editId="28E80B7D">
            <wp:simplePos x="0" y="0"/>
            <wp:positionH relativeFrom="column">
              <wp:posOffset>28575</wp:posOffset>
            </wp:positionH>
            <wp:positionV relativeFrom="paragraph">
              <wp:posOffset>1244600</wp:posOffset>
            </wp:positionV>
            <wp:extent cx="5641340" cy="45148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641340" cy="4514850"/>
                    </a:xfrm>
                    <a:prstGeom prst="rect">
                      <a:avLst/>
                    </a:prstGeom>
                  </pic:spPr>
                </pic:pic>
              </a:graphicData>
            </a:graphic>
            <wp14:sizeRelH relativeFrom="page">
              <wp14:pctWidth>0</wp14:pctWidth>
            </wp14:sizeRelH>
            <wp14:sizeRelV relativeFrom="page">
              <wp14:pctHeight>0</wp14:pctHeight>
            </wp14:sizeRelV>
          </wp:anchor>
        </w:drawing>
      </w:r>
      <w:r w:rsidRPr="000E223B">
        <w:rPr>
          <w:rFonts w:ascii="Verdana" w:hAnsi="Verdana" w:cs="Times New Roman"/>
          <w:sz w:val="20"/>
          <w:szCs w:val="20"/>
          <w:lang w:val="en-US"/>
        </w:rPr>
        <w:t>Overall, thus for both data and big data governance oriented practices, the results p</w:t>
      </w:r>
      <w:r w:rsidR="004E613D">
        <w:rPr>
          <w:rFonts w:ascii="Verdana" w:hAnsi="Verdana" w:cs="Times New Roman"/>
          <w:sz w:val="20"/>
          <w:szCs w:val="20"/>
          <w:lang w:val="en-US"/>
        </w:rPr>
        <w:t>resented in figure 6.4</w:t>
      </w:r>
      <w:r w:rsidRPr="000E223B">
        <w:rPr>
          <w:rFonts w:ascii="Verdana" w:hAnsi="Verdana" w:cs="Times New Roman"/>
          <w:sz w:val="20"/>
          <w:szCs w:val="20"/>
          <w:lang w:val="en-US"/>
        </w:rPr>
        <w:t xml:space="preserve"> aggregate the computed maturity levels for each sub-process and gives a global overview of how banks are performing for each key process area, compared to the Basel III requirements. </w:t>
      </w:r>
    </w:p>
    <w:p w:rsidR="000E223B" w:rsidRPr="00753959" w:rsidRDefault="000B1D7B" w:rsidP="000E223B">
      <w:pPr>
        <w:spacing w:line="360" w:lineRule="auto"/>
        <w:jc w:val="center"/>
        <w:rPr>
          <w:rFonts w:ascii="Verdana" w:hAnsi="Verdana" w:cs="Times New Roman"/>
          <w:sz w:val="18"/>
          <w:szCs w:val="18"/>
          <w:lang w:val="en-US"/>
        </w:rPr>
      </w:pPr>
      <w:r>
        <w:rPr>
          <w:rFonts w:ascii="Verdana" w:hAnsi="Verdana" w:cs="Times New Roman"/>
          <w:sz w:val="18"/>
          <w:szCs w:val="18"/>
          <w:lang w:val="en-US"/>
        </w:rPr>
        <w:t>Figure 6.4</w:t>
      </w:r>
      <w:r w:rsidR="000E223B" w:rsidRPr="00753959">
        <w:rPr>
          <w:rFonts w:ascii="Verdana" w:hAnsi="Verdana" w:cs="Times New Roman"/>
          <w:sz w:val="18"/>
          <w:szCs w:val="18"/>
          <w:lang w:val="en-US"/>
        </w:rPr>
        <w:t xml:space="preserve"> Performance of the Belgian financial sector in data governance practices</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The orange bubbles represent the observed maturity level. Their position gives an indication that a key process area might be situated between levels such as for example data management practices which have been evaluated between level 2 and level 3 of maturity. We have analyzed the observed performance versus the desired, industry-level (in this case Basel III) performance (level 3). </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Overall, we notice that while policies and standards exist in place to support operations, these are yet to have been transformed in processes and practices to sustain a thorough implementation of the Basel III principles and guidelines. </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From a data management perspective, it seems that banks have already implemented many of the sub-processes needed for solid data collection across the different business units. However, when it comes to actual integration, aggregation and centralization of </w:t>
      </w:r>
      <w:r w:rsidRPr="000E223B">
        <w:rPr>
          <w:rFonts w:ascii="Verdana" w:hAnsi="Verdana" w:cs="Times New Roman"/>
          <w:sz w:val="20"/>
          <w:szCs w:val="20"/>
          <w:lang w:val="en-US"/>
        </w:rPr>
        <w:lastRenderedPageBreak/>
        <w:t>the reference data, their practices are still mostly ad-hoc and lacking a repeatability which allows for statistical measuring. This is not surprising seeing that data architecture practices are evaluated at level 1 : no solid architecture in place to support a sustainable concentration and use of available data across the bank results in a scattered data usage. It is however contradictory because infrastructure is evaluated between level 2 and 3 which means that the technology needed to sustain the “</w:t>
      </w:r>
      <w:r w:rsidRPr="000E223B">
        <w:rPr>
          <w:rFonts w:ascii="Verdana" w:hAnsi="Verdana" w:cs="Times New Roman"/>
          <w:i/>
          <w:sz w:val="20"/>
          <w:szCs w:val="20"/>
          <w:lang w:val="en-US"/>
        </w:rPr>
        <w:t>consumption</w:t>
      </w:r>
      <w:r w:rsidRPr="000E223B">
        <w:rPr>
          <w:rFonts w:ascii="Verdana" w:hAnsi="Verdana" w:cs="Times New Roman"/>
          <w:sz w:val="20"/>
          <w:szCs w:val="20"/>
          <w:lang w:val="en-US"/>
        </w:rPr>
        <w:t xml:space="preserve">” of data across the bank exists and analytic activities are being performed nonetheless. This can be the symptom of having purchased an array of technologies which have yet to be integrated with each other and which allow each business unit to perform its own analysis and modeling activities without much consideration as to how this data can be enriched or enhanced with other available sources. It is even more unexpected since data access rights are being evaluated at level 2 which means that data stored in organizational silos can be made available on request for the users interested in using it.  </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As far as metrics development and monitoring, banks have yet to develop the indicators needed to assess how well their processes and practices perform against the baseline. </w:t>
      </w:r>
    </w:p>
    <w:p w:rsidR="000E223B" w:rsidRPr="000E223B" w:rsidRDefault="000E223B" w:rsidP="000E223B">
      <w:pPr>
        <w:pStyle w:val="Heading1"/>
        <w:spacing w:line="360" w:lineRule="auto"/>
        <w:jc w:val="both"/>
        <w:rPr>
          <w:rFonts w:ascii="Verdana" w:hAnsi="Verdana" w:cs="Times New Roman"/>
          <w:sz w:val="20"/>
          <w:szCs w:val="20"/>
          <w:lang w:val="en-US"/>
        </w:rPr>
      </w:pPr>
      <w:bookmarkStart w:id="128" w:name="_Toc423597588"/>
      <w:r w:rsidRPr="000E223B">
        <w:rPr>
          <w:rFonts w:ascii="Verdana" w:hAnsi="Verdana" w:cs="Times New Roman"/>
          <w:sz w:val="20"/>
          <w:szCs w:val="20"/>
          <w:lang w:val="en-US"/>
        </w:rPr>
        <w:t>6.5 Chapter conclusions</w:t>
      </w:r>
      <w:bookmarkEnd w:id="128"/>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Data governance and big data governance are important topics in any industry, sector or organization</w:t>
      </w:r>
      <w:r w:rsidR="009E45F0">
        <w:rPr>
          <w:rFonts w:ascii="Verdana" w:hAnsi="Verdana" w:cs="Times New Roman"/>
          <w:sz w:val="20"/>
          <w:szCs w:val="20"/>
          <w:lang w:val="en-US"/>
        </w:rPr>
        <w:t>.</w:t>
      </w:r>
      <w:r w:rsidRPr="000E223B">
        <w:rPr>
          <w:rFonts w:ascii="Verdana" w:hAnsi="Verdana" w:cs="Times New Roman"/>
          <w:sz w:val="20"/>
          <w:szCs w:val="20"/>
          <w:lang w:val="en-US"/>
        </w:rPr>
        <w:t xml:space="preserve"> </w:t>
      </w:r>
      <w:r w:rsidR="009E45F0">
        <w:rPr>
          <w:rFonts w:ascii="Verdana" w:hAnsi="Verdana" w:cs="Times New Roman"/>
          <w:sz w:val="20"/>
          <w:szCs w:val="20"/>
          <w:lang w:val="en-US"/>
        </w:rPr>
        <w:t>Indeed,</w:t>
      </w:r>
      <w:r w:rsidRPr="000E223B">
        <w:rPr>
          <w:rFonts w:ascii="Verdana" w:hAnsi="Verdana" w:cs="Times New Roman"/>
          <w:sz w:val="20"/>
          <w:szCs w:val="20"/>
          <w:lang w:val="en-US"/>
        </w:rPr>
        <w:t xml:space="preserve"> far from only allowing for the definition of policies and roles pertaining to the </w:t>
      </w:r>
      <w:r w:rsidRPr="000E223B">
        <w:rPr>
          <w:rFonts w:ascii="Verdana" w:hAnsi="Verdana" w:cs="Times New Roman"/>
          <w:i/>
          <w:sz w:val="20"/>
          <w:szCs w:val="20"/>
          <w:lang w:val="en-US"/>
        </w:rPr>
        <w:t>what</w:t>
      </w:r>
      <w:r w:rsidRPr="000E223B">
        <w:rPr>
          <w:rFonts w:ascii="Verdana" w:hAnsi="Verdana" w:cs="Times New Roman"/>
          <w:sz w:val="20"/>
          <w:szCs w:val="20"/>
          <w:lang w:val="en-US"/>
        </w:rPr>
        <w:t xml:space="preserve"> and </w:t>
      </w:r>
      <w:r w:rsidRPr="000E223B">
        <w:rPr>
          <w:rFonts w:ascii="Verdana" w:hAnsi="Verdana" w:cs="Times New Roman"/>
          <w:i/>
          <w:sz w:val="20"/>
          <w:szCs w:val="20"/>
          <w:lang w:val="en-US"/>
        </w:rPr>
        <w:t>who</w:t>
      </w:r>
      <w:r w:rsidRPr="000E223B">
        <w:rPr>
          <w:rFonts w:ascii="Verdana" w:hAnsi="Verdana" w:cs="Times New Roman"/>
          <w:sz w:val="20"/>
          <w:szCs w:val="20"/>
          <w:lang w:val="en-US"/>
        </w:rPr>
        <w:t xml:space="preserve">, their purpose extends to building the staging area of using data as an asset across the enterprise. </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This subject, being quite a generalist one in literature, has allowed us to build a data governance model which can encompass the more “</w:t>
      </w:r>
      <w:r w:rsidRPr="000E223B">
        <w:rPr>
          <w:rFonts w:ascii="Verdana" w:hAnsi="Verdana" w:cs="Times New Roman"/>
          <w:i/>
          <w:sz w:val="20"/>
          <w:szCs w:val="20"/>
          <w:lang w:val="en-US"/>
        </w:rPr>
        <w:t>traditional, small</w:t>
      </w:r>
      <w:r w:rsidRPr="000E223B">
        <w:rPr>
          <w:rFonts w:ascii="Verdana" w:hAnsi="Verdana" w:cs="Times New Roman"/>
          <w:sz w:val="20"/>
          <w:szCs w:val="20"/>
          <w:lang w:val="en-US"/>
        </w:rPr>
        <w:t>” data as well as new emerging trends such as big data sources. We have shown that, with big data governance, it is hard to make the distinction between where data governance stops and big data governance begins. This difficulty stems mostly from the fact that big data governance builds upon the bricks of data governance : without a solid data foundation, no big data will ever aspire to become “</w:t>
      </w:r>
      <w:r w:rsidRPr="000E223B">
        <w:rPr>
          <w:rFonts w:ascii="Verdana" w:hAnsi="Verdana" w:cs="Times New Roman"/>
          <w:i/>
          <w:sz w:val="20"/>
          <w:szCs w:val="20"/>
          <w:lang w:val="en-US"/>
        </w:rPr>
        <w:t>big enough</w:t>
      </w:r>
      <w:r w:rsidRPr="000E223B">
        <w:rPr>
          <w:rFonts w:ascii="Verdana" w:hAnsi="Verdana" w:cs="Times New Roman"/>
          <w:sz w:val="20"/>
          <w:szCs w:val="20"/>
          <w:lang w:val="en-US"/>
        </w:rPr>
        <w:t xml:space="preserve">”. </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When analyzing such data and big data frameworks in the financial sectors, the challenge augments in scope and intricacy because of complex regulations, compliance measures and general size and importance of such a sector. We tried to refrain from building a model which unrealistically fails to reflect the actual conditions in the banking sector.  Building upon the Basel III framework seemed the best solution to balance the practical needs of the financial sector with the theoretical precision of academic modeling. In this context, the capability maturity model presented in this chapter offers </w:t>
      </w:r>
      <w:r w:rsidRPr="000E223B">
        <w:rPr>
          <w:rFonts w:ascii="Verdana" w:hAnsi="Verdana" w:cs="Times New Roman"/>
          <w:sz w:val="20"/>
          <w:szCs w:val="20"/>
          <w:lang w:val="en-US"/>
        </w:rPr>
        <w:lastRenderedPageBreak/>
        <w:t>the possibility to translate data governance practices from all sectors to one sector as the model created is flexible enough to be tailored and customized to requirements.</w:t>
      </w:r>
    </w:p>
    <w:p w:rsidR="000E223B" w:rsidRP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The empirical data gathered, while far from being significant, points out to the shortcomings and level of maturity of current data and big data governance practices in the outlook of the Basel III implementation. The results we gathered are just an indication of the milestones yet to achieve before reaching the compliant level such as indicated by the Basel Committee on Banking Supervision.</w:t>
      </w:r>
    </w:p>
    <w:p w:rsidR="000E223B" w:rsidRDefault="000E223B" w:rsidP="000E223B">
      <w:pPr>
        <w:spacing w:line="360" w:lineRule="auto"/>
        <w:jc w:val="both"/>
        <w:rPr>
          <w:rFonts w:ascii="Verdana" w:hAnsi="Verdana" w:cs="Times New Roman"/>
          <w:sz w:val="20"/>
          <w:szCs w:val="20"/>
          <w:lang w:val="en-US"/>
        </w:rPr>
      </w:pPr>
      <w:r w:rsidRPr="000E223B">
        <w:rPr>
          <w:rFonts w:ascii="Verdana" w:hAnsi="Verdana" w:cs="Times New Roman"/>
          <w:sz w:val="20"/>
          <w:szCs w:val="20"/>
          <w:lang w:val="en-US"/>
        </w:rPr>
        <w:t xml:space="preserve">The results presented in this chapter allow however to draw a potential roadmap for improvement and to build on top of the bricks of data governance programs already existing in the financial sector today. </w:t>
      </w:r>
    </w:p>
    <w:p w:rsidR="00820B38" w:rsidRDefault="00820B38" w:rsidP="000E223B">
      <w:pPr>
        <w:spacing w:line="360" w:lineRule="auto"/>
        <w:jc w:val="both"/>
        <w:rPr>
          <w:rFonts w:ascii="Verdana" w:hAnsi="Verdana" w:cs="Times New Roman"/>
          <w:sz w:val="20"/>
          <w:szCs w:val="20"/>
          <w:lang w:val="en-US"/>
        </w:rPr>
        <w:sectPr w:rsidR="00820B38" w:rsidSect="00820B38">
          <w:type w:val="oddPage"/>
          <w:pgSz w:w="11906" w:h="16838"/>
          <w:pgMar w:top="1440" w:right="1440" w:bottom="1440" w:left="1440" w:header="708" w:footer="708" w:gutter="0"/>
          <w:cols w:space="708"/>
          <w:docGrid w:linePitch="360"/>
        </w:sectPr>
      </w:pPr>
    </w:p>
    <w:p w:rsidR="00820B38" w:rsidRPr="000E223B" w:rsidRDefault="00820B38" w:rsidP="000E223B">
      <w:pPr>
        <w:spacing w:line="360" w:lineRule="auto"/>
        <w:jc w:val="both"/>
        <w:rPr>
          <w:rFonts w:ascii="Verdana" w:hAnsi="Verdana" w:cs="Times New Roman"/>
          <w:sz w:val="20"/>
          <w:szCs w:val="20"/>
          <w:lang w:val="en-US"/>
        </w:rPr>
      </w:pPr>
    </w:p>
    <w:p w:rsidR="000E223B" w:rsidRPr="000E223B" w:rsidRDefault="000E223B" w:rsidP="000E223B">
      <w:pPr>
        <w:pStyle w:val="Heading1"/>
        <w:rPr>
          <w:rFonts w:ascii="Verdana" w:hAnsi="Verdana"/>
          <w:sz w:val="20"/>
          <w:szCs w:val="20"/>
          <w:lang w:val="en-US"/>
        </w:rPr>
      </w:pPr>
      <w:bookmarkStart w:id="129" w:name="_Toc423597589"/>
      <w:r w:rsidRPr="000E223B">
        <w:rPr>
          <w:rFonts w:ascii="Verdana" w:hAnsi="Verdana"/>
          <w:sz w:val="20"/>
          <w:szCs w:val="20"/>
          <w:lang w:val="en-US"/>
        </w:rPr>
        <w:t>7. CONCLUSIONS</w:t>
      </w:r>
      <w:bookmarkEnd w:id="129"/>
    </w:p>
    <w:p w:rsidR="000E223B" w:rsidRPr="000E223B" w:rsidRDefault="000E223B" w:rsidP="000E223B">
      <w:pPr>
        <w:rPr>
          <w:lang w:val="en-US"/>
        </w:rPr>
      </w:pPr>
    </w:p>
    <w:p w:rsidR="009E45F0" w:rsidRDefault="000E223B" w:rsidP="000E223B">
      <w:pPr>
        <w:spacing w:line="360" w:lineRule="auto"/>
        <w:rPr>
          <w:rFonts w:ascii="Verdana" w:hAnsi="Verdana"/>
          <w:sz w:val="20"/>
          <w:szCs w:val="20"/>
          <w:lang w:val="en-US"/>
        </w:rPr>
      </w:pPr>
      <w:r w:rsidRPr="00AF0E93">
        <w:rPr>
          <w:rFonts w:ascii="Verdana" w:hAnsi="Verdana"/>
          <w:sz w:val="20"/>
          <w:szCs w:val="20"/>
          <w:lang w:val="en-US"/>
        </w:rPr>
        <w:t xml:space="preserve">Governance is an importance concept in organizational studies because it </w:t>
      </w:r>
      <w:r w:rsidR="00967895">
        <w:rPr>
          <w:rFonts w:ascii="Verdana" w:hAnsi="Verdana"/>
          <w:sz w:val="20"/>
          <w:szCs w:val="20"/>
          <w:lang w:val="en-US"/>
        </w:rPr>
        <w:t>bridges</w:t>
      </w:r>
      <w:r w:rsidRPr="00AF0E93">
        <w:rPr>
          <w:rFonts w:ascii="Verdana" w:hAnsi="Verdana"/>
          <w:sz w:val="20"/>
          <w:szCs w:val="20"/>
          <w:lang w:val="en-US"/>
        </w:rPr>
        <w:t xml:space="preserve"> a strategy to an actual implementation </w:t>
      </w:r>
      <w:r w:rsidR="009E45F0" w:rsidRPr="00AF0E93">
        <w:rPr>
          <w:rFonts w:ascii="Verdana" w:hAnsi="Verdana"/>
          <w:sz w:val="20"/>
          <w:szCs w:val="20"/>
          <w:lang w:val="en-US"/>
        </w:rPr>
        <w:t>roadmap:</w:t>
      </w:r>
      <w:r w:rsidRPr="00AF0E93">
        <w:rPr>
          <w:rFonts w:ascii="Verdana" w:hAnsi="Verdana"/>
          <w:sz w:val="20"/>
          <w:szCs w:val="20"/>
          <w:lang w:val="en-US"/>
        </w:rPr>
        <w:t xml:space="preserve"> concrete guidelines can only stem from existing policies and practices. In today’s business landscape, governance has become linked with IT practices because of IT omnipresence in the </w:t>
      </w:r>
      <w:r w:rsidR="009E45F0" w:rsidRPr="00AF0E93">
        <w:rPr>
          <w:rFonts w:ascii="Verdana" w:hAnsi="Verdana"/>
          <w:sz w:val="20"/>
          <w:szCs w:val="20"/>
          <w:lang w:val="en-US"/>
        </w:rPr>
        <w:t>enterprise:</w:t>
      </w:r>
      <w:r w:rsidRPr="00AF0E93">
        <w:rPr>
          <w:rFonts w:ascii="Verdana" w:hAnsi="Verdana"/>
          <w:sz w:val="20"/>
          <w:szCs w:val="20"/>
          <w:lang w:val="en-US"/>
        </w:rPr>
        <w:t xml:space="preserve"> as more and more regulations request more transparency in business operations, IT is seen as the means of complying </w:t>
      </w:r>
      <w:r w:rsidR="009E45F0" w:rsidRPr="00AF0E93">
        <w:rPr>
          <w:rFonts w:ascii="Verdana" w:hAnsi="Verdana"/>
          <w:sz w:val="20"/>
          <w:szCs w:val="20"/>
          <w:lang w:val="en-US"/>
        </w:rPr>
        <w:t>with</w:t>
      </w:r>
      <w:r w:rsidRPr="00AF0E93">
        <w:rPr>
          <w:rFonts w:ascii="Verdana" w:hAnsi="Verdana"/>
          <w:sz w:val="20"/>
          <w:szCs w:val="20"/>
          <w:lang w:val="en-US"/>
        </w:rPr>
        <w:t xml:space="preserve"> the demands. We showed how IT governance </w:t>
      </w:r>
      <w:r>
        <w:rPr>
          <w:rFonts w:ascii="Verdana" w:hAnsi="Verdana"/>
          <w:sz w:val="20"/>
          <w:szCs w:val="20"/>
          <w:lang w:val="en-US"/>
        </w:rPr>
        <w:t>reposes</w:t>
      </w:r>
      <w:r w:rsidRPr="00AF0E93">
        <w:rPr>
          <w:rFonts w:ascii="Verdana" w:hAnsi="Verdana"/>
          <w:sz w:val="20"/>
          <w:szCs w:val="20"/>
          <w:lang w:val="en-US"/>
        </w:rPr>
        <w:t xml:space="preserve"> on decision-making structures which enable its positioning as a strategic partner in the </w:t>
      </w:r>
      <w:r w:rsidR="009E45F0" w:rsidRPr="00AF0E93">
        <w:rPr>
          <w:rFonts w:ascii="Verdana" w:hAnsi="Verdana"/>
          <w:sz w:val="20"/>
          <w:szCs w:val="20"/>
          <w:lang w:val="en-US"/>
        </w:rPr>
        <w:t>enterprise:</w:t>
      </w:r>
      <w:r w:rsidRPr="00AF0E93">
        <w:rPr>
          <w:rFonts w:ascii="Verdana" w:hAnsi="Verdana"/>
          <w:sz w:val="20"/>
          <w:szCs w:val="20"/>
          <w:lang w:val="en-US"/>
        </w:rPr>
        <w:t xml:space="preserve"> problem identification and problem solution structures which enable IT to scan for potential problems before they occur and implement the necessary safety nets to stop them from occurring. </w:t>
      </w:r>
      <w:r w:rsidR="009E45F0">
        <w:rPr>
          <w:rFonts w:ascii="Verdana" w:hAnsi="Verdana"/>
          <w:sz w:val="20"/>
          <w:szCs w:val="20"/>
          <w:lang w:val="en-US"/>
        </w:rPr>
        <w:t>IT is no longer positioned as the “</w:t>
      </w:r>
      <w:r w:rsidR="009E45F0" w:rsidRPr="00DE10BB">
        <w:rPr>
          <w:rFonts w:ascii="Verdana" w:hAnsi="Verdana"/>
          <w:i/>
          <w:sz w:val="20"/>
          <w:szCs w:val="20"/>
          <w:lang w:val="en-US"/>
        </w:rPr>
        <w:t>back office</w:t>
      </w:r>
      <w:r w:rsidR="009E45F0">
        <w:rPr>
          <w:rFonts w:ascii="Verdana" w:hAnsi="Verdana"/>
          <w:sz w:val="20"/>
          <w:szCs w:val="20"/>
          <w:lang w:val="en-US"/>
        </w:rPr>
        <w:t>” of an organization where service level agreements and procedural components “</w:t>
      </w:r>
      <w:r w:rsidR="009E45F0" w:rsidRPr="00DE10BB">
        <w:rPr>
          <w:rFonts w:ascii="Verdana" w:hAnsi="Verdana"/>
          <w:i/>
          <w:sz w:val="20"/>
          <w:szCs w:val="20"/>
          <w:lang w:val="en-US"/>
        </w:rPr>
        <w:t>rule</w:t>
      </w:r>
      <w:r w:rsidR="009E45F0">
        <w:rPr>
          <w:rFonts w:ascii="Verdana" w:hAnsi="Verdana"/>
          <w:sz w:val="20"/>
          <w:szCs w:val="20"/>
          <w:lang w:val="en-US"/>
        </w:rPr>
        <w:t>”, but rather an important contributor and “</w:t>
      </w:r>
      <w:r w:rsidR="009E45F0" w:rsidRPr="00DE10BB">
        <w:rPr>
          <w:rFonts w:ascii="Verdana" w:hAnsi="Verdana"/>
          <w:i/>
          <w:sz w:val="20"/>
          <w:szCs w:val="20"/>
          <w:lang w:val="en-US"/>
        </w:rPr>
        <w:t>supplier</w:t>
      </w:r>
      <w:r w:rsidR="009E45F0">
        <w:rPr>
          <w:rFonts w:ascii="Verdana" w:hAnsi="Verdana"/>
          <w:sz w:val="20"/>
          <w:szCs w:val="20"/>
          <w:lang w:val="en-US"/>
        </w:rPr>
        <w:t>” of value across the business.</w:t>
      </w:r>
    </w:p>
    <w:p w:rsidR="000E223B" w:rsidRDefault="000E223B" w:rsidP="000E223B">
      <w:pPr>
        <w:spacing w:line="360" w:lineRule="auto"/>
        <w:rPr>
          <w:rFonts w:ascii="Verdana" w:hAnsi="Verdana"/>
          <w:sz w:val="20"/>
          <w:szCs w:val="20"/>
          <w:lang w:val="en-US"/>
        </w:rPr>
      </w:pPr>
      <w:r>
        <w:rPr>
          <w:rFonts w:ascii="Verdana" w:hAnsi="Verdana"/>
          <w:sz w:val="20"/>
          <w:szCs w:val="20"/>
          <w:lang w:val="en-US"/>
        </w:rPr>
        <w:t>Properly using</w:t>
      </w:r>
      <w:r w:rsidR="009E45F0">
        <w:rPr>
          <w:rFonts w:ascii="Verdana" w:hAnsi="Verdana"/>
          <w:sz w:val="20"/>
          <w:szCs w:val="20"/>
          <w:lang w:val="en-US"/>
        </w:rPr>
        <w:t xml:space="preserve"> an</w:t>
      </w:r>
      <w:r>
        <w:rPr>
          <w:rFonts w:ascii="Verdana" w:hAnsi="Verdana"/>
          <w:sz w:val="20"/>
          <w:szCs w:val="20"/>
          <w:lang w:val="en-US"/>
        </w:rPr>
        <w:t xml:space="preserve"> IT governance framework means understanding what drives maturity, performance and capability, the characteristics needed to confirm the evolution to a superior model of performance. We then</w:t>
      </w:r>
      <w:r w:rsidR="00967895">
        <w:rPr>
          <w:rFonts w:ascii="Verdana" w:hAnsi="Verdana"/>
          <w:sz w:val="20"/>
          <w:szCs w:val="20"/>
          <w:lang w:val="en-US"/>
        </w:rPr>
        <w:t xml:space="preserve"> turn</w:t>
      </w:r>
      <w:r>
        <w:rPr>
          <w:rFonts w:ascii="Verdana" w:hAnsi="Verdana"/>
          <w:sz w:val="20"/>
          <w:szCs w:val="20"/>
          <w:lang w:val="en-US"/>
        </w:rPr>
        <w:t xml:space="preserve"> to the capabil</w:t>
      </w:r>
      <w:r w:rsidR="00967895">
        <w:rPr>
          <w:rFonts w:ascii="Verdana" w:hAnsi="Verdana"/>
          <w:sz w:val="20"/>
          <w:szCs w:val="20"/>
          <w:lang w:val="en-US"/>
        </w:rPr>
        <w:t>ity maturity models which allow</w:t>
      </w:r>
      <w:r>
        <w:rPr>
          <w:rFonts w:ascii="Verdana" w:hAnsi="Verdana"/>
          <w:sz w:val="20"/>
          <w:szCs w:val="20"/>
          <w:lang w:val="en-US"/>
        </w:rPr>
        <w:t xml:space="preserve"> us to build a roadmap for any organization wanting to embark on process improvement activities. Because of their volatility and level-like distribution, capability maturity models can be transferred to any domain and customized enough to allow for building a reference map to guide improvement, enhancement and progress of current processes. </w:t>
      </w:r>
    </w:p>
    <w:p w:rsidR="000E223B" w:rsidRDefault="000E223B" w:rsidP="000E223B">
      <w:pPr>
        <w:spacing w:line="360" w:lineRule="auto"/>
        <w:rPr>
          <w:rFonts w:ascii="Verdana" w:hAnsi="Verdana"/>
          <w:sz w:val="20"/>
          <w:szCs w:val="20"/>
          <w:lang w:val="en-US"/>
        </w:rPr>
      </w:pPr>
      <w:r>
        <w:rPr>
          <w:rFonts w:ascii="Verdana" w:hAnsi="Verdana"/>
          <w:sz w:val="20"/>
          <w:szCs w:val="20"/>
          <w:lang w:val="en-US"/>
        </w:rPr>
        <w:t>Data governance comes to complete or complement IT governance as the opinions in literature are divergent as to what comprises who and how the differentiation between the two must be done. As the same theories are used to explain both concepts and as the relationship between IT and data governance cannot be underestimated, we advise to treat both subjects together while acknowledging the differences that make them separate entities in a business. IT governance, with its strategically positioning in an enterprise, builds the backbone of technology and infrastructure to support operations. Data governance is, in this optic, the lifeblood that “</w:t>
      </w:r>
      <w:r w:rsidRPr="00D809F0">
        <w:rPr>
          <w:rFonts w:ascii="Verdana" w:hAnsi="Verdana"/>
          <w:i/>
          <w:sz w:val="20"/>
          <w:szCs w:val="20"/>
          <w:lang w:val="en-US"/>
        </w:rPr>
        <w:t>pumps</w:t>
      </w:r>
      <w:r>
        <w:rPr>
          <w:rFonts w:ascii="Verdana" w:hAnsi="Verdana"/>
          <w:sz w:val="20"/>
          <w:szCs w:val="20"/>
          <w:lang w:val="en-US"/>
        </w:rPr>
        <w:t xml:space="preserve">” this backbone into further development. Data, as an enterprise-wide asset should rest under the umbrella of IT governance and be protected as such by the best infrastructure which allows for efficient exploitation. Data, in the multiple facets and forms it comes in, can provide valuable information to both IT and the business, the distinction between the two is wrongly made in </w:t>
      </w:r>
      <w:r w:rsidR="009E45F0">
        <w:rPr>
          <w:rFonts w:ascii="Verdana" w:hAnsi="Verdana"/>
          <w:sz w:val="20"/>
          <w:szCs w:val="20"/>
          <w:lang w:val="en-US"/>
        </w:rPr>
        <w:t>practice:</w:t>
      </w:r>
      <w:r>
        <w:rPr>
          <w:rFonts w:ascii="Verdana" w:hAnsi="Verdana"/>
          <w:sz w:val="20"/>
          <w:szCs w:val="20"/>
          <w:lang w:val="en-US"/>
        </w:rPr>
        <w:t xml:space="preserve"> data should be the missing link which connects IT and the business. As </w:t>
      </w:r>
      <w:r>
        <w:rPr>
          <w:rFonts w:ascii="Verdana" w:hAnsi="Verdana"/>
          <w:sz w:val="20"/>
          <w:szCs w:val="20"/>
          <w:lang w:val="en-US"/>
        </w:rPr>
        <w:lastRenderedPageBreak/>
        <w:t>a by-product of any organization, data is valuable even when data is not the main product an organizations sells. This reflection only is enough to “</w:t>
      </w:r>
      <w:r w:rsidRPr="00D809F0">
        <w:rPr>
          <w:rFonts w:ascii="Verdana" w:hAnsi="Verdana"/>
          <w:i/>
          <w:sz w:val="20"/>
          <w:szCs w:val="20"/>
          <w:lang w:val="en-US"/>
        </w:rPr>
        <w:t>reconcile</w:t>
      </w:r>
      <w:r>
        <w:rPr>
          <w:rFonts w:ascii="Verdana" w:hAnsi="Verdana"/>
          <w:sz w:val="20"/>
          <w:szCs w:val="20"/>
          <w:lang w:val="en-US"/>
        </w:rPr>
        <w:t xml:space="preserve">” the views which position data and IT separately. </w:t>
      </w:r>
    </w:p>
    <w:p w:rsidR="000E223B" w:rsidRDefault="000E223B" w:rsidP="000E223B">
      <w:pPr>
        <w:spacing w:line="360" w:lineRule="auto"/>
        <w:rPr>
          <w:rFonts w:ascii="Verdana" w:hAnsi="Verdana"/>
          <w:sz w:val="20"/>
          <w:szCs w:val="20"/>
          <w:lang w:val="en-US"/>
        </w:rPr>
      </w:pPr>
      <w:r>
        <w:rPr>
          <w:rFonts w:ascii="Verdana" w:hAnsi="Verdana"/>
          <w:sz w:val="20"/>
          <w:szCs w:val="20"/>
          <w:lang w:val="en-US"/>
        </w:rPr>
        <w:t xml:space="preserve">How does this differentiation apply when it comes to the big data emerging </w:t>
      </w:r>
      <w:r w:rsidR="000824D2">
        <w:rPr>
          <w:rFonts w:ascii="Verdana" w:hAnsi="Verdana"/>
          <w:sz w:val="20"/>
          <w:szCs w:val="20"/>
          <w:lang w:val="en-US"/>
        </w:rPr>
        <w:t xml:space="preserve">trend? </w:t>
      </w:r>
      <w:r>
        <w:rPr>
          <w:rFonts w:ascii="Verdana" w:hAnsi="Verdana"/>
          <w:sz w:val="20"/>
          <w:szCs w:val="20"/>
          <w:lang w:val="en-US"/>
        </w:rPr>
        <w:t xml:space="preserve">In our view, the reconciliation between the two is even more important as big data infrastructure and data analysis needs should be supported by enhancing the current IT capabilities. Building separate or new IT structures seems unreasonable if the current IT system can be scaled to sustain new computational needs. Of course, the challenge resides again in the relationship between the business use of big data and the IT capabilities needed to manage this data. We stress the importance of early defining the objectives needed to resolve the potential conflicts which may appear between how this data will be managed and what it will be used for. </w:t>
      </w:r>
    </w:p>
    <w:p w:rsidR="000E223B" w:rsidRDefault="000E223B" w:rsidP="000E223B">
      <w:pPr>
        <w:spacing w:line="360" w:lineRule="auto"/>
        <w:rPr>
          <w:rFonts w:ascii="Verdana" w:hAnsi="Verdana"/>
          <w:sz w:val="20"/>
          <w:szCs w:val="20"/>
          <w:lang w:val="en-US"/>
        </w:rPr>
      </w:pPr>
      <w:r>
        <w:rPr>
          <w:rFonts w:ascii="Verdana" w:hAnsi="Verdana"/>
          <w:sz w:val="20"/>
          <w:szCs w:val="20"/>
          <w:lang w:val="en-US"/>
        </w:rPr>
        <w:t xml:space="preserve">These challenges and conflicts can be found in the financial sector as big data related issues require more and more attention in order to keep a competitive advantage in an ever-competing environment. In this environment, data governance issues are of crucial importance and not only because of the potential value delivered by the data collected but because the data collected ensures the flow of operations suffers no shocks. Ensuring that 1) daily transactions and operations occur smoothly, 2) the data collected is used at its correct value and 3) risk can be early identified by correctly analyzing data </w:t>
      </w:r>
      <w:r w:rsidR="000824D2">
        <w:rPr>
          <w:rFonts w:ascii="Verdana" w:hAnsi="Verdana"/>
          <w:sz w:val="20"/>
          <w:szCs w:val="20"/>
          <w:lang w:val="en-US"/>
        </w:rPr>
        <w:t>patterns,</w:t>
      </w:r>
      <w:r>
        <w:rPr>
          <w:rFonts w:ascii="Verdana" w:hAnsi="Verdana"/>
          <w:sz w:val="20"/>
          <w:szCs w:val="20"/>
          <w:lang w:val="en-US"/>
        </w:rPr>
        <w:t xml:space="preserve"> could not be envisaged without a solid data governance structure across the financial sector. Unfortunately, as we have shown, this is yet to be the industry standard as banks move slowly across regulations and compliance rules to set up standardized procedures which maximize data usage.  Data has nowadays the potential to become the early warning system to dangerous imbalances in the system, if used correctly and sustained by strong governance practices.</w:t>
      </w:r>
    </w:p>
    <w:p w:rsidR="000E223B" w:rsidRDefault="000E223B" w:rsidP="000E223B">
      <w:pPr>
        <w:spacing w:line="360" w:lineRule="auto"/>
        <w:rPr>
          <w:rFonts w:ascii="Verdana" w:hAnsi="Verdana"/>
          <w:sz w:val="20"/>
          <w:szCs w:val="20"/>
          <w:lang w:val="en-US"/>
        </w:rPr>
      </w:pPr>
      <w:r>
        <w:rPr>
          <w:rFonts w:ascii="Verdana" w:hAnsi="Verdana"/>
          <w:sz w:val="20"/>
          <w:szCs w:val="20"/>
          <w:lang w:val="en-US"/>
        </w:rPr>
        <w:t xml:space="preserve">The practical contribution of </w:t>
      </w:r>
      <w:r w:rsidR="000824D2">
        <w:rPr>
          <w:rFonts w:ascii="Verdana" w:hAnsi="Verdana"/>
          <w:sz w:val="20"/>
          <w:szCs w:val="20"/>
          <w:lang w:val="en-US"/>
        </w:rPr>
        <w:t>our</w:t>
      </w:r>
      <w:r>
        <w:rPr>
          <w:rFonts w:ascii="Verdana" w:hAnsi="Verdana"/>
          <w:sz w:val="20"/>
          <w:szCs w:val="20"/>
          <w:lang w:val="en-US"/>
        </w:rPr>
        <w:t xml:space="preserve"> work is the attempt to provide such a strong data governance model to the financial sector. It is easy to talk about what governance is or what governance should do but it is hard to understand and link all of the potential elements which sustain it. In this paper, we tried to uncover these elements by analyzing the work which has already been done in this domain. We brought together the disparate elements of such models and homogenously standardized them to fit the specificities of any sector. We chose to apply it to the financial sector because of its intrinsic need for standards and </w:t>
      </w:r>
      <w:r w:rsidR="000824D2">
        <w:rPr>
          <w:rFonts w:ascii="Verdana" w:hAnsi="Verdana"/>
          <w:sz w:val="20"/>
          <w:szCs w:val="20"/>
          <w:lang w:val="en-US"/>
        </w:rPr>
        <w:t>frameworks:</w:t>
      </w:r>
      <w:r>
        <w:rPr>
          <w:rFonts w:ascii="Verdana" w:hAnsi="Verdana"/>
          <w:sz w:val="20"/>
          <w:szCs w:val="20"/>
          <w:lang w:val="en-US"/>
        </w:rPr>
        <w:t xml:space="preserve"> the notion of statistical control mentioned by the capability maturity models states that a practice which is under statistical control will always produce the same results. Regulations and compliance charters try to normalize practices across the financial sector in order to ensure that good practices are </w:t>
      </w:r>
      <w:r>
        <w:rPr>
          <w:rFonts w:ascii="Verdana" w:hAnsi="Verdana"/>
          <w:sz w:val="20"/>
          <w:szCs w:val="20"/>
          <w:lang w:val="en-US"/>
        </w:rPr>
        <w:lastRenderedPageBreak/>
        <w:t xml:space="preserve">synchronized across the industry while avoiding that bad practices impact the equilibrium of the whole. </w:t>
      </w:r>
    </w:p>
    <w:p w:rsidR="000E223B" w:rsidRDefault="000E223B" w:rsidP="000E223B">
      <w:pPr>
        <w:spacing w:line="360" w:lineRule="auto"/>
        <w:rPr>
          <w:rFonts w:ascii="Verdana" w:hAnsi="Verdana"/>
          <w:sz w:val="20"/>
          <w:szCs w:val="20"/>
          <w:lang w:val="en-US"/>
        </w:rPr>
      </w:pPr>
      <w:r>
        <w:rPr>
          <w:rFonts w:ascii="Verdana" w:hAnsi="Verdana"/>
          <w:sz w:val="20"/>
          <w:szCs w:val="20"/>
          <w:lang w:val="en-US"/>
        </w:rPr>
        <w:t xml:space="preserve">The model we presented in our paper is a model which follows the structure of the Basel III regulation framework while fitting the elements characteristic to a particular sector. It also takes into the account that while regulation ensures for uniformity in practices across the financial sector, data governance capabilities offer a potential competitive advantage which should not be underestimated. How does this competitive advantage fit into our model without </w:t>
      </w:r>
      <w:r w:rsidRPr="00E75BF0">
        <w:rPr>
          <w:rFonts w:ascii="Verdana" w:hAnsi="Verdana"/>
          <w:i/>
          <w:sz w:val="20"/>
          <w:szCs w:val="20"/>
          <w:lang w:val="en-US"/>
        </w:rPr>
        <w:t>“leveling the ground”</w:t>
      </w:r>
      <w:r>
        <w:rPr>
          <w:rFonts w:ascii="Verdana" w:hAnsi="Verdana"/>
          <w:sz w:val="20"/>
          <w:szCs w:val="20"/>
          <w:lang w:val="en-US"/>
        </w:rPr>
        <w:t xml:space="preserve"> too </w:t>
      </w:r>
      <w:r w:rsidR="000824D2">
        <w:rPr>
          <w:rFonts w:ascii="Verdana" w:hAnsi="Verdana"/>
          <w:sz w:val="20"/>
          <w:szCs w:val="20"/>
          <w:lang w:val="en-US"/>
        </w:rPr>
        <w:t xml:space="preserve">much? </w:t>
      </w:r>
      <w:r>
        <w:rPr>
          <w:rFonts w:ascii="Verdana" w:hAnsi="Verdana"/>
          <w:sz w:val="20"/>
          <w:szCs w:val="20"/>
          <w:lang w:val="en-US"/>
        </w:rPr>
        <w:t xml:space="preserve">While we developed the model with the idea in mind that it is easier to assess and control risk reporting practices across an industry if every single participant is using the same measures of risk, it is possible for each entity to keep its competitive advantage by playing on the way the framework is implemented. The model we have developed is tool-free and can be implemented by using the frameworks, technologies and design patterns the user choses as long as the rules of implementation are respected. The choice of technology constitutes, in this case, the source of competitive advantage. </w:t>
      </w:r>
    </w:p>
    <w:p w:rsidR="000E223B" w:rsidRDefault="00967895" w:rsidP="000E223B">
      <w:pPr>
        <w:spacing w:line="360" w:lineRule="auto"/>
        <w:rPr>
          <w:rFonts w:ascii="Verdana" w:hAnsi="Verdana" w:cs="Times New Roman"/>
          <w:sz w:val="20"/>
          <w:szCs w:val="20"/>
          <w:lang w:val="en-US"/>
        </w:rPr>
      </w:pPr>
      <w:r>
        <w:rPr>
          <w:rFonts w:ascii="Verdana" w:hAnsi="Verdana"/>
          <w:sz w:val="20"/>
          <w:szCs w:val="20"/>
          <w:lang w:val="en-US"/>
        </w:rPr>
        <w:t>T</w:t>
      </w:r>
      <w:r w:rsidR="000E223B">
        <w:rPr>
          <w:rFonts w:ascii="Verdana" w:hAnsi="Verdana"/>
          <w:sz w:val="20"/>
          <w:szCs w:val="20"/>
          <w:lang w:val="en-US"/>
        </w:rPr>
        <w:t xml:space="preserve">his model is, as we have shown, not a static one and while implementing its levels such as they were defined in the maturity structures, we have to consider that an early implementation (such as for example, policies and standards implemented in level 2) has to be flexible enough to allow for enhancements and scalability during later levels. One must also take into consideration the misconception that the implementation of a specific, standard framework hinders innovation and suffocates any improvement initiatives. We would like to draw the attention to the remark made earlier in chapter 6 by </w:t>
      </w:r>
      <w:r w:rsidR="000E223B">
        <w:rPr>
          <w:rFonts w:ascii="Verdana" w:hAnsi="Verdana" w:cs="Times New Roman"/>
          <w:sz w:val="20"/>
          <w:szCs w:val="20"/>
          <w:lang w:val="en-US"/>
        </w:rPr>
        <w:t>Flood et al.(</w:t>
      </w:r>
      <w:r w:rsidR="000E223B" w:rsidRPr="00E37F4D">
        <w:rPr>
          <w:rFonts w:ascii="Verdana" w:hAnsi="Verdana" w:cs="Times New Roman"/>
          <w:sz w:val="20"/>
          <w:szCs w:val="20"/>
          <w:lang w:val="en-US"/>
        </w:rPr>
        <w:t>2012</w:t>
      </w:r>
      <w:r w:rsidR="000E223B">
        <w:rPr>
          <w:rFonts w:ascii="Verdana" w:hAnsi="Verdana" w:cs="Times New Roman"/>
          <w:sz w:val="20"/>
          <w:szCs w:val="20"/>
          <w:lang w:val="en-US"/>
        </w:rPr>
        <w:t xml:space="preserve">), which stated that innovations are highly regarded and encouraged if there exists a synchronization between the front and back-office. With his view in mind, improvements can be made to the model we developed and these improvements can very well be in line with the Basel III risk reporting principles but one must ensure that the proper infrastructure and policies exist in place to support the safe propagation of the innovation across the value-chain. </w:t>
      </w:r>
    </w:p>
    <w:p w:rsidR="000E223B" w:rsidRDefault="000E223B" w:rsidP="000E223B">
      <w:pPr>
        <w:spacing w:line="360" w:lineRule="auto"/>
        <w:rPr>
          <w:rFonts w:ascii="Verdana" w:hAnsi="Verdana" w:cs="Times New Roman"/>
          <w:sz w:val="20"/>
          <w:szCs w:val="20"/>
          <w:lang w:val="en-US"/>
        </w:rPr>
      </w:pPr>
      <w:r>
        <w:rPr>
          <w:rFonts w:ascii="Verdana" w:hAnsi="Verdana" w:cs="Times New Roman"/>
          <w:sz w:val="20"/>
          <w:szCs w:val="20"/>
          <w:lang w:val="en-US"/>
        </w:rPr>
        <w:t xml:space="preserve">It is not our interest to advance a rigid model which obstructs the flexibility needed when dealing with governance </w:t>
      </w:r>
      <w:r w:rsidR="000824D2">
        <w:rPr>
          <w:rFonts w:ascii="Verdana" w:hAnsi="Verdana" w:cs="Times New Roman"/>
          <w:sz w:val="20"/>
          <w:szCs w:val="20"/>
          <w:lang w:val="en-US"/>
        </w:rPr>
        <w:t>practices:</w:t>
      </w:r>
      <w:r>
        <w:rPr>
          <w:rFonts w:ascii="Verdana" w:hAnsi="Verdana" w:cs="Times New Roman"/>
          <w:sz w:val="20"/>
          <w:szCs w:val="20"/>
          <w:lang w:val="en-US"/>
        </w:rPr>
        <w:t xml:space="preserve"> while we acknowledge how important a strong pillar is to sustain an architecture, we must however allow “the architect” to deploy its creativity and imagination when designing the final edifice. In the context of our work, this remains the main challenge faced by the financial </w:t>
      </w:r>
      <w:r w:rsidR="000824D2">
        <w:rPr>
          <w:rFonts w:ascii="Verdana" w:hAnsi="Verdana" w:cs="Times New Roman"/>
          <w:sz w:val="20"/>
          <w:szCs w:val="20"/>
          <w:lang w:val="en-US"/>
        </w:rPr>
        <w:t>sector:</w:t>
      </w:r>
      <w:r>
        <w:rPr>
          <w:rFonts w:ascii="Verdana" w:hAnsi="Verdana" w:cs="Times New Roman"/>
          <w:sz w:val="20"/>
          <w:szCs w:val="20"/>
          <w:lang w:val="en-US"/>
        </w:rPr>
        <w:t xml:space="preserve"> building the pillar for data governance practices while allowing innovation to propagate through its frontiers. </w:t>
      </w:r>
    </w:p>
    <w:p w:rsidR="00820B38" w:rsidRDefault="00820B38" w:rsidP="000E223B">
      <w:pPr>
        <w:spacing w:line="360" w:lineRule="auto"/>
        <w:rPr>
          <w:rFonts w:ascii="Verdana" w:hAnsi="Verdana"/>
          <w:sz w:val="20"/>
          <w:szCs w:val="20"/>
          <w:lang w:val="en-US"/>
        </w:rPr>
        <w:sectPr w:rsidR="00820B38" w:rsidSect="00820B38">
          <w:type w:val="oddPage"/>
          <w:pgSz w:w="11906" w:h="16838"/>
          <w:pgMar w:top="1440" w:right="1440" w:bottom="1440" w:left="1440" w:header="708" w:footer="708" w:gutter="0"/>
          <w:cols w:space="708"/>
          <w:docGrid w:linePitch="360"/>
        </w:sectPr>
      </w:pPr>
    </w:p>
    <w:p w:rsidR="00820B38" w:rsidRDefault="00820B38" w:rsidP="000E223B">
      <w:pPr>
        <w:spacing w:line="360" w:lineRule="auto"/>
        <w:rPr>
          <w:rFonts w:ascii="Verdana" w:hAnsi="Verdana"/>
          <w:sz w:val="20"/>
          <w:szCs w:val="20"/>
          <w:lang w:val="en-US"/>
        </w:rPr>
        <w:sectPr w:rsidR="00820B38" w:rsidSect="00820B38">
          <w:pgSz w:w="11906" w:h="16838"/>
          <w:pgMar w:top="1440" w:right="1440" w:bottom="1440" w:left="1440" w:header="708" w:footer="708" w:gutter="0"/>
          <w:cols w:space="708"/>
          <w:docGrid w:linePitch="360"/>
        </w:sectPr>
      </w:pPr>
    </w:p>
    <w:p w:rsidR="001106BD" w:rsidRDefault="001106BD" w:rsidP="001F379A">
      <w:pPr>
        <w:rPr>
          <w:lang w:val="en-US"/>
        </w:rPr>
      </w:pPr>
    </w:p>
    <w:bookmarkStart w:id="130" w:name="_Toc423597590" w:displacedByCustomXml="next"/>
    <w:sdt>
      <w:sdtPr>
        <w:rPr>
          <w:rFonts w:asciiTheme="minorHAnsi" w:eastAsiaTheme="minorHAnsi" w:hAnsiTheme="minorHAnsi" w:cstheme="minorBidi"/>
          <w:b w:val="0"/>
          <w:bCs w:val="0"/>
          <w:color w:val="auto"/>
          <w:sz w:val="22"/>
          <w:szCs w:val="22"/>
          <w:lang w:val="en-US"/>
        </w:rPr>
        <w:id w:val="876047022"/>
        <w:docPartObj>
          <w:docPartGallery w:val="Bibliographies"/>
          <w:docPartUnique/>
        </w:docPartObj>
      </w:sdtPr>
      <w:sdtEndPr/>
      <w:sdtContent>
        <w:p w:rsidR="001106BD" w:rsidRPr="00C40D1D" w:rsidRDefault="001106BD" w:rsidP="004578EE">
          <w:pPr>
            <w:pStyle w:val="Heading1"/>
            <w:spacing w:line="360" w:lineRule="auto"/>
            <w:rPr>
              <w:rFonts w:ascii="Verdana" w:hAnsi="Verdana"/>
              <w:sz w:val="20"/>
              <w:szCs w:val="20"/>
              <w:lang w:val="en-US"/>
            </w:rPr>
          </w:pPr>
          <w:r w:rsidRPr="00C40D1D">
            <w:rPr>
              <w:rFonts w:ascii="Verdana" w:hAnsi="Verdana"/>
              <w:sz w:val="20"/>
              <w:szCs w:val="20"/>
              <w:lang w:val="en-US"/>
            </w:rPr>
            <w:t>Bibliography</w:t>
          </w:r>
          <w:bookmarkEnd w:id="130"/>
        </w:p>
        <w:p w:rsidR="001106BD" w:rsidRPr="00C40D1D" w:rsidRDefault="001106BD" w:rsidP="004578EE">
          <w:pPr>
            <w:spacing w:line="360" w:lineRule="auto"/>
            <w:rPr>
              <w:rFonts w:ascii="Verdana" w:hAnsi="Verdana"/>
              <w:sz w:val="20"/>
              <w:szCs w:val="20"/>
              <w:lang w:val="en-US"/>
            </w:rPr>
          </w:pPr>
        </w:p>
        <w:p w:rsidR="001106BD" w:rsidRPr="004578EE" w:rsidRDefault="001106BD" w:rsidP="004578EE">
          <w:pPr>
            <w:spacing w:line="360" w:lineRule="auto"/>
            <w:jc w:val="both"/>
            <w:rPr>
              <w:rFonts w:ascii="Verdana" w:hAnsi="Verdana" w:cs="Times New Roman"/>
              <w:sz w:val="20"/>
              <w:szCs w:val="20"/>
              <w:lang w:val="en-US"/>
            </w:rPr>
          </w:pPr>
          <w:r w:rsidRPr="00C40D1D">
            <w:rPr>
              <w:rFonts w:ascii="Verdana" w:hAnsi="Verdana" w:cs="Times New Roman"/>
              <w:sz w:val="20"/>
              <w:szCs w:val="20"/>
              <w:lang w:val="en-US"/>
            </w:rPr>
            <w:t xml:space="preserve">Afzali, P., Azmayandeh, E., Nassiri, R., </w:t>
          </w:r>
          <w:r w:rsidR="00D204D9" w:rsidRPr="00C40D1D">
            <w:rPr>
              <w:rFonts w:ascii="Verdana" w:hAnsi="Verdana" w:cs="Times New Roman"/>
              <w:sz w:val="20"/>
              <w:szCs w:val="20"/>
              <w:lang w:val="en-US"/>
            </w:rPr>
            <w:t xml:space="preserve"> &amp; </w:t>
          </w:r>
          <w:r w:rsidRPr="00C40D1D">
            <w:rPr>
              <w:rFonts w:ascii="Verdana" w:hAnsi="Verdana" w:cs="Times New Roman"/>
              <w:sz w:val="20"/>
              <w:szCs w:val="20"/>
              <w:lang w:val="en-US"/>
            </w:rPr>
            <w:t xml:space="preserve">Latif Shabgahi, G. (2010). </w:t>
          </w:r>
          <w:r w:rsidRPr="004578EE">
            <w:rPr>
              <w:rFonts w:ascii="Verdana" w:hAnsi="Verdana" w:cs="Times New Roman"/>
              <w:sz w:val="20"/>
              <w:szCs w:val="20"/>
              <w:lang w:val="en-US"/>
            </w:rPr>
            <w:t xml:space="preserve">Effective governance through simultaneous use of COBIT and Val IT. </w:t>
          </w:r>
          <w:r w:rsidRPr="004578EE">
            <w:rPr>
              <w:rFonts w:ascii="Verdana" w:hAnsi="Verdana" w:cs="Times New Roman"/>
              <w:i/>
              <w:sz w:val="20"/>
              <w:szCs w:val="20"/>
              <w:lang w:val="en-US"/>
            </w:rPr>
            <w:t>2010 International Conference on Educ</w:t>
          </w:r>
          <w:r w:rsidR="00D204D9" w:rsidRPr="004578EE">
            <w:rPr>
              <w:rFonts w:ascii="Verdana" w:hAnsi="Verdana" w:cs="Times New Roman"/>
              <w:i/>
              <w:sz w:val="20"/>
              <w:szCs w:val="20"/>
              <w:lang w:val="en-US"/>
            </w:rPr>
            <w:t>ation and Management Technology</w:t>
          </w:r>
          <w:r w:rsidR="00D204D9" w:rsidRPr="004578EE">
            <w:rPr>
              <w:rFonts w:ascii="Verdana" w:hAnsi="Verdana" w:cs="Times New Roman"/>
              <w:sz w:val="20"/>
              <w:szCs w:val="20"/>
              <w:lang w:val="en-US"/>
            </w:rPr>
            <w:t>,</w:t>
          </w:r>
          <w:r w:rsidRPr="004578EE">
            <w:rPr>
              <w:rFonts w:ascii="Verdana" w:hAnsi="Verdana" w:cs="Times New Roman"/>
              <w:sz w:val="20"/>
              <w:szCs w:val="20"/>
              <w:lang w:val="en-US"/>
            </w:rPr>
            <w:t xml:space="preserve"> 46-50.</w:t>
          </w:r>
        </w:p>
        <w:p w:rsidR="001106BD" w:rsidRPr="00BC1F27" w:rsidRDefault="00D204D9" w:rsidP="004578EE">
          <w:pPr>
            <w:spacing w:line="360" w:lineRule="auto"/>
            <w:jc w:val="both"/>
            <w:rPr>
              <w:rFonts w:ascii="Verdana" w:hAnsi="Verdana" w:cs="Times New Roman"/>
              <w:sz w:val="20"/>
              <w:szCs w:val="20"/>
              <w:lang w:val="en-US"/>
            </w:rPr>
          </w:pPr>
          <w:r w:rsidRPr="00C40D1D">
            <w:rPr>
              <w:rFonts w:ascii="Verdana" w:hAnsi="Verdana" w:cs="Times New Roman"/>
              <w:sz w:val="20"/>
              <w:szCs w:val="20"/>
              <w:lang w:val="nl-NL"/>
            </w:rPr>
            <w:t>Aiken, P., David Allen , M.,</w:t>
          </w:r>
          <w:r w:rsidR="001106BD" w:rsidRPr="00C40D1D">
            <w:rPr>
              <w:rFonts w:ascii="Verdana" w:hAnsi="Verdana" w:cs="Times New Roman"/>
              <w:sz w:val="20"/>
              <w:szCs w:val="20"/>
              <w:lang w:val="nl-NL"/>
            </w:rPr>
            <w:t xml:space="preserve"> Parker, B., &amp; Mattia, A. </w:t>
          </w:r>
          <w:r w:rsidRPr="00C40D1D">
            <w:rPr>
              <w:rFonts w:ascii="Verdana" w:hAnsi="Verdana" w:cs="Times New Roman"/>
              <w:sz w:val="20"/>
              <w:szCs w:val="20"/>
              <w:lang w:val="nl-NL"/>
            </w:rPr>
            <w:t>(</w:t>
          </w:r>
          <w:r w:rsidR="001106BD" w:rsidRPr="00C40D1D">
            <w:rPr>
              <w:rFonts w:ascii="Verdana" w:hAnsi="Verdana" w:cs="Times New Roman"/>
              <w:sz w:val="20"/>
              <w:szCs w:val="20"/>
              <w:lang w:val="nl-NL"/>
            </w:rPr>
            <w:t>2007</w:t>
          </w:r>
          <w:r w:rsidRPr="00C40D1D">
            <w:rPr>
              <w:rFonts w:ascii="Verdana" w:hAnsi="Verdana" w:cs="Times New Roman"/>
              <w:sz w:val="20"/>
              <w:szCs w:val="20"/>
              <w:lang w:val="nl-NL"/>
            </w:rPr>
            <w:t>)</w:t>
          </w:r>
          <w:r w:rsidR="001106BD" w:rsidRPr="00C40D1D">
            <w:rPr>
              <w:rFonts w:ascii="Verdana" w:hAnsi="Verdana" w:cs="Times New Roman"/>
              <w:sz w:val="20"/>
              <w:szCs w:val="20"/>
              <w:lang w:val="nl-NL"/>
            </w:rPr>
            <w:t xml:space="preserve">. </w:t>
          </w:r>
          <w:r w:rsidR="001106BD" w:rsidRPr="004578EE">
            <w:rPr>
              <w:rFonts w:ascii="Verdana" w:hAnsi="Verdana" w:cs="Times New Roman"/>
              <w:sz w:val="20"/>
              <w:szCs w:val="20"/>
              <w:lang w:val="en-US"/>
            </w:rPr>
            <w:t xml:space="preserve">Measuring data management practice maturity. </w:t>
          </w:r>
          <w:r w:rsidR="001106BD" w:rsidRPr="00BC1F27">
            <w:rPr>
              <w:rFonts w:ascii="Verdana" w:hAnsi="Verdana" w:cs="Times New Roman"/>
              <w:i/>
              <w:sz w:val="20"/>
              <w:szCs w:val="20"/>
              <w:lang w:val="en-US"/>
            </w:rPr>
            <w:t>Computer</w:t>
          </w:r>
          <w:r w:rsidR="001106BD" w:rsidRPr="00BC1F27">
            <w:rPr>
              <w:rFonts w:ascii="Verdana" w:hAnsi="Verdana" w:cs="Times New Roman"/>
              <w:sz w:val="20"/>
              <w:szCs w:val="20"/>
              <w:lang w:val="en-US"/>
            </w:rPr>
            <w:t>, 40(4), 42-50.</w:t>
          </w:r>
        </w:p>
        <w:p w:rsidR="001106BD" w:rsidRPr="004578EE" w:rsidRDefault="00D204D9"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Alagha, H.</w:t>
          </w:r>
          <w:r w:rsidR="001106BD" w:rsidRPr="004578EE">
            <w:rPr>
              <w:rFonts w:ascii="Verdana" w:hAnsi="Verdana" w:cs="Times New Roman"/>
              <w:sz w:val="20"/>
              <w:szCs w:val="20"/>
              <w:lang w:val="en-US"/>
            </w:rPr>
            <w:t xml:space="preserve">(2013).Examining the Relationship between IT Governance Domains, Maturity, Mechanisms, and Performance: An Empirical Study toward a Conceptual Framework. </w:t>
          </w:r>
          <w:r w:rsidR="001106BD" w:rsidRPr="004578EE">
            <w:rPr>
              <w:rFonts w:ascii="Verdana" w:hAnsi="Verdana" w:cs="Times New Roman"/>
              <w:i/>
              <w:sz w:val="20"/>
              <w:szCs w:val="20"/>
              <w:lang w:val="en-US"/>
            </w:rPr>
            <w:t>Tenth International Conference on Information Technology: New Generations (ITNG)</w:t>
          </w:r>
          <w:r w:rsidRPr="004578EE">
            <w:rPr>
              <w:rFonts w:ascii="Verdana" w:hAnsi="Verdana" w:cs="Times New Roman"/>
              <w:sz w:val="20"/>
              <w:szCs w:val="20"/>
              <w:lang w:val="en-US"/>
            </w:rPr>
            <w:t xml:space="preserve">, </w:t>
          </w:r>
          <w:r w:rsidR="001106BD" w:rsidRPr="004578EE">
            <w:rPr>
              <w:rFonts w:ascii="Verdana" w:hAnsi="Verdana" w:cs="Times New Roman"/>
              <w:sz w:val="20"/>
              <w:szCs w:val="20"/>
              <w:lang w:val="en-US"/>
            </w:rPr>
            <w:t>767-772.</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 xml:space="preserve">Ali-ud-din Khan, M., Uddin, M.F., </w:t>
          </w:r>
          <w:r w:rsidR="00D204D9" w:rsidRPr="004578EE">
            <w:rPr>
              <w:rFonts w:ascii="Verdana" w:hAnsi="Verdana" w:cs="Times New Roman"/>
              <w:sz w:val="20"/>
              <w:szCs w:val="20"/>
              <w:lang w:val="en-US"/>
            </w:rPr>
            <w:t xml:space="preserve"> &amp; </w:t>
          </w:r>
          <w:r w:rsidRPr="004578EE">
            <w:rPr>
              <w:rFonts w:ascii="Verdana" w:hAnsi="Verdana" w:cs="Times New Roman"/>
              <w:sz w:val="20"/>
              <w:szCs w:val="20"/>
              <w:lang w:val="en-US"/>
            </w:rPr>
            <w:t>Gupta, N.(2014).</w:t>
          </w:r>
          <w:r w:rsidR="00D204D9" w:rsidRPr="004578EE">
            <w:rPr>
              <w:rFonts w:ascii="Verdana" w:hAnsi="Verdana" w:cs="Times New Roman"/>
              <w:sz w:val="20"/>
              <w:szCs w:val="20"/>
              <w:lang w:val="en-US"/>
            </w:rPr>
            <w:t xml:space="preserve"> </w:t>
          </w:r>
          <w:r w:rsidRPr="004578EE">
            <w:rPr>
              <w:rFonts w:ascii="Verdana" w:hAnsi="Verdana" w:cs="Times New Roman"/>
              <w:sz w:val="20"/>
              <w:szCs w:val="20"/>
              <w:lang w:val="en-US"/>
            </w:rPr>
            <w:t xml:space="preserve">Seven V's of Big Data understanding Big Data to extract value. </w:t>
          </w:r>
          <w:r w:rsidRPr="004578EE">
            <w:rPr>
              <w:rFonts w:ascii="Verdana" w:hAnsi="Verdana" w:cs="Times New Roman"/>
              <w:i/>
              <w:iCs/>
              <w:sz w:val="20"/>
              <w:szCs w:val="20"/>
              <w:lang w:val="en-US"/>
            </w:rPr>
            <w:t>2014 Zone 1 Conference of the</w:t>
          </w:r>
          <w:r w:rsidRPr="004578EE">
            <w:rPr>
              <w:rFonts w:ascii="Verdana" w:hAnsi="Verdana" w:cs="Times New Roman"/>
              <w:i/>
              <w:sz w:val="20"/>
              <w:szCs w:val="20"/>
              <w:lang w:val="en-US"/>
            </w:rPr>
            <w:t xml:space="preserve"> </w:t>
          </w:r>
          <w:r w:rsidRPr="004578EE">
            <w:rPr>
              <w:rFonts w:ascii="Verdana" w:hAnsi="Verdana" w:cs="Times New Roman"/>
              <w:i/>
              <w:iCs/>
              <w:sz w:val="20"/>
              <w:szCs w:val="20"/>
              <w:lang w:val="en-US"/>
            </w:rPr>
            <w:t>American Society for Engineering Education (ASEE Zone 1)</w:t>
          </w:r>
          <w:r w:rsidR="00D204D9" w:rsidRPr="004578EE">
            <w:rPr>
              <w:rFonts w:ascii="Verdana" w:hAnsi="Verdana" w:cs="Times New Roman"/>
              <w:sz w:val="20"/>
              <w:szCs w:val="20"/>
              <w:lang w:val="en-US"/>
            </w:rPr>
            <w:t xml:space="preserve">, </w:t>
          </w:r>
          <w:r w:rsidRPr="004578EE">
            <w:rPr>
              <w:rFonts w:ascii="Verdana" w:hAnsi="Verdana" w:cs="Times New Roman"/>
              <w:sz w:val="20"/>
              <w:szCs w:val="20"/>
              <w:lang w:val="en-US"/>
            </w:rPr>
            <w:t>1-5.</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s-ES"/>
            </w:rPr>
            <w:t>Alves de Freitas, P., dos Reis, E.,A., Michel, S.W., Gronovicz, M.,E.,</w:t>
          </w:r>
          <w:r w:rsidR="00D204D9" w:rsidRPr="004578EE">
            <w:rPr>
              <w:rFonts w:ascii="Verdana" w:hAnsi="Verdana" w:cs="Times New Roman"/>
              <w:sz w:val="20"/>
              <w:szCs w:val="20"/>
              <w:lang w:val="es-ES"/>
            </w:rPr>
            <w:t xml:space="preserve"> &amp;</w:t>
          </w:r>
          <w:r w:rsidRPr="004578EE">
            <w:rPr>
              <w:rFonts w:ascii="Verdana" w:hAnsi="Verdana" w:cs="Times New Roman"/>
              <w:sz w:val="20"/>
              <w:szCs w:val="20"/>
              <w:lang w:val="es-ES"/>
            </w:rPr>
            <w:t xml:space="preserve"> Rodrigues, M.,A.,M. (2013). </w:t>
          </w:r>
          <w:r w:rsidRPr="004578EE">
            <w:rPr>
              <w:rFonts w:ascii="Verdana" w:hAnsi="Verdana" w:cs="Times New Roman"/>
              <w:sz w:val="20"/>
              <w:szCs w:val="20"/>
              <w:lang w:val="en-US"/>
            </w:rPr>
            <w:t xml:space="preserve">Information governance, big data and data quality. </w:t>
          </w:r>
          <w:r w:rsidRPr="004578EE">
            <w:rPr>
              <w:rFonts w:ascii="Verdana" w:hAnsi="Verdana" w:cs="Times New Roman"/>
              <w:i/>
              <w:sz w:val="20"/>
              <w:szCs w:val="20"/>
              <w:lang w:val="en-US"/>
            </w:rPr>
            <w:t xml:space="preserve">IEEE 16th International Conference on Computational Science and </w:t>
          </w:r>
          <w:r w:rsidR="00D204D9" w:rsidRPr="004578EE">
            <w:rPr>
              <w:rFonts w:ascii="Verdana" w:hAnsi="Verdana" w:cs="Times New Roman"/>
              <w:i/>
              <w:sz w:val="20"/>
              <w:szCs w:val="20"/>
              <w:lang w:val="en-US"/>
            </w:rPr>
            <w:t>Engineering</w:t>
          </w:r>
          <w:r w:rsidR="00D204D9" w:rsidRPr="004578EE">
            <w:rPr>
              <w:rFonts w:ascii="Verdana" w:hAnsi="Verdana" w:cs="Times New Roman"/>
              <w:sz w:val="20"/>
              <w:szCs w:val="20"/>
              <w:lang w:val="en-US"/>
            </w:rPr>
            <w:t>,</w:t>
          </w:r>
          <w:r w:rsidRPr="004578EE">
            <w:rPr>
              <w:rFonts w:ascii="Verdana" w:hAnsi="Verdana" w:cs="Times New Roman"/>
              <w:sz w:val="20"/>
              <w:szCs w:val="20"/>
              <w:lang w:val="en-US"/>
            </w:rPr>
            <w:t xml:space="preserve"> 1142-1143.</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 xml:space="preserve">Apache Hive. (2015). </w:t>
          </w:r>
          <w:r w:rsidRPr="004578EE">
            <w:rPr>
              <w:rFonts w:ascii="Verdana" w:hAnsi="Verdana" w:cs="Times New Roman"/>
              <w:i/>
              <w:sz w:val="20"/>
              <w:szCs w:val="20"/>
              <w:lang w:val="en-US"/>
            </w:rPr>
            <w:t>Apache Hive</w:t>
          </w:r>
          <w:r w:rsidRPr="004578EE">
            <w:rPr>
              <w:rFonts w:ascii="Verdana" w:hAnsi="Verdana" w:cs="Times New Roman"/>
              <w:sz w:val="20"/>
              <w:szCs w:val="20"/>
              <w:lang w:val="en-US"/>
            </w:rPr>
            <w:t xml:space="preserve">. Retrieved from </w:t>
          </w:r>
          <w:hyperlink r:id="rId34" w:history="1">
            <w:r w:rsidR="00D204D9" w:rsidRPr="004578EE">
              <w:rPr>
                <w:rStyle w:val="Hyperlink"/>
                <w:rFonts w:ascii="Verdana" w:hAnsi="Verdana" w:cs="Times New Roman"/>
                <w:sz w:val="20"/>
                <w:szCs w:val="20"/>
                <w:lang w:val="en-US"/>
              </w:rPr>
              <w:t>https://cwiki.apache.org/confluence/display/Hive/Home</w:t>
            </w:r>
          </w:hyperlink>
          <w:r w:rsidR="00D204D9" w:rsidRPr="004578EE">
            <w:rPr>
              <w:rFonts w:ascii="Verdana" w:hAnsi="Verdana" w:cs="Times New Roman"/>
              <w:sz w:val="20"/>
              <w:szCs w:val="20"/>
              <w:lang w:val="en-US"/>
            </w:rPr>
            <w:t xml:space="preserve"> </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 xml:space="preserve">Apache Mahout. (2014). </w:t>
          </w:r>
          <w:r w:rsidRPr="004578EE">
            <w:rPr>
              <w:rFonts w:ascii="Verdana" w:hAnsi="Verdana" w:cs="Times New Roman"/>
              <w:i/>
              <w:sz w:val="20"/>
              <w:szCs w:val="20"/>
              <w:lang w:val="en-US"/>
            </w:rPr>
            <w:t>What is Apache Mahout</w:t>
          </w:r>
          <w:r w:rsidRPr="004578EE">
            <w:rPr>
              <w:rFonts w:ascii="Verdana" w:hAnsi="Verdana" w:cs="Times New Roman"/>
              <w:sz w:val="20"/>
              <w:szCs w:val="20"/>
              <w:lang w:val="en-US"/>
            </w:rPr>
            <w:t xml:space="preserve"> ? Retrieved from </w:t>
          </w:r>
          <w:hyperlink r:id="rId35" w:history="1">
            <w:r w:rsidR="00D204D9" w:rsidRPr="004578EE">
              <w:rPr>
                <w:rStyle w:val="Hyperlink"/>
                <w:rFonts w:ascii="Verdana" w:hAnsi="Verdana" w:cs="Times New Roman"/>
                <w:sz w:val="20"/>
                <w:szCs w:val="20"/>
                <w:lang w:val="en-US"/>
              </w:rPr>
              <w:t>https://mahout.apache.org/</w:t>
            </w:r>
          </w:hyperlink>
          <w:r w:rsidR="00D204D9" w:rsidRPr="004578EE">
            <w:rPr>
              <w:rFonts w:ascii="Verdana" w:hAnsi="Verdana" w:cs="Times New Roman"/>
              <w:sz w:val="20"/>
              <w:szCs w:val="20"/>
              <w:lang w:val="en-US"/>
            </w:rPr>
            <w:t xml:space="preserve"> </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 xml:space="preserve">ARMA International.(2015). </w:t>
          </w:r>
          <w:r w:rsidRPr="00C60148">
            <w:rPr>
              <w:rFonts w:ascii="Verdana" w:hAnsi="Verdana" w:cs="Times New Roman"/>
              <w:i/>
              <w:sz w:val="20"/>
              <w:szCs w:val="20"/>
              <w:lang w:val="en-US"/>
            </w:rPr>
            <w:t>The generally accepted recordkeeping principles</w:t>
          </w:r>
          <w:r w:rsidRPr="004578EE">
            <w:rPr>
              <w:rFonts w:ascii="Verdana" w:hAnsi="Verdana" w:cs="Times New Roman"/>
              <w:sz w:val="20"/>
              <w:szCs w:val="20"/>
              <w:lang w:val="en-US"/>
            </w:rPr>
            <w:t xml:space="preserve">. Retrieved from </w:t>
          </w:r>
          <w:hyperlink r:id="rId36" w:history="1">
            <w:r w:rsidRPr="004578EE">
              <w:rPr>
                <w:rStyle w:val="Hyperlink"/>
                <w:rFonts w:ascii="Verdana" w:hAnsi="Verdana" w:cs="Times New Roman"/>
                <w:sz w:val="20"/>
                <w:szCs w:val="20"/>
                <w:lang w:val="en-US"/>
              </w:rPr>
              <w:t>http://www.arma.org/r2/generally-accepted-br-recordkeeping-principles</w:t>
            </w:r>
          </w:hyperlink>
        </w:p>
        <w:p w:rsidR="001106BD" w:rsidRPr="004578EE" w:rsidRDefault="001106BD" w:rsidP="004578EE">
          <w:pPr>
            <w:spacing w:line="360" w:lineRule="auto"/>
            <w:jc w:val="both"/>
            <w:rPr>
              <w:rFonts w:ascii="Verdana" w:hAnsi="Verdana" w:cs="Times New Roman"/>
              <w:sz w:val="20"/>
              <w:szCs w:val="20"/>
              <w:lang w:val="en-US"/>
            </w:rPr>
          </w:pPr>
          <w:r w:rsidRPr="00C40D1D">
            <w:rPr>
              <w:rStyle w:val="byline3"/>
              <w:rFonts w:ascii="Verdana" w:hAnsi="Verdana" w:cs="Times New Roman"/>
              <w:sz w:val="20"/>
              <w:szCs w:val="20"/>
              <w:lang w:val="nl-NL"/>
            </w:rPr>
            <w:t xml:space="preserve">Bahjat El-Darwiche, B.,  Koch,V.,  Meer, D. Shehadi, R., </w:t>
          </w:r>
          <w:r w:rsidR="00D204D9" w:rsidRPr="00C40D1D">
            <w:rPr>
              <w:rStyle w:val="byline3"/>
              <w:rFonts w:ascii="Verdana" w:hAnsi="Verdana" w:cs="Times New Roman"/>
              <w:sz w:val="20"/>
              <w:szCs w:val="20"/>
              <w:lang w:val="nl-NL"/>
            </w:rPr>
            <w:t xml:space="preserve">&amp; </w:t>
          </w:r>
          <w:r w:rsidRPr="00C40D1D">
            <w:rPr>
              <w:rStyle w:val="byline3"/>
              <w:rFonts w:ascii="Verdana" w:hAnsi="Verdana" w:cs="Times New Roman"/>
              <w:sz w:val="20"/>
              <w:szCs w:val="20"/>
              <w:lang w:val="nl-NL"/>
            </w:rPr>
            <w:t xml:space="preserve">Tohme, W. (2014). </w:t>
          </w:r>
          <w:r w:rsidRPr="004578EE">
            <w:rPr>
              <w:rStyle w:val="byline3"/>
              <w:rFonts w:ascii="Verdana" w:hAnsi="Verdana" w:cs="Times New Roman"/>
              <w:sz w:val="20"/>
              <w:szCs w:val="20"/>
              <w:lang w:val="en-US"/>
            </w:rPr>
            <w:t xml:space="preserve">Big data maturity: An action plan for policymakers and executives. </w:t>
          </w:r>
          <w:r w:rsidRPr="004578EE">
            <w:rPr>
              <w:rFonts w:ascii="Verdana" w:hAnsi="Verdana" w:cs="Times New Roman"/>
              <w:i/>
              <w:sz w:val="20"/>
              <w:szCs w:val="20"/>
              <w:lang w:val="en-US"/>
            </w:rPr>
            <w:t>The Global Information Technolo</w:t>
          </w:r>
          <w:r w:rsidR="00D204D9" w:rsidRPr="004578EE">
            <w:rPr>
              <w:rFonts w:ascii="Verdana" w:hAnsi="Verdana" w:cs="Times New Roman"/>
              <w:i/>
              <w:sz w:val="20"/>
              <w:szCs w:val="20"/>
              <w:lang w:val="en-US"/>
            </w:rPr>
            <w:t>gy Report, World Economic Forum,</w:t>
          </w:r>
          <w:r w:rsidRPr="004578EE">
            <w:rPr>
              <w:rFonts w:ascii="Verdana" w:hAnsi="Verdana" w:cs="Times New Roman"/>
              <w:sz w:val="20"/>
              <w:szCs w:val="20"/>
              <w:lang w:val="en-US"/>
            </w:rPr>
            <w:t xml:space="preserve"> 43-51.</w:t>
          </w:r>
        </w:p>
        <w:p w:rsidR="001106BD" w:rsidRPr="004578EE" w:rsidRDefault="001106BD" w:rsidP="004578EE">
          <w:pPr>
            <w:autoSpaceDE w:val="0"/>
            <w:autoSpaceDN w:val="0"/>
            <w:adjustRightInd w:val="0"/>
            <w:spacing w:after="0" w:line="360" w:lineRule="auto"/>
            <w:jc w:val="both"/>
            <w:rPr>
              <w:rFonts w:ascii="Verdana" w:hAnsi="Verdana" w:cs="Times New Roman"/>
              <w:color w:val="000000"/>
              <w:sz w:val="20"/>
              <w:szCs w:val="20"/>
              <w:lang w:val="en-US"/>
            </w:rPr>
          </w:pPr>
          <w:r w:rsidRPr="004578EE">
            <w:rPr>
              <w:rFonts w:ascii="Verdana" w:hAnsi="Verdana" w:cs="Times New Roman"/>
              <w:color w:val="000000"/>
              <w:sz w:val="20"/>
              <w:szCs w:val="20"/>
              <w:lang w:val="en-US"/>
            </w:rPr>
            <w:t xml:space="preserve">Barnard, K., &amp; Avery, A. (2011). </w:t>
          </w:r>
          <w:r w:rsidRPr="004578EE">
            <w:rPr>
              <w:rFonts w:ascii="Verdana" w:hAnsi="Verdana" w:cs="Times New Roman"/>
              <w:i/>
              <w:color w:val="000000"/>
              <w:sz w:val="20"/>
              <w:szCs w:val="20"/>
              <w:lang w:val="en-US"/>
            </w:rPr>
            <w:t>Basel III v Dodd-Frank : what does it mean for US banks</w:t>
          </w:r>
          <w:r w:rsidRPr="004578EE">
            <w:rPr>
              <w:rFonts w:ascii="Verdana" w:hAnsi="Verdana" w:cs="Times New Roman"/>
              <w:color w:val="000000"/>
              <w:sz w:val="20"/>
              <w:szCs w:val="20"/>
              <w:lang w:val="en-US"/>
            </w:rPr>
            <w:t xml:space="preserve">. Retrieved from </w:t>
          </w:r>
          <w:hyperlink r:id="rId37" w:history="1">
            <w:r w:rsidRPr="004578EE">
              <w:rPr>
                <w:rStyle w:val="Hyperlink"/>
                <w:rFonts w:ascii="Verdana" w:hAnsi="Verdana" w:cs="Times New Roman"/>
                <w:sz w:val="20"/>
                <w:szCs w:val="20"/>
                <w:lang w:val="en-US"/>
              </w:rPr>
              <w:t>http://whoswholegal.com/news/features/article/28829/basel-iii-v-dodd-frank-does-mean-us-banks/</w:t>
            </w:r>
          </w:hyperlink>
        </w:p>
        <w:p w:rsidR="00D57C55" w:rsidRDefault="00D57C55" w:rsidP="004578EE">
          <w:pPr>
            <w:autoSpaceDE w:val="0"/>
            <w:autoSpaceDN w:val="0"/>
            <w:adjustRightInd w:val="0"/>
            <w:spacing w:after="0" w:line="360" w:lineRule="auto"/>
            <w:jc w:val="both"/>
            <w:rPr>
              <w:rFonts w:ascii="Verdana" w:hAnsi="Verdana" w:cs="Times New Roman"/>
              <w:color w:val="000000"/>
              <w:sz w:val="20"/>
              <w:szCs w:val="20"/>
              <w:lang w:val="en-US"/>
            </w:rPr>
          </w:pPr>
        </w:p>
        <w:p w:rsidR="00D204D9" w:rsidRPr="004578EE" w:rsidRDefault="001106BD" w:rsidP="004578EE">
          <w:pPr>
            <w:autoSpaceDE w:val="0"/>
            <w:autoSpaceDN w:val="0"/>
            <w:adjustRightInd w:val="0"/>
            <w:spacing w:after="0" w:line="360" w:lineRule="auto"/>
            <w:jc w:val="both"/>
            <w:rPr>
              <w:rFonts w:ascii="Verdana" w:hAnsi="Verdana" w:cs="Times New Roman"/>
              <w:color w:val="000000"/>
              <w:sz w:val="20"/>
              <w:szCs w:val="20"/>
              <w:lang w:val="en-US"/>
            </w:rPr>
          </w:pPr>
          <w:r w:rsidRPr="004578EE">
            <w:rPr>
              <w:rFonts w:ascii="Verdana" w:hAnsi="Verdana" w:cs="Times New Roman"/>
              <w:color w:val="000000"/>
              <w:sz w:val="20"/>
              <w:szCs w:val="20"/>
              <w:lang w:val="en-US"/>
            </w:rPr>
            <w:lastRenderedPageBreak/>
            <w:t xml:space="preserve">Basel Committee on Banking Supervision. (2013). Principles for effective risk data aggregation and risk reporting. </w:t>
          </w:r>
          <w:r w:rsidRPr="004578EE">
            <w:rPr>
              <w:rFonts w:ascii="Verdana" w:hAnsi="Verdana" w:cs="Times New Roman"/>
              <w:i/>
              <w:color w:val="000000"/>
              <w:sz w:val="20"/>
              <w:szCs w:val="20"/>
              <w:lang w:val="en-US"/>
            </w:rPr>
            <w:t>Bank for International Settlements</w:t>
          </w:r>
          <w:r w:rsidRPr="004578EE">
            <w:rPr>
              <w:rFonts w:ascii="Verdana" w:hAnsi="Verdana" w:cs="Times New Roman"/>
              <w:color w:val="000000"/>
              <w:sz w:val="20"/>
              <w:szCs w:val="20"/>
              <w:lang w:val="en-US"/>
            </w:rPr>
            <w:t xml:space="preserve">. </w:t>
          </w:r>
        </w:p>
        <w:p w:rsidR="00D204D9" w:rsidRPr="004578EE" w:rsidRDefault="00D204D9" w:rsidP="004578EE">
          <w:pPr>
            <w:autoSpaceDE w:val="0"/>
            <w:autoSpaceDN w:val="0"/>
            <w:adjustRightInd w:val="0"/>
            <w:spacing w:after="0" w:line="360" w:lineRule="auto"/>
            <w:jc w:val="both"/>
            <w:rPr>
              <w:rFonts w:ascii="Verdana" w:hAnsi="Verdana" w:cs="Times New Roman"/>
              <w:color w:val="000000"/>
              <w:sz w:val="20"/>
              <w:szCs w:val="20"/>
              <w:lang w:val="en-US"/>
            </w:rPr>
          </w:pP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 xml:space="preserve">Bedi, P., Jindal, V., </w:t>
          </w:r>
          <w:r w:rsidR="00D204D9" w:rsidRPr="004578EE">
            <w:rPr>
              <w:rFonts w:ascii="Verdana" w:hAnsi="Verdana" w:cs="Times New Roman"/>
              <w:sz w:val="20"/>
              <w:szCs w:val="20"/>
              <w:lang w:val="en-US"/>
            </w:rPr>
            <w:t xml:space="preserve">&amp; </w:t>
          </w:r>
          <w:r w:rsidRPr="004578EE">
            <w:rPr>
              <w:rFonts w:ascii="Verdana" w:hAnsi="Verdana" w:cs="Times New Roman"/>
              <w:sz w:val="20"/>
              <w:szCs w:val="20"/>
              <w:lang w:val="en-US"/>
            </w:rPr>
            <w:t>Gautam, A.</w:t>
          </w:r>
          <w:r w:rsidR="00D204D9" w:rsidRPr="004578EE">
            <w:rPr>
              <w:rFonts w:ascii="Verdana" w:hAnsi="Verdana" w:cs="Times New Roman"/>
              <w:sz w:val="20"/>
              <w:szCs w:val="20"/>
              <w:lang w:val="en-US"/>
            </w:rPr>
            <w:t xml:space="preserve"> </w:t>
          </w:r>
          <w:r w:rsidRPr="004578EE">
            <w:rPr>
              <w:rFonts w:ascii="Verdana" w:hAnsi="Verdana" w:cs="Times New Roman"/>
              <w:sz w:val="20"/>
              <w:szCs w:val="20"/>
              <w:lang w:val="en-US"/>
            </w:rPr>
            <w:t>(2014). Beginning with big data simplified.</w:t>
          </w:r>
          <w:r w:rsidRPr="004578EE">
            <w:rPr>
              <w:rFonts w:ascii="Verdana" w:hAnsi="Verdana" w:cs="Times New Roman"/>
              <w:iCs/>
              <w:sz w:val="20"/>
              <w:szCs w:val="20"/>
              <w:lang w:val="en-US"/>
            </w:rPr>
            <w:t xml:space="preserve"> </w:t>
          </w:r>
          <w:r w:rsidRPr="004578EE">
            <w:rPr>
              <w:rFonts w:ascii="Verdana" w:hAnsi="Verdana" w:cs="Times New Roman"/>
              <w:i/>
              <w:iCs/>
              <w:sz w:val="20"/>
              <w:szCs w:val="20"/>
              <w:lang w:val="en-US"/>
            </w:rPr>
            <w:t>2014 International Conference on Data Mining and Intelligent Computing (ICDMIC)</w:t>
          </w:r>
          <w:r w:rsidR="00D204D9" w:rsidRPr="004578EE">
            <w:rPr>
              <w:rFonts w:ascii="Verdana" w:hAnsi="Verdana" w:cs="Times New Roman"/>
              <w:sz w:val="20"/>
              <w:szCs w:val="20"/>
              <w:lang w:val="en-US"/>
            </w:rPr>
            <w:t xml:space="preserve">, </w:t>
          </w:r>
          <w:r w:rsidRPr="004578EE">
            <w:rPr>
              <w:rFonts w:ascii="Verdana" w:hAnsi="Verdana" w:cs="Times New Roman"/>
              <w:sz w:val="20"/>
              <w:szCs w:val="20"/>
              <w:lang w:val="en-US"/>
            </w:rPr>
            <w:t>1-7.</w:t>
          </w:r>
        </w:p>
        <w:p w:rsidR="001106BD" w:rsidRPr="004578EE" w:rsidRDefault="00D204D9" w:rsidP="004578EE">
          <w:pPr>
            <w:spacing w:line="360" w:lineRule="auto"/>
            <w:jc w:val="both"/>
            <w:rPr>
              <w:rFonts w:ascii="Verdana" w:hAnsi="Verdana" w:cs="Times New Roman"/>
              <w:sz w:val="20"/>
              <w:szCs w:val="20"/>
              <w:lang w:val="en-US"/>
            </w:rPr>
          </w:pPr>
          <w:r w:rsidRPr="00BC1F27">
            <w:rPr>
              <w:rFonts w:ascii="Verdana" w:hAnsi="Verdana" w:cs="Times New Roman"/>
              <w:sz w:val="20"/>
              <w:szCs w:val="20"/>
              <w:lang w:val="en-US"/>
            </w:rPr>
            <w:t xml:space="preserve">Bohlouli, M., Schulz, F.,  Angelis, L.,  &amp; </w:t>
          </w:r>
          <w:r w:rsidR="001106BD" w:rsidRPr="00BC1F27">
            <w:rPr>
              <w:rFonts w:ascii="Verdana" w:hAnsi="Verdana" w:cs="Times New Roman"/>
              <w:sz w:val="20"/>
              <w:szCs w:val="20"/>
              <w:lang w:val="en-US"/>
            </w:rPr>
            <w:t xml:space="preserve">Pahor, D. (2013). </w:t>
          </w:r>
          <w:r w:rsidR="001106BD" w:rsidRPr="004578EE">
            <w:rPr>
              <w:rFonts w:ascii="Verdana" w:hAnsi="Verdana" w:cs="Times New Roman"/>
              <w:sz w:val="20"/>
              <w:szCs w:val="20"/>
              <w:lang w:val="en-US"/>
            </w:rPr>
            <w:t>Towards an integrated platfo</w:t>
          </w:r>
          <w:r w:rsidR="00716C77">
            <w:rPr>
              <w:rFonts w:ascii="Verdana" w:hAnsi="Verdana" w:cs="Times New Roman"/>
              <w:sz w:val="20"/>
              <w:szCs w:val="20"/>
              <w:lang w:val="en-US"/>
            </w:rPr>
            <w:t xml:space="preserve">rm for Big Data analytics. In </w:t>
          </w:r>
          <w:r w:rsidR="001106BD" w:rsidRPr="004578EE">
            <w:rPr>
              <w:rFonts w:ascii="Verdana" w:hAnsi="Verdana" w:cs="Times New Roman"/>
              <w:sz w:val="20"/>
              <w:szCs w:val="20"/>
              <w:lang w:val="en-US"/>
            </w:rPr>
            <w:t>Bohlouli</w:t>
          </w:r>
          <w:r w:rsidR="00716C77">
            <w:rPr>
              <w:rFonts w:ascii="Verdana" w:hAnsi="Verdana" w:cs="Times New Roman"/>
              <w:sz w:val="20"/>
              <w:szCs w:val="20"/>
              <w:lang w:val="en-US"/>
            </w:rPr>
            <w:t>, M.</w:t>
          </w:r>
          <w:r w:rsidR="001106BD" w:rsidRPr="004578EE">
            <w:rPr>
              <w:rFonts w:ascii="Verdana" w:hAnsi="Verdana" w:cs="Times New Roman"/>
              <w:sz w:val="20"/>
              <w:szCs w:val="20"/>
              <w:lang w:val="en-US"/>
            </w:rPr>
            <w:t>,</w:t>
          </w:r>
          <w:r w:rsidR="00716C77">
            <w:rPr>
              <w:rFonts w:ascii="Verdana" w:hAnsi="Verdana" w:cs="Times New Roman"/>
              <w:sz w:val="20"/>
              <w:szCs w:val="20"/>
              <w:lang w:val="en-US"/>
            </w:rPr>
            <w:t xml:space="preserve"> </w:t>
          </w:r>
          <w:r w:rsidR="001106BD" w:rsidRPr="004578EE">
            <w:rPr>
              <w:rFonts w:ascii="Verdana" w:hAnsi="Verdana" w:cs="Times New Roman"/>
              <w:sz w:val="20"/>
              <w:szCs w:val="20"/>
              <w:lang w:val="en-US"/>
            </w:rPr>
            <w:t>Schulz</w:t>
          </w:r>
          <w:r w:rsidR="00716C77">
            <w:rPr>
              <w:rFonts w:ascii="Verdana" w:hAnsi="Verdana" w:cs="Times New Roman"/>
              <w:sz w:val="20"/>
              <w:szCs w:val="20"/>
              <w:lang w:val="en-US"/>
            </w:rPr>
            <w:t xml:space="preserve">, F., </w:t>
          </w:r>
          <w:r w:rsidR="001106BD" w:rsidRPr="004578EE">
            <w:rPr>
              <w:rFonts w:ascii="Verdana" w:hAnsi="Verdana" w:cs="Times New Roman"/>
              <w:sz w:val="20"/>
              <w:szCs w:val="20"/>
              <w:lang w:val="en-US"/>
            </w:rPr>
            <w:t>Angelis,</w:t>
          </w:r>
          <w:r w:rsidR="00716C77">
            <w:rPr>
              <w:rFonts w:ascii="Verdana" w:hAnsi="Verdana" w:cs="Times New Roman"/>
              <w:sz w:val="20"/>
              <w:szCs w:val="20"/>
              <w:lang w:val="en-US"/>
            </w:rPr>
            <w:t xml:space="preserve"> L.,  </w:t>
          </w:r>
          <w:r w:rsidR="001106BD" w:rsidRPr="004578EE">
            <w:rPr>
              <w:rFonts w:ascii="Verdana" w:hAnsi="Verdana" w:cs="Times New Roman"/>
              <w:sz w:val="20"/>
              <w:szCs w:val="20"/>
              <w:lang w:val="en-US"/>
            </w:rPr>
            <w:t>PAhor</w:t>
          </w:r>
          <w:r w:rsidR="00716C77">
            <w:rPr>
              <w:rFonts w:ascii="Verdana" w:hAnsi="Verdana" w:cs="Times New Roman"/>
              <w:sz w:val="20"/>
              <w:szCs w:val="20"/>
              <w:lang w:val="en-US"/>
            </w:rPr>
            <w:t xml:space="preserve">, D., </w:t>
          </w:r>
          <w:r w:rsidR="001106BD" w:rsidRPr="004578EE">
            <w:rPr>
              <w:rFonts w:ascii="Verdana" w:hAnsi="Verdana" w:cs="Times New Roman"/>
              <w:sz w:val="20"/>
              <w:szCs w:val="20"/>
              <w:lang w:val="en-US"/>
            </w:rPr>
            <w:t>Br</w:t>
          </w:r>
          <w:r w:rsidRPr="004578EE">
            <w:rPr>
              <w:rFonts w:ascii="Verdana" w:hAnsi="Verdana" w:cs="Times New Roman"/>
              <w:sz w:val="20"/>
              <w:szCs w:val="20"/>
              <w:lang w:val="en-US"/>
            </w:rPr>
            <w:t>andic,</w:t>
          </w:r>
          <w:r w:rsidR="00716C77">
            <w:rPr>
              <w:rFonts w:ascii="Verdana" w:hAnsi="Verdana" w:cs="Times New Roman"/>
              <w:sz w:val="20"/>
              <w:szCs w:val="20"/>
              <w:lang w:val="en-US"/>
            </w:rPr>
            <w:t xml:space="preserve"> I., </w:t>
          </w:r>
          <w:r w:rsidRPr="004578EE">
            <w:rPr>
              <w:rFonts w:ascii="Verdana" w:hAnsi="Verdana" w:cs="Times New Roman"/>
              <w:sz w:val="20"/>
              <w:szCs w:val="20"/>
              <w:lang w:val="en-US"/>
            </w:rPr>
            <w:t>Atlan</w:t>
          </w:r>
          <w:r w:rsidR="00716C77">
            <w:rPr>
              <w:rFonts w:ascii="Verdana" w:hAnsi="Verdana" w:cs="Times New Roman"/>
              <w:sz w:val="20"/>
              <w:szCs w:val="20"/>
              <w:lang w:val="en-US"/>
            </w:rPr>
            <w:t xml:space="preserve">, D., &amp; </w:t>
          </w:r>
          <w:r w:rsidRPr="004578EE">
            <w:rPr>
              <w:rFonts w:ascii="Verdana" w:hAnsi="Verdana" w:cs="Times New Roman"/>
              <w:sz w:val="20"/>
              <w:szCs w:val="20"/>
              <w:lang w:val="en-US"/>
            </w:rPr>
            <w:t>Tate</w:t>
          </w:r>
          <w:r w:rsidR="00716C77">
            <w:rPr>
              <w:rFonts w:ascii="Verdana" w:hAnsi="Verdana" w:cs="Times New Roman"/>
              <w:sz w:val="20"/>
              <w:szCs w:val="20"/>
              <w:lang w:val="en-US"/>
            </w:rPr>
            <w:t>, R.</w:t>
          </w:r>
          <w:r w:rsidRPr="004578EE">
            <w:rPr>
              <w:rFonts w:ascii="Verdana" w:hAnsi="Verdana" w:cs="Times New Roman"/>
              <w:sz w:val="20"/>
              <w:szCs w:val="20"/>
              <w:lang w:val="en-US"/>
            </w:rPr>
            <w:t xml:space="preserve"> (Eds.), </w:t>
          </w:r>
          <w:r w:rsidR="001106BD" w:rsidRPr="004578EE">
            <w:rPr>
              <w:rFonts w:ascii="Verdana" w:hAnsi="Verdana" w:cs="Times New Roman"/>
              <w:i/>
              <w:sz w:val="20"/>
              <w:szCs w:val="20"/>
              <w:lang w:val="en-US"/>
            </w:rPr>
            <w:t>Integration of practice-oriented Knowledge Technology: Trends and prospectives</w:t>
          </w:r>
          <w:r w:rsidR="001106BD" w:rsidRPr="004578EE">
            <w:rPr>
              <w:rFonts w:ascii="Verdana" w:hAnsi="Verdana" w:cs="Times New Roman"/>
              <w:sz w:val="20"/>
              <w:szCs w:val="20"/>
              <w:lang w:val="en-US"/>
            </w:rPr>
            <w:t xml:space="preserve"> (pp. 48-55). Berlin: Springer Berlin Heidelberg.</w:t>
          </w:r>
        </w:p>
        <w:p w:rsidR="001106BD" w:rsidRPr="004578EE" w:rsidRDefault="00AC1BC4" w:rsidP="004578EE">
          <w:pPr>
            <w:spacing w:line="360" w:lineRule="auto"/>
            <w:jc w:val="both"/>
            <w:rPr>
              <w:rFonts w:ascii="Verdana" w:hAnsi="Verdana" w:cs="Times New Roman"/>
              <w:sz w:val="20"/>
              <w:szCs w:val="20"/>
              <w:lang w:val="en-US"/>
            </w:rPr>
          </w:pPr>
          <w:r>
            <w:rPr>
              <w:rFonts w:ascii="Verdana" w:hAnsi="Verdana" w:cs="Times New Roman"/>
              <w:sz w:val="20"/>
              <w:szCs w:val="20"/>
              <w:lang w:val="en-US"/>
            </w:rPr>
            <w:t>Bort</w:t>
          </w:r>
          <w:r w:rsidR="001106BD" w:rsidRPr="004578EE">
            <w:rPr>
              <w:rFonts w:ascii="Verdana" w:hAnsi="Verdana" w:cs="Times New Roman"/>
              <w:sz w:val="20"/>
              <w:szCs w:val="20"/>
              <w:lang w:val="en-US"/>
            </w:rPr>
            <w:t xml:space="preserve">hakur, D. (2012). </w:t>
          </w:r>
          <w:r w:rsidR="001106BD" w:rsidRPr="004578EE">
            <w:rPr>
              <w:rFonts w:ascii="Verdana" w:hAnsi="Verdana" w:cs="Times New Roman"/>
              <w:i/>
              <w:sz w:val="20"/>
              <w:szCs w:val="20"/>
              <w:lang w:val="en-US"/>
            </w:rPr>
            <w:t>The Hadoop Distributed File System :  architecture and design</w:t>
          </w:r>
          <w:r w:rsidR="001106BD" w:rsidRPr="004578EE">
            <w:rPr>
              <w:rFonts w:ascii="Verdana" w:hAnsi="Verdana" w:cs="Times New Roman"/>
              <w:sz w:val="20"/>
              <w:szCs w:val="20"/>
              <w:lang w:val="en-US"/>
            </w:rPr>
            <w:t xml:space="preserve">. Retrieved from </w:t>
          </w:r>
          <w:hyperlink r:id="rId38" w:history="1">
            <w:r w:rsidR="00CE070B" w:rsidRPr="004578EE">
              <w:rPr>
                <w:rStyle w:val="Hyperlink"/>
                <w:rFonts w:ascii="Verdana" w:hAnsi="Verdana" w:cs="Times New Roman"/>
                <w:sz w:val="20"/>
                <w:szCs w:val="20"/>
                <w:lang w:val="en-US"/>
              </w:rPr>
              <w:t>http://hadoop.apache.org/docs/r0.18.0/hdfs_design.pdf</w:t>
            </w:r>
          </w:hyperlink>
          <w:r w:rsidR="00CE070B" w:rsidRPr="004578EE">
            <w:rPr>
              <w:rFonts w:ascii="Verdana" w:hAnsi="Verdana" w:cs="Times New Roman"/>
              <w:sz w:val="20"/>
              <w:szCs w:val="20"/>
              <w:lang w:val="en-US"/>
            </w:rPr>
            <w:t xml:space="preserve"> </w:t>
          </w:r>
          <w:r w:rsidR="001106BD" w:rsidRPr="004578EE">
            <w:rPr>
              <w:rFonts w:ascii="Verdana" w:hAnsi="Verdana" w:cs="Times New Roman"/>
              <w:sz w:val="20"/>
              <w:szCs w:val="20"/>
              <w:lang w:val="en-US"/>
            </w:rPr>
            <w:t xml:space="preserve"> </w:t>
          </w:r>
          <w:r w:rsidR="00D204D9" w:rsidRPr="004578EE">
            <w:rPr>
              <w:rFonts w:ascii="Verdana" w:hAnsi="Verdana" w:cs="Times New Roman"/>
              <w:sz w:val="20"/>
              <w:szCs w:val="20"/>
              <w:lang w:val="en-US"/>
            </w:rPr>
            <w:t xml:space="preserve"> </w:t>
          </w:r>
        </w:p>
        <w:p w:rsidR="001106BD" w:rsidRPr="00BC1F27" w:rsidRDefault="001106BD" w:rsidP="004578EE">
          <w:pPr>
            <w:spacing w:line="360" w:lineRule="auto"/>
            <w:jc w:val="both"/>
            <w:rPr>
              <w:rFonts w:ascii="Verdana" w:hAnsi="Verdana" w:cs="Times New Roman"/>
              <w:sz w:val="20"/>
              <w:szCs w:val="20"/>
              <w:lang w:val="de-DE"/>
            </w:rPr>
          </w:pPr>
          <w:r w:rsidRPr="004578EE">
            <w:rPr>
              <w:rFonts w:ascii="Verdana" w:hAnsi="Verdana" w:cs="Times New Roman"/>
              <w:sz w:val="20"/>
              <w:szCs w:val="20"/>
              <w:lang w:val="en-US"/>
            </w:rPr>
            <w:t>Brammertz, W. (2012). The office of Financial Research and Operati</w:t>
          </w:r>
          <w:r w:rsidR="00D204D9" w:rsidRPr="004578EE">
            <w:rPr>
              <w:rFonts w:ascii="Verdana" w:hAnsi="Verdana" w:cs="Times New Roman"/>
              <w:sz w:val="20"/>
              <w:szCs w:val="20"/>
              <w:lang w:val="en-US"/>
            </w:rPr>
            <w:t xml:space="preserve">onal Risk. In V. Lemieux (Eds.), </w:t>
          </w:r>
          <w:r w:rsidRPr="004578EE">
            <w:rPr>
              <w:rFonts w:ascii="Verdana" w:hAnsi="Verdana" w:cs="Times New Roman"/>
              <w:i/>
              <w:sz w:val="20"/>
              <w:szCs w:val="20"/>
              <w:lang w:val="en-US"/>
            </w:rPr>
            <w:t>Financial Analysis and risk management: data governance, analytics and life cycle management</w:t>
          </w:r>
          <w:r w:rsidRPr="004578EE">
            <w:rPr>
              <w:rFonts w:ascii="Verdana" w:hAnsi="Verdana" w:cs="Times New Roman"/>
              <w:sz w:val="20"/>
              <w:szCs w:val="20"/>
              <w:lang w:val="en-US"/>
            </w:rPr>
            <w:t xml:space="preserve"> (pp. 47-73). </w:t>
          </w:r>
          <w:r w:rsidRPr="00BC1F27">
            <w:rPr>
              <w:rFonts w:ascii="Verdana" w:hAnsi="Verdana" w:cs="Times New Roman"/>
              <w:sz w:val="20"/>
              <w:szCs w:val="20"/>
              <w:lang w:val="de-DE"/>
            </w:rPr>
            <w:t>Frankfurt: Springer Berlin Heidelberg.</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de-DE"/>
            </w:rPr>
            <w:t xml:space="preserve">Buhl,  HU.,   Röglinger, M.,  Moser, F., </w:t>
          </w:r>
          <w:r w:rsidR="00D204D9" w:rsidRPr="004578EE">
            <w:rPr>
              <w:rFonts w:ascii="Verdana" w:hAnsi="Verdana" w:cs="Times New Roman"/>
              <w:sz w:val="20"/>
              <w:szCs w:val="20"/>
              <w:lang w:val="de-DE"/>
            </w:rPr>
            <w:t>&amp;</w:t>
          </w:r>
          <w:r w:rsidRPr="004578EE">
            <w:rPr>
              <w:rFonts w:ascii="Verdana" w:hAnsi="Verdana" w:cs="Times New Roman"/>
              <w:sz w:val="20"/>
              <w:szCs w:val="20"/>
              <w:lang w:val="de-DE"/>
            </w:rPr>
            <w:t xml:space="preserve"> Heidemann J. (2013).  </w:t>
          </w:r>
          <w:r w:rsidRPr="004578EE">
            <w:rPr>
              <w:rFonts w:ascii="Verdana" w:hAnsi="Verdana" w:cs="Times New Roman"/>
              <w:sz w:val="20"/>
              <w:szCs w:val="20"/>
              <w:lang w:val="en-US"/>
            </w:rPr>
            <w:t>Big Data : A Fashionable Topic with(out) Sustainable Releva</w:t>
          </w:r>
          <w:r w:rsidR="00D204D9" w:rsidRPr="004578EE">
            <w:rPr>
              <w:rFonts w:ascii="Verdana" w:hAnsi="Verdana" w:cs="Times New Roman"/>
              <w:sz w:val="20"/>
              <w:szCs w:val="20"/>
              <w:lang w:val="en-US"/>
            </w:rPr>
            <w:t>nce for Research and Practice?</w:t>
          </w:r>
          <w:r w:rsidR="00D204D9" w:rsidRPr="004578EE">
            <w:rPr>
              <w:rFonts w:ascii="Verdana" w:hAnsi="Verdana" w:cs="Times New Roman"/>
              <w:i/>
              <w:sz w:val="20"/>
              <w:szCs w:val="20"/>
              <w:lang w:val="en-US"/>
            </w:rPr>
            <w:t xml:space="preserve"> </w:t>
          </w:r>
          <w:r w:rsidRPr="004578EE">
            <w:rPr>
              <w:rFonts w:ascii="Verdana" w:hAnsi="Verdana" w:cs="Times New Roman"/>
              <w:i/>
              <w:sz w:val="20"/>
              <w:szCs w:val="20"/>
              <w:lang w:val="en-US"/>
            </w:rPr>
            <w:t>Business &amp; Information Systems Engineering</w:t>
          </w:r>
          <w:r w:rsidRPr="004578EE">
            <w:rPr>
              <w:rFonts w:ascii="Verdana" w:hAnsi="Verdana" w:cs="Times New Roman"/>
              <w:sz w:val="20"/>
              <w:szCs w:val="20"/>
              <w:lang w:val="en-US"/>
            </w:rPr>
            <w:t>, 5(2), 65-69.</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 xml:space="preserve">Chapple, M.(2013). Speaking the same language: building a data governance program for institutional impact. </w:t>
          </w:r>
          <w:r w:rsidRPr="004578EE">
            <w:rPr>
              <w:rFonts w:ascii="Verdana" w:hAnsi="Verdana" w:cs="Times New Roman"/>
              <w:i/>
              <w:sz w:val="20"/>
              <w:szCs w:val="20"/>
              <w:lang w:val="en-US"/>
            </w:rPr>
            <w:t>EDUCAUSE Review</w:t>
          </w:r>
          <w:r w:rsidRPr="004578EE">
            <w:rPr>
              <w:rFonts w:ascii="Verdana" w:hAnsi="Verdana" w:cs="Times New Roman"/>
              <w:sz w:val="20"/>
              <w:szCs w:val="20"/>
              <w:lang w:val="en-US"/>
            </w:rPr>
            <w:t>, 48(6), 14-27.</w:t>
          </w:r>
        </w:p>
        <w:p w:rsidR="001106BD" w:rsidRPr="004578EE" w:rsidRDefault="001106BD" w:rsidP="004578EE">
          <w:pPr>
            <w:spacing w:line="360" w:lineRule="auto"/>
            <w:jc w:val="both"/>
            <w:rPr>
              <w:rFonts w:ascii="Verdana" w:hAnsi="Verdana" w:cs="Times New Roman"/>
              <w:sz w:val="20"/>
              <w:szCs w:val="20"/>
              <w:lang w:val="en"/>
            </w:rPr>
          </w:pPr>
          <w:r w:rsidRPr="00BC1F27">
            <w:rPr>
              <w:rFonts w:ascii="Verdana" w:hAnsi="Verdana" w:cs="Times New Roman"/>
              <w:sz w:val="20"/>
              <w:szCs w:val="20"/>
              <w:lang w:val="en-US"/>
            </w:rPr>
            <w:t xml:space="preserve">Chen, M.,  Mao,S., </w:t>
          </w:r>
          <w:r w:rsidR="00CE070B" w:rsidRPr="00BC1F27">
            <w:rPr>
              <w:rFonts w:ascii="Verdana" w:hAnsi="Verdana" w:cs="Times New Roman"/>
              <w:sz w:val="20"/>
              <w:szCs w:val="20"/>
              <w:lang w:val="en-US"/>
            </w:rPr>
            <w:t xml:space="preserve">&amp; </w:t>
          </w:r>
          <w:r w:rsidRPr="00BC1F27">
            <w:rPr>
              <w:rFonts w:ascii="Verdana" w:hAnsi="Verdana" w:cs="Times New Roman"/>
              <w:sz w:val="20"/>
              <w:szCs w:val="20"/>
              <w:lang w:val="en-US"/>
            </w:rPr>
            <w:t xml:space="preserve">Liu, Y. (2014). </w:t>
          </w:r>
          <w:r w:rsidRPr="004578EE">
            <w:rPr>
              <w:rFonts w:ascii="Verdana" w:hAnsi="Verdana" w:cs="Times New Roman"/>
              <w:sz w:val="20"/>
              <w:szCs w:val="20"/>
              <w:lang w:val="en"/>
            </w:rPr>
            <w:t xml:space="preserve">Big data: a survey. </w:t>
          </w:r>
          <w:r w:rsidRPr="004578EE">
            <w:rPr>
              <w:rFonts w:ascii="Verdana" w:hAnsi="Verdana" w:cs="Times New Roman"/>
              <w:i/>
              <w:sz w:val="20"/>
              <w:szCs w:val="20"/>
              <w:lang w:val="en"/>
            </w:rPr>
            <w:t>Mobile Networks and applications</w:t>
          </w:r>
          <w:r w:rsidRPr="004578EE">
            <w:rPr>
              <w:rFonts w:ascii="Verdana" w:hAnsi="Verdana" w:cs="Times New Roman"/>
              <w:sz w:val="20"/>
              <w:szCs w:val="20"/>
              <w:lang w:val="en"/>
            </w:rPr>
            <w:t>, 19(2), 171-209.</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 xml:space="preserve">Cheong, L.,K., </w:t>
          </w:r>
          <w:r w:rsidR="00CE070B" w:rsidRPr="004578EE">
            <w:rPr>
              <w:rFonts w:ascii="Verdana" w:hAnsi="Verdana" w:cs="Times New Roman"/>
              <w:sz w:val="20"/>
              <w:szCs w:val="20"/>
              <w:lang w:val="en-US"/>
            </w:rPr>
            <w:t xml:space="preserve">&amp; </w:t>
          </w:r>
          <w:r w:rsidRPr="004578EE">
            <w:rPr>
              <w:rFonts w:ascii="Verdana" w:hAnsi="Verdana" w:cs="Times New Roman"/>
              <w:sz w:val="20"/>
              <w:szCs w:val="20"/>
              <w:lang w:val="en-US"/>
            </w:rPr>
            <w:t xml:space="preserve">Chang, V.(2007). The need for data governance : a case study. </w:t>
          </w:r>
          <w:r w:rsidRPr="004578EE">
            <w:rPr>
              <w:rFonts w:ascii="Verdana" w:hAnsi="Verdana" w:cs="Times New Roman"/>
              <w:i/>
              <w:sz w:val="20"/>
              <w:szCs w:val="20"/>
              <w:lang w:val="en-US"/>
            </w:rPr>
            <w:t>18</w:t>
          </w:r>
          <w:r w:rsidRPr="004578EE">
            <w:rPr>
              <w:rFonts w:ascii="Verdana" w:hAnsi="Verdana" w:cs="Times New Roman"/>
              <w:i/>
              <w:sz w:val="20"/>
              <w:szCs w:val="20"/>
              <w:vertAlign w:val="superscript"/>
              <w:lang w:val="en-US"/>
            </w:rPr>
            <w:t>th</w:t>
          </w:r>
          <w:r w:rsidRPr="004578EE">
            <w:rPr>
              <w:rFonts w:ascii="Verdana" w:hAnsi="Verdana" w:cs="Times New Roman"/>
              <w:i/>
              <w:sz w:val="20"/>
              <w:szCs w:val="20"/>
              <w:lang w:val="en-US"/>
            </w:rPr>
            <w:t xml:space="preserve"> Australasian Conference on Information Systems</w:t>
          </w:r>
          <w:r w:rsidR="00CE070B" w:rsidRPr="004578EE">
            <w:rPr>
              <w:rFonts w:ascii="Verdana" w:hAnsi="Verdana" w:cs="Times New Roman"/>
              <w:sz w:val="20"/>
              <w:szCs w:val="20"/>
              <w:lang w:val="en-US"/>
            </w:rPr>
            <w:t>,</w:t>
          </w:r>
          <w:r w:rsidRPr="004578EE">
            <w:rPr>
              <w:rFonts w:ascii="Verdana" w:hAnsi="Verdana" w:cs="Times New Roman"/>
              <w:sz w:val="20"/>
              <w:szCs w:val="20"/>
              <w:lang w:val="en-US"/>
            </w:rPr>
            <w:t xml:space="preserve"> 999-1008.</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 xml:space="preserve">Chrissis, M. B., Konrad, M.,  </w:t>
          </w:r>
          <w:r w:rsidR="00CE070B" w:rsidRPr="004578EE">
            <w:rPr>
              <w:rFonts w:ascii="Verdana" w:hAnsi="Verdana" w:cs="Times New Roman"/>
              <w:sz w:val="20"/>
              <w:szCs w:val="20"/>
              <w:lang w:val="en-US"/>
            </w:rPr>
            <w:t xml:space="preserve">&amp; </w:t>
          </w:r>
          <w:r w:rsidRPr="004578EE">
            <w:rPr>
              <w:rFonts w:ascii="Verdana" w:hAnsi="Verdana" w:cs="Times New Roman"/>
              <w:sz w:val="20"/>
              <w:szCs w:val="20"/>
              <w:lang w:val="en-US"/>
            </w:rPr>
            <w:t xml:space="preserve">Shrum, S. (2003). </w:t>
          </w:r>
          <w:r w:rsidRPr="004578EE">
            <w:rPr>
              <w:rFonts w:ascii="Verdana" w:hAnsi="Verdana" w:cs="Times New Roman"/>
              <w:i/>
              <w:sz w:val="20"/>
              <w:szCs w:val="20"/>
              <w:lang w:val="en-US"/>
            </w:rPr>
            <w:t xml:space="preserve">CMMI </w:t>
          </w:r>
          <w:r w:rsidR="00CE070B" w:rsidRPr="004578EE">
            <w:rPr>
              <w:rFonts w:ascii="Verdana" w:hAnsi="Verdana" w:cs="Times New Roman"/>
              <w:i/>
              <w:sz w:val="20"/>
              <w:szCs w:val="20"/>
              <w:lang w:val="en-US"/>
            </w:rPr>
            <w:t>Guidelines</w:t>
          </w:r>
          <w:r w:rsidRPr="004578EE">
            <w:rPr>
              <w:rFonts w:ascii="Verdana" w:hAnsi="Verdana" w:cs="Times New Roman"/>
              <w:i/>
              <w:sz w:val="20"/>
              <w:szCs w:val="20"/>
              <w:lang w:val="en-US"/>
            </w:rPr>
            <w:t xml:space="preserve"> for Process Integration and Product Improvement</w:t>
          </w:r>
          <w:r w:rsidRPr="004578EE">
            <w:rPr>
              <w:rFonts w:ascii="Verdana" w:hAnsi="Verdana" w:cs="Times New Roman"/>
              <w:sz w:val="20"/>
              <w:szCs w:val="20"/>
              <w:lang w:val="en-US"/>
            </w:rPr>
            <w:t xml:space="preserve">. Addison-Wesley Longman Publishing Co. </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 xml:space="preserve">Chukwa. (2015). </w:t>
          </w:r>
          <w:r w:rsidRPr="004578EE">
            <w:rPr>
              <w:rFonts w:ascii="Verdana" w:hAnsi="Verdana" w:cs="Times New Roman"/>
              <w:i/>
              <w:sz w:val="20"/>
              <w:szCs w:val="20"/>
              <w:lang w:val="en-US"/>
            </w:rPr>
            <w:t>Chukwa: a large-scale monitoring system</w:t>
          </w:r>
          <w:r w:rsidRPr="004578EE">
            <w:rPr>
              <w:rFonts w:ascii="Verdana" w:hAnsi="Verdana" w:cs="Times New Roman"/>
              <w:sz w:val="20"/>
              <w:szCs w:val="20"/>
              <w:lang w:val="en-US"/>
            </w:rPr>
            <w:t xml:space="preserve">. Retrieved from </w:t>
          </w:r>
          <w:hyperlink r:id="rId39" w:history="1">
            <w:r w:rsidR="00CE070B" w:rsidRPr="004578EE">
              <w:rPr>
                <w:rStyle w:val="Hyperlink"/>
                <w:rFonts w:ascii="Verdana" w:hAnsi="Verdana" w:cs="Times New Roman"/>
                <w:sz w:val="20"/>
                <w:szCs w:val="20"/>
                <w:lang w:val="en-US"/>
              </w:rPr>
              <w:t>http://wiki.apache.org/hadoop/Chukwa?action=AttachFile&amp;do=view&amp;target=chukwa_cca08.pdf</w:t>
            </w:r>
          </w:hyperlink>
          <w:r w:rsidR="00CE070B" w:rsidRPr="004578EE">
            <w:rPr>
              <w:rFonts w:ascii="Verdana" w:hAnsi="Verdana" w:cs="Times New Roman"/>
              <w:sz w:val="20"/>
              <w:szCs w:val="20"/>
              <w:lang w:val="en-US"/>
            </w:rPr>
            <w:t xml:space="preserve"> </w:t>
          </w:r>
          <w:r w:rsidRPr="004578EE">
            <w:rPr>
              <w:rFonts w:ascii="Verdana" w:hAnsi="Verdana" w:cs="Times New Roman"/>
              <w:sz w:val="20"/>
              <w:szCs w:val="20"/>
              <w:lang w:val="en-US"/>
            </w:rPr>
            <w:t xml:space="preserve"> </w:t>
          </w:r>
          <w:r w:rsidR="00CE070B" w:rsidRPr="004578EE">
            <w:rPr>
              <w:rFonts w:ascii="Verdana" w:hAnsi="Verdana" w:cs="Times New Roman"/>
              <w:sz w:val="20"/>
              <w:szCs w:val="20"/>
              <w:lang w:val="en-US"/>
            </w:rPr>
            <w:t xml:space="preserve"> </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 xml:space="preserve">Cloudera. (2014). </w:t>
          </w:r>
          <w:r w:rsidRPr="004578EE">
            <w:rPr>
              <w:rFonts w:ascii="Verdana" w:hAnsi="Verdana" w:cs="Times New Roman"/>
              <w:i/>
              <w:sz w:val="20"/>
              <w:szCs w:val="20"/>
              <w:lang w:val="en-US"/>
            </w:rPr>
            <w:t>Flume Cookbook</w:t>
          </w:r>
          <w:r w:rsidRPr="004578EE">
            <w:rPr>
              <w:rFonts w:ascii="Verdana" w:hAnsi="Verdana" w:cs="Times New Roman"/>
              <w:sz w:val="20"/>
              <w:szCs w:val="20"/>
              <w:lang w:val="en-US"/>
            </w:rPr>
            <w:t xml:space="preserve">. Retrieved from </w:t>
          </w:r>
          <w:hyperlink r:id="rId40" w:anchor="_introduction" w:history="1">
            <w:r w:rsidR="00CE070B" w:rsidRPr="004578EE">
              <w:rPr>
                <w:rStyle w:val="Hyperlink"/>
                <w:rFonts w:ascii="Verdana" w:hAnsi="Verdana" w:cs="Times New Roman"/>
                <w:sz w:val="20"/>
                <w:szCs w:val="20"/>
                <w:lang w:val="en-US"/>
              </w:rPr>
              <w:t>http://archive.cloudera.com/cdh/3/flume/Cookbook/index.html#_introduction</w:t>
            </w:r>
          </w:hyperlink>
          <w:r w:rsidR="00CE070B" w:rsidRPr="004578EE">
            <w:rPr>
              <w:rFonts w:ascii="Verdana" w:hAnsi="Verdana" w:cs="Times New Roman"/>
              <w:sz w:val="20"/>
              <w:szCs w:val="20"/>
              <w:lang w:val="en-US"/>
            </w:rPr>
            <w:t xml:space="preserve"> </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 xml:space="preserve">Curley, M. (2008). Introducing an IT capability maturity framework. </w:t>
          </w:r>
          <w:r w:rsidR="00CE070B" w:rsidRPr="004578EE">
            <w:rPr>
              <w:rFonts w:ascii="Verdana" w:hAnsi="Verdana" w:cs="Times New Roman"/>
              <w:i/>
              <w:sz w:val="20"/>
              <w:szCs w:val="20"/>
              <w:lang w:val="en-US"/>
            </w:rPr>
            <w:t>Enterprise Information system</w:t>
          </w:r>
          <w:r w:rsidRPr="004578EE">
            <w:rPr>
              <w:rFonts w:ascii="Verdana" w:hAnsi="Verdana" w:cs="Times New Roman"/>
              <w:i/>
              <w:sz w:val="20"/>
              <w:szCs w:val="20"/>
              <w:lang w:val="en-US"/>
            </w:rPr>
            <w:t>s: lecture notes in Business Information processing</w:t>
          </w:r>
          <w:r w:rsidR="00CE070B" w:rsidRPr="004578EE">
            <w:rPr>
              <w:rFonts w:ascii="Verdana" w:hAnsi="Verdana" w:cs="Times New Roman"/>
              <w:sz w:val="20"/>
              <w:szCs w:val="20"/>
              <w:lang w:val="en-US"/>
            </w:rPr>
            <w:t xml:space="preserve">, </w:t>
          </w:r>
          <w:r w:rsidRPr="004578EE">
            <w:rPr>
              <w:rFonts w:ascii="Verdana" w:hAnsi="Verdana" w:cs="Times New Roman"/>
              <w:sz w:val="20"/>
              <w:szCs w:val="20"/>
              <w:lang w:val="en-US"/>
            </w:rPr>
            <w:t>12, 63-78.</w:t>
          </w:r>
        </w:p>
        <w:p w:rsidR="001106BD" w:rsidRPr="004578EE" w:rsidRDefault="001106BD" w:rsidP="004578EE">
          <w:pPr>
            <w:spacing w:line="360" w:lineRule="auto"/>
            <w:jc w:val="both"/>
            <w:rPr>
              <w:rFonts w:ascii="Verdana" w:hAnsi="Verdana" w:cs="Times New Roman"/>
              <w:sz w:val="20"/>
              <w:szCs w:val="20"/>
              <w:lang w:val="es-ES"/>
            </w:rPr>
          </w:pPr>
          <w:r w:rsidRPr="004578EE">
            <w:rPr>
              <w:rFonts w:ascii="Verdana" w:hAnsi="Verdana" w:cs="Times New Roman"/>
              <w:sz w:val="20"/>
              <w:szCs w:val="20"/>
              <w:lang w:val="en-US"/>
            </w:rPr>
            <w:lastRenderedPageBreak/>
            <w:t xml:space="preserve">Datskovsky, G. (2010). Information Governance. In Lamm J.  , Blount S., Boston S., Camm M., Cirabisi R., E. Cooper N., Fox C., V. Handal K., E. McCracken W., Meyer J.,  Scheil H., Srulowitz A., </w:t>
          </w:r>
          <w:r w:rsidR="00865C4F" w:rsidRPr="004578EE">
            <w:rPr>
              <w:rFonts w:ascii="Verdana" w:hAnsi="Verdana" w:cs="Times New Roman"/>
              <w:sz w:val="20"/>
              <w:szCs w:val="20"/>
              <w:lang w:val="en-US"/>
            </w:rPr>
            <w:t xml:space="preserve">&amp; </w:t>
          </w:r>
          <w:r w:rsidRPr="004578EE">
            <w:rPr>
              <w:rFonts w:ascii="Verdana" w:hAnsi="Verdana" w:cs="Times New Roman"/>
              <w:sz w:val="20"/>
              <w:szCs w:val="20"/>
              <w:lang w:val="en-US"/>
            </w:rPr>
            <w:t xml:space="preserve">Zanella R. </w:t>
          </w:r>
          <w:r w:rsidR="00785A0F" w:rsidRPr="004578EE">
            <w:rPr>
              <w:rFonts w:ascii="Verdana" w:hAnsi="Verdana" w:cs="Times New Roman"/>
              <w:sz w:val="20"/>
              <w:szCs w:val="20"/>
              <w:lang w:val="en-US"/>
            </w:rPr>
            <w:t xml:space="preserve">(Eds), </w:t>
          </w:r>
          <w:r w:rsidRPr="004578EE">
            <w:rPr>
              <w:rFonts w:ascii="Verdana" w:hAnsi="Verdana" w:cs="Times New Roman"/>
              <w:sz w:val="20"/>
              <w:szCs w:val="20"/>
              <w:lang w:val="en-US"/>
            </w:rPr>
            <w:t xml:space="preserve"> </w:t>
          </w:r>
          <w:r w:rsidRPr="004578EE">
            <w:rPr>
              <w:rFonts w:ascii="Verdana" w:hAnsi="Verdana" w:cs="Times New Roman"/>
              <w:i/>
              <w:sz w:val="20"/>
              <w:szCs w:val="20"/>
              <w:lang w:val="en-US"/>
            </w:rPr>
            <w:t>Under Control</w:t>
          </w:r>
          <w:r w:rsidRPr="004578EE">
            <w:rPr>
              <w:rFonts w:ascii="Verdana" w:hAnsi="Verdana" w:cs="Times New Roman"/>
              <w:sz w:val="20"/>
              <w:szCs w:val="20"/>
              <w:lang w:val="en-US"/>
            </w:rPr>
            <w:t xml:space="preserve"> (157-181). </w:t>
          </w:r>
          <w:r w:rsidRPr="004578EE">
            <w:rPr>
              <w:rFonts w:ascii="Verdana" w:hAnsi="Verdana" w:cs="Times New Roman"/>
              <w:sz w:val="20"/>
              <w:szCs w:val="20"/>
              <w:lang w:val="es-ES"/>
            </w:rPr>
            <w:t>Apress.</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s-ES"/>
            </w:rPr>
            <w:t xml:space="preserve">De Abreu Faria, F., Macada, AC.G., Kumar, K. (2013) . </w:t>
          </w:r>
          <w:r w:rsidRPr="004578EE">
            <w:rPr>
              <w:rFonts w:ascii="Verdana" w:hAnsi="Verdana" w:cs="Times New Roman"/>
              <w:sz w:val="20"/>
              <w:szCs w:val="20"/>
              <w:lang w:val="en-US"/>
            </w:rPr>
            <w:t xml:space="preserve">Information governance in the banking industry.  </w:t>
          </w:r>
          <w:r w:rsidRPr="004578EE">
            <w:rPr>
              <w:rFonts w:ascii="Verdana" w:hAnsi="Verdana" w:cs="Times New Roman"/>
              <w:i/>
              <w:sz w:val="20"/>
              <w:szCs w:val="20"/>
              <w:lang w:val="en-US"/>
            </w:rPr>
            <w:t>46th Hawaii International Conference on System Sciences (HICSS)</w:t>
          </w:r>
          <w:r w:rsidR="00865C4F" w:rsidRPr="004578EE">
            <w:rPr>
              <w:rFonts w:ascii="Verdana" w:hAnsi="Verdana" w:cs="Times New Roman"/>
              <w:sz w:val="20"/>
              <w:szCs w:val="20"/>
              <w:lang w:val="en-US"/>
            </w:rPr>
            <w:t>,</w:t>
          </w:r>
          <w:r w:rsidRPr="004578EE">
            <w:rPr>
              <w:rFonts w:ascii="Verdana" w:hAnsi="Verdana" w:cs="Times New Roman"/>
              <w:sz w:val="20"/>
              <w:szCs w:val="20"/>
              <w:lang w:val="en-US"/>
            </w:rPr>
            <w:t xml:space="preserve"> 4436-4445.</w:t>
          </w:r>
        </w:p>
        <w:p w:rsidR="001106BD" w:rsidRPr="004578EE" w:rsidRDefault="001106BD" w:rsidP="004578EE">
          <w:pPr>
            <w:spacing w:line="360" w:lineRule="auto"/>
            <w:jc w:val="both"/>
            <w:rPr>
              <w:rFonts w:ascii="Verdana" w:hAnsi="Verdana" w:cs="Times New Roman"/>
              <w:sz w:val="20"/>
              <w:szCs w:val="20"/>
              <w:lang w:val="en-US"/>
            </w:rPr>
          </w:pPr>
          <w:r w:rsidRPr="00BC1F27">
            <w:rPr>
              <w:rFonts w:ascii="Verdana" w:hAnsi="Verdana" w:cs="Times New Roman"/>
              <w:sz w:val="20"/>
              <w:szCs w:val="20"/>
              <w:lang w:val="en-US"/>
            </w:rPr>
            <w:t xml:space="preserve">De Haes, S., Van Grembergen, W.(2005). </w:t>
          </w:r>
          <w:r w:rsidRPr="004578EE">
            <w:rPr>
              <w:rFonts w:ascii="Verdana" w:hAnsi="Verdana" w:cs="Times New Roman"/>
              <w:sz w:val="20"/>
              <w:szCs w:val="20"/>
              <w:lang w:val="en-US"/>
            </w:rPr>
            <w:t xml:space="preserve">IT Governance structures, processes and relational mechanisms: achieving IT/business alignment in a major </w:t>
          </w:r>
          <w:r w:rsidR="00865C4F" w:rsidRPr="004578EE">
            <w:rPr>
              <w:rFonts w:ascii="Verdana" w:hAnsi="Verdana" w:cs="Times New Roman"/>
              <w:sz w:val="20"/>
              <w:szCs w:val="20"/>
              <w:lang w:val="en-US"/>
            </w:rPr>
            <w:t>Belgian</w:t>
          </w:r>
          <w:r w:rsidRPr="004578EE">
            <w:rPr>
              <w:rFonts w:ascii="Verdana" w:hAnsi="Verdana" w:cs="Times New Roman"/>
              <w:sz w:val="20"/>
              <w:szCs w:val="20"/>
              <w:lang w:val="en-US"/>
            </w:rPr>
            <w:t xml:space="preserve"> financial group. </w:t>
          </w:r>
          <w:r w:rsidRPr="004578EE">
            <w:rPr>
              <w:rFonts w:ascii="Verdana" w:hAnsi="Verdana" w:cs="Times New Roman"/>
              <w:i/>
              <w:sz w:val="20"/>
              <w:szCs w:val="20"/>
              <w:lang w:val="en-US"/>
            </w:rPr>
            <w:t>Proceedings of the 38</w:t>
          </w:r>
          <w:r w:rsidRPr="004578EE">
            <w:rPr>
              <w:rFonts w:ascii="Verdana" w:hAnsi="Verdana" w:cs="Times New Roman"/>
              <w:i/>
              <w:sz w:val="20"/>
              <w:szCs w:val="20"/>
              <w:vertAlign w:val="superscript"/>
              <w:lang w:val="en-US"/>
            </w:rPr>
            <w:t>th</w:t>
          </w:r>
          <w:r w:rsidRPr="004578EE">
            <w:rPr>
              <w:rFonts w:ascii="Verdana" w:hAnsi="Verdana" w:cs="Times New Roman"/>
              <w:i/>
              <w:sz w:val="20"/>
              <w:szCs w:val="20"/>
              <w:lang w:val="en-US"/>
            </w:rPr>
            <w:t xml:space="preserve"> Hawaii International Conference on System Sciences</w:t>
          </w:r>
          <w:r w:rsidR="00865C4F" w:rsidRPr="004578EE">
            <w:rPr>
              <w:rFonts w:ascii="Verdana" w:hAnsi="Verdana" w:cs="Times New Roman"/>
              <w:sz w:val="20"/>
              <w:szCs w:val="20"/>
              <w:lang w:val="en-US"/>
            </w:rPr>
            <w:t>,</w:t>
          </w:r>
          <w:r w:rsidRPr="004578EE">
            <w:rPr>
              <w:rFonts w:ascii="Verdana" w:hAnsi="Verdana" w:cs="Times New Roman"/>
              <w:sz w:val="20"/>
              <w:szCs w:val="20"/>
              <w:lang w:val="en-US"/>
            </w:rPr>
            <w:t xml:space="preserve"> 1-10.</w:t>
          </w:r>
        </w:p>
        <w:p w:rsidR="001106BD" w:rsidRPr="004578EE" w:rsidRDefault="001106BD" w:rsidP="004578EE">
          <w:pPr>
            <w:spacing w:line="360" w:lineRule="auto"/>
            <w:jc w:val="both"/>
            <w:rPr>
              <w:rFonts w:ascii="Verdana" w:hAnsi="Verdana" w:cs="Times New Roman"/>
              <w:sz w:val="20"/>
              <w:szCs w:val="20"/>
              <w:lang w:val="en-US"/>
            </w:rPr>
          </w:pPr>
          <w:r w:rsidRPr="00C40D1D">
            <w:rPr>
              <w:rFonts w:ascii="Verdana" w:hAnsi="Verdana" w:cs="Times New Roman"/>
              <w:sz w:val="20"/>
              <w:szCs w:val="20"/>
              <w:lang w:val="en-GB"/>
            </w:rPr>
            <w:t xml:space="preserve">Demchenko, Y., de Laat, C., Membrey, P.(2014). </w:t>
          </w:r>
          <w:r w:rsidRPr="004578EE">
            <w:rPr>
              <w:rFonts w:ascii="Verdana" w:hAnsi="Verdana" w:cs="Times New Roman"/>
              <w:sz w:val="20"/>
              <w:szCs w:val="20"/>
              <w:lang w:val="en-US"/>
            </w:rPr>
            <w:t xml:space="preserve">Defining architecture components of the Big Data Ecosystem. </w:t>
          </w:r>
          <w:r w:rsidRPr="004578EE">
            <w:rPr>
              <w:rFonts w:ascii="Verdana" w:hAnsi="Verdana" w:cs="Times New Roman"/>
              <w:i/>
              <w:iCs/>
              <w:sz w:val="20"/>
              <w:szCs w:val="20"/>
              <w:lang w:val="en-US"/>
            </w:rPr>
            <w:t>2014 International Conference on</w:t>
          </w:r>
          <w:r w:rsidRPr="004578EE">
            <w:rPr>
              <w:rFonts w:ascii="Verdana" w:hAnsi="Verdana" w:cs="Times New Roman"/>
              <w:i/>
              <w:sz w:val="20"/>
              <w:szCs w:val="20"/>
              <w:lang w:val="en-US"/>
            </w:rPr>
            <w:t xml:space="preserve"> </w:t>
          </w:r>
          <w:r w:rsidRPr="004578EE">
            <w:rPr>
              <w:rFonts w:ascii="Verdana" w:hAnsi="Verdana" w:cs="Times New Roman"/>
              <w:i/>
              <w:iCs/>
              <w:sz w:val="20"/>
              <w:szCs w:val="20"/>
              <w:lang w:val="en-US"/>
            </w:rPr>
            <w:t>Collaboration Technologies and Systems (CTS)</w:t>
          </w:r>
          <w:r w:rsidRPr="004578EE">
            <w:rPr>
              <w:rFonts w:ascii="Verdana" w:hAnsi="Verdana" w:cs="Times New Roman"/>
              <w:iCs/>
              <w:sz w:val="20"/>
              <w:szCs w:val="20"/>
              <w:lang w:val="en-US"/>
            </w:rPr>
            <w:t>,</w:t>
          </w:r>
          <w:r w:rsidRPr="004578EE">
            <w:rPr>
              <w:rFonts w:ascii="Verdana" w:hAnsi="Verdana" w:cs="Times New Roman"/>
              <w:sz w:val="20"/>
              <w:szCs w:val="20"/>
              <w:lang w:val="en-US"/>
            </w:rPr>
            <w:t xml:space="preserve">104-112. </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 xml:space="preserve">Dyché, J.(2011). A data governance primer. </w:t>
          </w:r>
          <w:r w:rsidRPr="004578EE">
            <w:rPr>
              <w:rFonts w:ascii="Verdana" w:hAnsi="Verdana" w:cs="Times New Roman"/>
              <w:i/>
              <w:sz w:val="20"/>
              <w:szCs w:val="20"/>
              <w:lang w:val="en-US"/>
            </w:rPr>
            <w:t>Baselinemag</w:t>
          </w:r>
          <w:r w:rsidRPr="004578EE">
            <w:rPr>
              <w:rFonts w:ascii="Verdana" w:hAnsi="Verdana" w:cs="Times New Roman"/>
              <w:sz w:val="20"/>
              <w:szCs w:val="20"/>
              <w:lang w:val="en-US"/>
            </w:rPr>
            <w:t>. 28-29.</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 xml:space="preserve">Ebner, K., Buhnen, T., </w:t>
          </w:r>
          <w:r w:rsidR="00865C4F" w:rsidRPr="004578EE">
            <w:rPr>
              <w:rFonts w:ascii="Verdana" w:hAnsi="Verdana" w:cs="Times New Roman"/>
              <w:sz w:val="20"/>
              <w:szCs w:val="20"/>
              <w:lang w:val="en-US"/>
            </w:rPr>
            <w:t xml:space="preserve">&amp; </w:t>
          </w:r>
          <w:r w:rsidRPr="004578EE">
            <w:rPr>
              <w:rFonts w:ascii="Verdana" w:hAnsi="Verdana" w:cs="Times New Roman"/>
              <w:sz w:val="20"/>
              <w:szCs w:val="20"/>
              <w:lang w:val="en-US"/>
            </w:rPr>
            <w:t>Urbach, N.(2014).Think Big with Big Data: Identifying Suitable Big Data Strateg</w:t>
          </w:r>
          <w:r w:rsidR="00865C4F" w:rsidRPr="004578EE">
            <w:rPr>
              <w:rFonts w:ascii="Verdana" w:hAnsi="Verdana" w:cs="Times New Roman"/>
              <w:sz w:val="20"/>
              <w:szCs w:val="20"/>
              <w:lang w:val="en-US"/>
            </w:rPr>
            <w:t xml:space="preserve">ies in Corporate Environments. </w:t>
          </w:r>
          <w:r w:rsidRPr="004578EE">
            <w:rPr>
              <w:rFonts w:ascii="Verdana" w:hAnsi="Verdana" w:cs="Times New Roman"/>
              <w:i/>
              <w:iCs/>
              <w:sz w:val="20"/>
              <w:szCs w:val="20"/>
              <w:lang w:val="en-US"/>
            </w:rPr>
            <w:t>47th Hawaii International Conference on</w:t>
          </w:r>
          <w:r w:rsidRPr="004578EE">
            <w:rPr>
              <w:rFonts w:ascii="Verdana" w:hAnsi="Verdana" w:cs="Times New Roman"/>
              <w:i/>
              <w:sz w:val="20"/>
              <w:szCs w:val="20"/>
              <w:lang w:val="en-US"/>
            </w:rPr>
            <w:t xml:space="preserve"> </w:t>
          </w:r>
          <w:r w:rsidRPr="004578EE">
            <w:rPr>
              <w:rFonts w:ascii="Verdana" w:hAnsi="Verdana" w:cs="Times New Roman"/>
              <w:i/>
              <w:iCs/>
              <w:sz w:val="20"/>
              <w:szCs w:val="20"/>
              <w:lang w:val="en-US"/>
            </w:rPr>
            <w:t>System Sciences (HICSS)</w:t>
          </w:r>
          <w:r w:rsidR="00865C4F" w:rsidRPr="004578EE">
            <w:rPr>
              <w:rFonts w:ascii="Verdana" w:hAnsi="Verdana" w:cs="Times New Roman"/>
              <w:iCs/>
              <w:sz w:val="20"/>
              <w:szCs w:val="20"/>
              <w:lang w:val="en-US"/>
            </w:rPr>
            <w:t>,</w:t>
          </w:r>
          <w:r w:rsidRPr="004578EE">
            <w:rPr>
              <w:rFonts w:ascii="Verdana" w:hAnsi="Verdana" w:cs="Times New Roman"/>
              <w:iCs/>
              <w:sz w:val="20"/>
              <w:szCs w:val="20"/>
              <w:lang w:val="en-US"/>
            </w:rPr>
            <w:t xml:space="preserve"> </w:t>
          </w:r>
          <w:r w:rsidRPr="004578EE">
            <w:rPr>
              <w:rFonts w:ascii="Verdana" w:hAnsi="Verdana" w:cs="Times New Roman"/>
              <w:sz w:val="20"/>
              <w:szCs w:val="20"/>
              <w:lang w:val="en-US"/>
            </w:rPr>
            <w:t>3748-3757.</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Esmaili, H., B., Gardesh, H.,Shadrokh Sikari, S.(2010). Strateg</w:t>
          </w:r>
          <w:r w:rsidR="00865C4F" w:rsidRPr="004578EE">
            <w:rPr>
              <w:rFonts w:ascii="Verdana" w:hAnsi="Verdana" w:cs="Times New Roman"/>
              <w:sz w:val="20"/>
              <w:szCs w:val="20"/>
              <w:lang w:val="en-US"/>
            </w:rPr>
            <w:t xml:space="preserve">ic alignment: ITIL perspective. </w:t>
          </w:r>
          <w:r w:rsidRPr="004578EE">
            <w:rPr>
              <w:rFonts w:ascii="Verdana" w:hAnsi="Verdana" w:cs="Times New Roman"/>
              <w:i/>
              <w:sz w:val="20"/>
              <w:szCs w:val="20"/>
              <w:lang w:val="en-US"/>
            </w:rPr>
            <w:t>2nd International Conference on Computer Technology and Development (ICCTD 2010)</w:t>
          </w:r>
          <w:r w:rsidR="00865C4F" w:rsidRPr="004578EE">
            <w:rPr>
              <w:rFonts w:ascii="Verdana" w:hAnsi="Verdana" w:cs="Times New Roman"/>
              <w:sz w:val="20"/>
              <w:szCs w:val="20"/>
              <w:lang w:val="en-US"/>
            </w:rPr>
            <w:t>,</w:t>
          </w:r>
          <w:r w:rsidRPr="004578EE">
            <w:rPr>
              <w:rFonts w:ascii="Verdana" w:hAnsi="Verdana" w:cs="Times New Roman"/>
              <w:sz w:val="20"/>
              <w:szCs w:val="20"/>
              <w:lang w:val="en-US"/>
            </w:rPr>
            <w:t xml:space="preserve"> 550-555.</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 xml:space="preserve">Facebook. (2008). </w:t>
          </w:r>
          <w:r w:rsidRPr="004578EE">
            <w:rPr>
              <w:rFonts w:ascii="Verdana" w:hAnsi="Verdana" w:cs="Times New Roman"/>
              <w:i/>
              <w:sz w:val="20"/>
              <w:szCs w:val="20"/>
              <w:lang w:val="en-US"/>
            </w:rPr>
            <w:t>Scribe makes its open source debut</w:t>
          </w:r>
          <w:r w:rsidRPr="004578EE">
            <w:rPr>
              <w:rFonts w:ascii="Verdana" w:hAnsi="Verdana" w:cs="Times New Roman"/>
              <w:sz w:val="20"/>
              <w:szCs w:val="20"/>
              <w:lang w:val="en-US"/>
            </w:rPr>
            <w:t xml:space="preserve">. Retrieved from </w:t>
          </w:r>
          <w:hyperlink r:id="rId41" w:history="1">
            <w:r w:rsidR="00865C4F" w:rsidRPr="004578EE">
              <w:rPr>
                <w:rStyle w:val="Hyperlink"/>
                <w:rFonts w:ascii="Verdana" w:hAnsi="Verdana" w:cs="Times New Roman"/>
                <w:sz w:val="20"/>
                <w:szCs w:val="20"/>
                <w:lang w:val="en-US"/>
              </w:rPr>
              <w:t>https://www.facebook.com/notes/facebook/scribe-makes-its-open-source-debut/35548642130</w:t>
            </w:r>
          </w:hyperlink>
          <w:r w:rsidR="00865C4F" w:rsidRPr="004578EE">
            <w:rPr>
              <w:rFonts w:ascii="Verdana" w:hAnsi="Verdana" w:cs="Times New Roman"/>
              <w:sz w:val="20"/>
              <w:szCs w:val="20"/>
              <w:lang w:val="en-US"/>
            </w:rPr>
            <w:t xml:space="preserve"> </w:t>
          </w:r>
        </w:p>
        <w:p w:rsidR="001106BD" w:rsidRPr="004578EE" w:rsidRDefault="001106BD" w:rsidP="004578EE">
          <w:pPr>
            <w:spacing w:line="360" w:lineRule="auto"/>
            <w:jc w:val="both"/>
            <w:rPr>
              <w:rFonts w:ascii="Verdana" w:eastAsia="Times New Roman" w:hAnsi="Verdana" w:cs="Times New Roman"/>
              <w:color w:val="000000"/>
              <w:sz w:val="20"/>
              <w:szCs w:val="20"/>
              <w:lang w:val="en-US" w:eastAsia="nl-BE"/>
            </w:rPr>
          </w:pPr>
          <w:r w:rsidRPr="004578EE">
            <w:rPr>
              <w:rFonts w:ascii="Verdana" w:eastAsia="Times New Roman" w:hAnsi="Verdana" w:cs="Times New Roman"/>
              <w:color w:val="000000"/>
              <w:sz w:val="20"/>
              <w:szCs w:val="20"/>
              <w:lang w:val="en-US" w:eastAsia="nl-BE"/>
            </w:rPr>
            <w:t xml:space="preserve">Fernandes, L., O’Connor, M. (2009). Data governance and data stewardship – Critical issues in the move towards EHRs and HIE. </w:t>
          </w:r>
          <w:r w:rsidRPr="004578EE">
            <w:rPr>
              <w:rFonts w:ascii="Verdana" w:eastAsia="Times New Roman" w:hAnsi="Verdana" w:cs="Times New Roman"/>
              <w:i/>
              <w:color w:val="000000"/>
              <w:sz w:val="20"/>
              <w:szCs w:val="20"/>
              <w:lang w:val="en-US" w:eastAsia="nl-BE"/>
            </w:rPr>
            <w:t>Journal of AHIMA (American Health Information Management Association)</w:t>
          </w:r>
          <w:r w:rsidR="00865C4F" w:rsidRPr="004578EE">
            <w:rPr>
              <w:rFonts w:ascii="Verdana" w:eastAsia="Times New Roman" w:hAnsi="Verdana" w:cs="Times New Roman"/>
              <w:color w:val="000000"/>
              <w:sz w:val="20"/>
              <w:szCs w:val="20"/>
              <w:lang w:val="en-US" w:eastAsia="nl-BE"/>
            </w:rPr>
            <w:t>,</w:t>
          </w:r>
          <w:r w:rsidRPr="004578EE">
            <w:rPr>
              <w:rFonts w:ascii="Verdana" w:eastAsia="Times New Roman" w:hAnsi="Verdana" w:cs="Times New Roman"/>
              <w:color w:val="000000"/>
              <w:sz w:val="20"/>
              <w:szCs w:val="20"/>
              <w:lang w:val="en-US" w:eastAsia="nl-BE"/>
            </w:rPr>
            <w:t xml:space="preserve"> 80(5), 9-36.</w:t>
          </w:r>
        </w:p>
        <w:p w:rsidR="001106BD" w:rsidRPr="004578EE" w:rsidRDefault="001106BD" w:rsidP="004578EE">
          <w:pPr>
            <w:spacing w:line="360" w:lineRule="auto"/>
            <w:jc w:val="both"/>
            <w:rPr>
              <w:rFonts w:ascii="Verdana" w:hAnsi="Verdana" w:cs="Times New Roman"/>
              <w:bCs/>
              <w:iCs/>
              <w:sz w:val="20"/>
              <w:szCs w:val="20"/>
              <w:lang w:val="en-GB"/>
            </w:rPr>
          </w:pPr>
          <w:r w:rsidRPr="00BC1F27">
            <w:rPr>
              <w:rFonts w:ascii="Verdana" w:hAnsi="Verdana" w:cs="Times New Roman"/>
              <w:bCs/>
              <w:iCs/>
              <w:sz w:val="20"/>
              <w:szCs w:val="20"/>
              <w:lang w:val="en-US"/>
            </w:rPr>
            <w:t xml:space="preserve">Finance Lab. </w:t>
          </w:r>
          <w:r w:rsidRPr="004578EE">
            <w:rPr>
              <w:rFonts w:ascii="Verdana" w:hAnsi="Verdana" w:cs="Times New Roman"/>
              <w:bCs/>
              <w:iCs/>
              <w:sz w:val="20"/>
              <w:szCs w:val="20"/>
            </w:rPr>
            <w:t xml:space="preserve">(2014). </w:t>
          </w:r>
          <w:r w:rsidRPr="004578EE">
            <w:rPr>
              <w:rFonts w:ascii="Verdana" w:hAnsi="Verdana" w:cs="Times New Roman"/>
              <w:bCs/>
              <w:i/>
              <w:iCs/>
              <w:sz w:val="20"/>
              <w:szCs w:val="20"/>
            </w:rPr>
            <w:t>Persoonlijke benadering klanten via big data bij ING</w:t>
          </w:r>
          <w:r w:rsidRPr="004578EE">
            <w:rPr>
              <w:rFonts w:ascii="Verdana" w:hAnsi="Verdana" w:cs="Times New Roman"/>
              <w:bCs/>
              <w:iCs/>
              <w:sz w:val="20"/>
              <w:szCs w:val="20"/>
            </w:rPr>
            <w:t xml:space="preserve">. </w:t>
          </w:r>
          <w:r w:rsidRPr="004578EE">
            <w:rPr>
              <w:rFonts w:ascii="Verdana" w:hAnsi="Verdana" w:cs="Times New Roman"/>
              <w:bCs/>
              <w:iCs/>
              <w:sz w:val="20"/>
              <w:szCs w:val="20"/>
              <w:lang w:val="en-GB"/>
            </w:rPr>
            <w:t xml:space="preserve">Retrieved from </w:t>
          </w:r>
          <w:hyperlink r:id="rId42" w:history="1">
            <w:r w:rsidR="00785A0F" w:rsidRPr="004578EE">
              <w:rPr>
                <w:rStyle w:val="Hyperlink"/>
                <w:rFonts w:ascii="Verdana" w:hAnsi="Verdana" w:cs="Times New Roman"/>
                <w:bCs/>
                <w:iCs/>
                <w:sz w:val="20"/>
                <w:szCs w:val="20"/>
                <w:lang w:val="en-GB"/>
              </w:rPr>
              <w:t>http://financelabblog.wordpress.com/2014/03/10/persoonlijke-benadering-klanten-via-big-data-bij-ing/</w:t>
            </w:r>
          </w:hyperlink>
          <w:r w:rsidR="00785A0F" w:rsidRPr="004578EE">
            <w:rPr>
              <w:rFonts w:ascii="Verdana" w:hAnsi="Verdana" w:cs="Times New Roman"/>
              <w:bCs/>
              <w:iCs/>
              <w:sz w:val="20"/>
              <w:szCs w:val="20"/>
              <w:lang w:val="en-GB"/>
            </w:rPr>
            <w:t xml:space="preserve"> </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 xml:space="preserve">Financial Stability Board and the International Monetary Fund. (2009) . </w:t>
          </w:r>
          <w:r w:rsidRPr="004578EE">
            <w:rPr>
              <w:rFonts w:ascii="Verdana" w:hAnsi="Verdana" w:cs="Times New Roman"/>
              <w:i/>
              <w:sz w:val="20"/>
              <w:szCs w:val="20"/>
              <w:lang w:val="en-US"/>
            </w:rPr>
            <w:t>The financial crisis and information gaps: report to the G-20 finance ministers and central bank governors</w:t>
          </w:r>
          <w:r w:rsidRPr="004578EE">
            <w:rPr>
              <w:rFonts w:ascii="Verdana" w:hAnsi="Verdana" w:cs="Times New Roman"/>
              <w:sz w:val="20"/>
              <w:szCs w:val="20"/>
              <w:lang w:val="en-US"/>
            </w:rPr>
            <w:t xml:space="preserve">. Retrieved from  </w:t>
          </w:r>
          <w:hyperlink r:id="rId43" w:history="1">
            <w:r w:rsidRPr="004578EE">
              <w:rPr>
                <w:rStyle w:val="Hyperlink"/>
                <w:rFonts w:ascii="Verdana" w:hAnsi="Verdana" w:cs="Times New Roman"/>
                <w:sz w:val="20"/>
                <w:szCs w:val="20"/>
                <w:lang w:val="en-US"/>
              </w:rPr>
              <w:t>http://www.financialstabilityboard.org/publications/r_091107e.pdf</w:t>
            </w:r>
          </w:hyperlink>
        </w:p>
        <w:p w:rsidR="001106BD" w:rsidRPr="00BC1F27" w:rsidRDefault="001106BD" w:rsidP="004578EE">
          <w:pPr>
            <w:spacing w:line="360" w:lineRule="auto"/>
            <w:jc w:val="both"/>
            <w:rPr>
              <w:rFonts w:ascii="Verdana" w:hAnsi="Verdana" w:cs="Times New Roman"/>
              <w:sz w:val="20"/>
              <w:szCs w:val="20"/>
              <w:lang w:val="de-DE"/>
            </w:rPr>
          </w:pPr>
          <w:r w:rsidRPr="004578EE">
            <w:rPr>
              <w:rFonts w:ascii="Verdana" w:hAnsi="Verdana" w:cs="Times New Roman"/>
              <w:sz w:val="20"/>
              <w:szCs w:val="20"/>
              <w:lang w:val="en-US"/>
            </w:rPr>
            <w:lastRenderedPageBreak/>
            <w:t>Flood, M., Mendelowitz, A., &amp; Nichols, B. (2012). Monitoring Financial stability in a complex world</w:t>
          </w:r>
          <w:r w:rsidR="00785A0F" w:rsidRPr="004578EE">
            <w:rPr>
              <w:rFonts w:ascii="Verdana" w:hAnsi="Verdana" w:cs="Times New Roman"/>
              <w:sz w:val="20"/>
              <w:szCs w:val="20"/>
              <w:lang w:val="en-US"/>
            </w:rPr>
            <w:t xml:space="preserve">. In V. Lemieux (Ed.), </w:t>
          </w:r>
          <w:r w:rsidRPr="004578EE">
            <w:rPr>
              <w:rFonts w:ascii="Verdana" w:hAnsi="Verdana" w:cs="Times New Roman"/>
              <w:i/>
              <w:sz w:val="20"/>
              <w:szCs w:val="20"/>
              <w:lang w:val="en-US"/>
            </w:rPr>
            <w:t>Financial Analysis and risk management: data governance, analytics and life cycle management</w:t>
          </w:r>
          <w:r w:rsidRPr="004578EE">
            <w:rPr>
              <w:rFonts w:ascii="Verdana" w:hAnsi="Verdana" w:cs="Times New Roman"/>
              <w:sz w:val="20"/>
              <w:szCs w:val="20"/>
              <w:lang w:val="en-US"/>
            </w:rPr>
            <w:t xml:space="preserve"> (pp. 15-47). </w:t>
          </w:r>
          <w:r w:rsidRPr="00BC1F27">
            <w:rPr>
              <w:rFonts w:ascii="Verdana" w:hAnsi="Verdana" w:cs="Times New Roman"/>
              <w:sz w:val="20"/>
              <w:szCs w:val="20"/>
              <w:lang w:val="de-DE"/>
            </w:rPr>
            <w:t>Frankfurt: Springer Berlin Heidelberg.</w:t>
          </w:r>
        </w:p>
        <w:p w:rsidR="001106BD" w:rsidRPr="004578EE" w:rsidRDefault="001106BD" w:rsidP="004578EE">
          <w:pPr>
            <w:spacing w:line="360" w:lineRule="auto"/>
            <w:jc w:val="both"/>
            <w:rPr>
              <w:rFonts w:ascii="Verdana" w:hAnsi="Verdana" w:cs="Times New Roman"/>
              <w:sz w:val="20"/>
              <w:szCs w:val="20"/>
              <w:lang w:val="en-US"/>
            </w:rPr>
          </w:pPr>
          <w:r w:rsidRPr="00BC1F27">
            <w:rPr>
              <w:rFonts w:ascii="Verdana" w:hAnsi="Verdana" w:cs="Times New Roman"/>
              <w:sz w:val="20"/>
              <w:szCs w:val="20"/>
              <w:lang w:val="de-DE"/>
            </w:rPr>
            <w:t xml:space="preserve">Georges, G., Haas, M., </w:t>
          </w:r>
          <w:r w:rsidR="00785A0F" w:rsidRPr="00BC1F27">
            <w:rPr>
              <w:rFonts w:ascii="Verdana" w:hAnsi="Verdana" w:cs="Times New Roman"/>
              <w:sz w:val="20"/>
              <w:szCs w:val="20"/>
              <w:lang w:val="de-DE"/>
            </w:rPr>
            <w:t xml:space="preserve">&amp; </w:t>
          </w:r>
          <w:r w:rsidRPr="00BC1F27">
            <w:rPr>
              <w:rFonts w:ascii="Verdana" w:hAnsi="Verdana" w:cs="Times New Roman"/>
              <w:sz w:val="20"/>
              <w:szCs w:val="20"/>
              <w:lang w:val="de-DE"/>
            </w:rPr>
            <w:t xml:space="preserve">Pentland, A. (2014). </w:t>
          </w:r>
          <w:r w:rsidRPr="004578EE">
            <w:rPr>
              <w:rFonts w:ascii="Verdana" w:hAnsi="Verdana" w:cs="Times New Roman"/>
              <w:sz w:val="20"/>
              <w:szCs w:val="20"/>
              <w:lang w:val="en-US"/>
            </w:rPr>
            <w:t xml:space="preserve">Big data and management. </w:t>
          </w:r>
          <w:r w:rsidRPr="004578EE">
            <w:rPr>
              <w:rFonts w:ascii="Verdana" w:hAnsi="Verdana" w:cs="Times New Roman"/>
              <w:i/>
              <w:sz w:val="20"/>
              <w:szCs w:val="20"/>
              <w:lang w:val="en-US"/>
            </w:rPr>
            <w:t>Academy of Management Journal</w:t>
          </w:r>
          <w:r w:rsidR="00785A0F" w:rsidRPr="004578EE">
            <w:rPr>
              <w:rFonts w:ascii="Verdana" w:hAnsi="Verdana" w:cs="Times New Roman"/>
              <w:sz w:val="20"/>
              <w:szCs w:val="20"/>
              <w:lang w:val="en-US"/>
            </w:rPr>
            <w:t xml:space="preserve">, </w:t>
          </w:r>
          <w:r w:rsidRPr="004578EE">
            <w:rPr>
              <w:rFonts w:ascii="Verdana" w:hAnsi="Verdana" w:cs="Times New Roman"/>
              <w:sz w:val="20"/>
              <w:szCs w:val="20"/>
              <w:lang w:val="en-US"/>
            </w:rPr>
            <w:t xml:space="preserve">52(2), 321-326. </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 xml:space="preserve">Ghemawat, S., Gobioff, H., </w:t>
          </w:r>
          <w:r w:rsidR="00785A0F" w:rsidRPr="004578EE">
            <w:rPr>
              <w:rFonts w:ascii="Verdana" w:hAnsi="Verdana" w:cs="Times New Roman"/>
              <w:sz w:val="20"/>
              <w:szCs w:val="20"/>
              <w:lang w:val="en-US"/>
            </w:rPr>
            <w:t xml:space="preserve">&amp; </w:t>
          </w:r>
          <w:r w:rsidRPr="004578EE">
            <w:rPr>
              <w:rFonts w:ascii="Verdana" w:hAnsi="Verdana" w:cs="Times New Roman"/>
              <w:sz w:val="20"/>
              <w:szCs w:val="20"/>
              <w:lang w:val="en-US"/>
            </w:rPr>
            <w:t xml:space="preserve">Leung, S-T. (2003). The Google File System. </w:t>
          </w:r>
          <w:r w:rsidRPr="004578EE">
            <w:rPr>
              <w:rFonts w:ascii="Verdana" w:hAnsi="Verdana" w:cs="Times New Roman"/>
              <w:i/>
              <w:sz w:val="20"/>
              <w:szCs w:val="20"/>
              <w:lang w:val="en-US"/>
            </w:rPr>
            <w:t>Proceedings of the nineteenth ACM Symposium on Operating Systems Principles</w:t>
          </w:r>
          <w:r w:rsidRPr="004578EE">
            <w:rPr>
              <w:rFonts w:ascii="Verdana" w:hAnsi="Verdana" w:cs="Times New Roman"/>
              <w:sz w:val="20"/>
              <w:szCs w:val="20"/>
              <w:lang w:val="en-US"/>
            </w:rPr>
            <w:t>,</w:t>
          </w:r>
          <w:r w:rsidR="00785A0F" w:rsidRPr="004578EE">
            <w:rPr>
              <w:rFonts w:ascii="Verdana" w:hAnsi="Verdana" w:cs="Times New Roman"/>
              <w:sz w:val="20"/>
              <w:szCs w:val="20"/>
              <w:lang w:val="en-US"/>
            </w:rPr>
            <w:t xml:space="preserve"> </w:t>
          </w:r>
          <w:r w:rsidRPr="004578EE">
            <w:rPr>
              <w:rFonts w:ascii="Verdana" w:hAnsi="Verdana" w:cs="Times New Roman"/>
              <w:sz w:val="20"/>
              <w:szCs w:val="20"/>
              <w:lang w:val="en-US"/>
            </w:rPr>
            <w:t>29</w:t>
          </w:r>
          <w:r w:rsidR="00785A0F" w:rsidRPr="004578EE">
            <w:rPr>
              <w:rFonts w:ascii="Verdana" w:hAnsi="Verdana" w:cs="Times New Roman"/>
              <w:sz w:val="20"/>
              <w:szCs w:val="20"/>
              <w:lang w:val="en-US"/>
            </w:rPr>
            <w:t>-.</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 xml:space="preserve">Griffin, J.(2010a). Four critical principles of data governance success. </w:t>
          </w:r>
          <w:r w:rsidRPr="004578EE">
            <w:rPr>
              <w:rFonts w:ascii="Verdana" w:hAnsi="Verdana" w:cs="Times New Roman"/>
              <w:i/>
              <w:sz w:val="20"/>
              <w:szCs w:val="20"/>
              <w:lang w:val="en-US"/>
            </w:rPr>
            <w:t>Information Management Journal</w:t>
          </w:r>
          <w:r w:rsidR="00785A0F" w:rsidRPr="004578EE">
            <w:rPr>
              <w:rFonts w:ascii="Verdana" w:hAnsi="Verdana" w:cs="Times New Roman"/>
              <w:sz w:val="20"/>
              <w:szCs w:val="20"/>
              <w:lang w:val="en-US"/>
            </w:rPr>
            <w:t>,</w:t>
          </w:r>
          <w:r w:rsidRPr="004578EE">
            <w:rPr>
              <w:rFonts w:ascii="Verdana" w:hAnsi="Verdana" w:cs="Times New Roman"/>
              <w:sz w:val="20"/>
              <w:szCs w:val="20"/>
              <w:lang w:val="en-US"/>
            </w:rPr>
            <w:t xml:space="preserve"> 29-30.</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 xml:space="preserve">Griffin, J.(2010b). Implementing a data governance initiative. </w:t>
          </w:r>
          <w:r w:rsidRPr="004578EE">
            <w:rPr>
              <w:rFonts w:ascii="Verdana" w:hAnsi="Verdana" w:cs="Times New Roman"/>
              <w:i/>
              <w:sz w:val="20"/>
              <w:szCs w:val="20"/>
              <w:lang w:val="en-US"/>
            </w:rPr>
            <w:t>Information Management Journal</w:t>
          </w:r>
          <w:r w:rsidR="00785A0F" w:rsidRPr="004578EE">
            <w:rPr>
              <w:rFonts w:ascii="Verdana" w:hAnsi="Verdana" w:cs="Times New Roman"/>
              <w:sz w:val="20"/>
              <w:szCs w:val="20"/>
              <w:lang w:val="en-US"/>
            </w:rPr>
            <w:t>,</w:t>
          </w:r>
          <w:r w:rsidRPr="004578EE">
            <w:rPr>
              <w:rFonts w:ascii="Verdana" w:hAnsi="Verdana" w:cs="Times New Roman"/>
              <w:sz w:val="20"/>
              <w:szCs w:val="20"/>
              <w:lang w:val="en-US"/>
            </w:rPr>
            <w:t xml:space="preserve"> 27-28.</w:t>
          </w:r>
        </w:p>
        <w:p w:rsidR="001106BD" w:rsidRPr="004578EE" w:rsidRDefault="007B6022" w:rsidP="004578EE">
          <w:pPr>
            <w:spacing w:line="360" w:lineRule="auto"/>
            <w:jc w:val="both"/>
            <w:rPr>
              <w:rFonts w:ascii="Verdana" w:eastAsia="Times New Roman" w:hAnsi="Verdana" w:cs="Times New Roman"/>
              <w:color w:val="000000"/>
              <w:sz w:val="20"/>
              <w:szCs w:val="20"/>
              <w:lang w:val="en-US" w:eastAsia="nl-BE"/>
            </w:rPr>
          </w:pPr>
          <w:r>
            <w:rPr>
              <w:rFonts w:ascii="Verdana" w:eastAsia="Times New Roman" w:hAnsi="Verdana" w:cs="Times New Roman"/>
              <w:color w:val="000000"/>
              <w:sz w:val="20"/>
              <w:szCs w:val="20"/>
              <w:lang w:val="en-US" w:eastAsia="nl-BE"/>
            </w:rPr>
            <w:t>Griffin, J</w:t>
          </w:r>
          <w:r w:rsidR="001106BD" w:rsidRPr="004578EE">
            <w:rPr>
              <w:rFonts w:ascii="Verdana" w:eastAsia="Times New Roman" w:hAnsi="Verdana" w:cs="Times New Roman"/>
              <w:color w:val="000000"/>
              <w:sz w:val="20"/>
              <w:szCs w:val="20"/>
              <w:lang w:val="en-US" w:eastAsia="nl-BE"/>
            </w:rPr>
            <w:t xml:space="preserve">.(2005). Data governance: a strategy for success, part 2. </w:t>
          </w:r>
          <w:r w:rsidR="001106BD" w:rsidRPr="004578EE">
            <w:rPr>
              <w:rFonts w:ascii="Verdana" w:eastAsia="Times New Roman" w:hAnsi="Verdana" w:cs="Times New Roman"/>
              <w:i/>
              <w:color w:val="000000"/>
              <w:sz w:val="20"/>
              <w:szCs w:val="20"/>
              <w:lang w:val="en-US" w:eastAsia="nl-BE"/>
            </w:rPr>
            <w:t>DM Review</w:t>
          </w:r>
          <w:r w:rsidR="001106BD" w:rsidRPr="004578EE">
            <w:rPr>
              <w:rFonts w:ascii="Verdana" w:eastAsia="Times New Roman" w:hAnsi="Verdana" w:cs="Times New Roman"/>
              <w:color w:val="000000"/>
              <w:sz w:val="20"/>
              <w:szCs w:val="20"/>
              <w:lang w:val="en-US" w:eastAsia="nl-BE"/>
            </w:rPr>
            <w:t>, 15(8), 15</w:t>
          </w:r>
          <w:r w:rsidR="00785A0F" w:rsidRPr="004578EE">
            <w:rPr>
              <w:rFonts w:ascii="Verdana" w:eastAsia="Times New Roman" w:hAnsi="Verdana" w:cs="Times New Roman"/>
              <w:color w:val="000000"/>
              <w:sz w:val="20"/>
              <w:szCs w:val="20"/>
              <w:lang w:val="en-US" w:eastAsia="nl-BE"/>
            </w:rPr>
            <w:t>-</w:t>
          </w:r>
          <w:r w:rsidR="001106BD" w:rsidRPr="004578EE">
            <w:rPr>
              <w:rFonts w:ascii="Verdana" w:eastAsia="Times New Roman" w:hAnsi="Verdana" w:cs="Times New Roman"/>
              <w:color w:val="000000"/>
              <w:sz w:val="20"/>
              <w:szCs w:val="20"/>
              <w:lang w:val="en-US" w:eastAsia="nl-BE"/>
            </w:rPr>
            <w:t>.</w:t>
          </w:r>
        </w:p>
        <w:p w:rsidR="001106BD" w:rsidRPr="004578EE" w:rsidRDefault="007B6022" w:rsidP="004578EE">
          <w:pPr>
            <w:spacing w:line="360" w:lineRule="auto"/>
            <w:jc w:val="both"/>
            <w:rPr>
              <w:rFonts w:ascii="Verdana" w:eastAsia="Times New Roman" w:hAnsi="Verdana" w:cs="Times New Roman"/>
              <w:color w:val="000000"/>
              <w:sz w:val="20"/>
              <w:szCs w:val="20"/>
              <w:lang w:val="en-US" w:eastAsia="nl-BE"/>
            </w:rPr>
          </w:pPr>
          <w:r>
            <w:rPr>
              <w:rFonts w:ascii="Verdana" w:eastAsia="Times New Roman" w:hAnsi="Verdana" w:cs="Times New Roman"/>
              <w:color w:val="000000"/>
              <w:sz w:val="20"/>
              <w:szCs w:val="20"/>
              <w:lang w:val="en-US" w:eastAsia="nl-BE"/>
            </w:rPr>
            <w:t>Griffin, J</w:t>
          </w:r>
          <w:r w:rsidR="001106BD" w:rsidRPr="004578EE">
            <w:rPr>
              <w:rFonts w:ascii="Verdana" w:eastAsia="Times New Roman" w:hAnsi="Verdana" w:cs="Times New Roman"/>
              <w:color w:val="000000"/>
              <w:sz w:val="20"/>
              <w:szCs w:val="20"/>
              <w:lang w:val="en-US" w:eastAsia="nl-BE"/>
            </w:rPr>
            <w:t xml:space="preserve">.(2008). Data governance: the key to enterprise data management. </w:t>
          </w:r>
          <w:r w:rsidR="001106BD" w:rsidRPr="004578EE">
            <w:rPr>
              <w:rFonts w:ascii="Verdana" w:eastAsia="Times New Roman" w:hAnsi="Verdana" w:cs="Times New Roman"/>
              <w:i/>
              <w:color w:val="000000"/>
              <w:sz w:val="20"/>
              <w:szCs w:val="20"/>
              <w:lang w:val="en-US" w:eastAsia="nl-BE"/>
            </w:rPr>
            <w:t>DM Review</w:t>
          </w:r>
          <w:r w:rsidR="001106BD" w:rsidRPr="004578EE">
            <w:rPr>
              <w:rFonts w:ascii="Verdana" w:eastAsia="Times New Roman" w:hAnsi="Verdana" w:cs="Times New Roman"/>
              <w:color w:val="000000"/>
              <w:sz w:val="20"/>
              <w:szCs w:val="20"/>
              <w:lang w:val="en-US" w:eastAsia="nl-BE"/>
            </w:rPr>
            <w:t>, 27</w:t>
          </w:r>
          <w:r w:rsidR="00785A0F" w:rsidRPr="004578EE">
            <w:rPr>
              <w:rFonts w:ascii="Verdana" w:eastAsia="Times New Roman" w:hAnsi="Verdana" w:cs="Times New Roman"/>
              <w:color w:val="000000"/>
              <w:sz w:val="20"/>
              <w:szCs w:val="20"/>
              <w:lang w:val="en-US" w:eastAsia="nl-BE"/>
            </w:rPr>
            <w:t>-</w:t>
          </w:r>
          <w:r w:rsidR="001106BD" w:rsidRPr="004578EE">
            <w:rPr>
              <w:rFonts w:ascii="Verdana" w:eastAsia="Times New Roman" w:hAnsi="Verdana" w:cs="Times New Roman"/>
              <w:color w:val="000000"/>
              <w:sz w:val="20"/>
              <w:szCs w:val="20"/>
              <w:lang w:val="en-US" w:eastAsia="nl-BE"/>
            </w:rPr>
            <w:t>.</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 xml:space="preserve">Hagmann, J.(2013). Information governance- beyond the buzz. </w:t>
          </w:r>
          <w:r w:rsidRPr="004578EE">
            <w:rPr>
              <w:rFonts w:ascii="Verdana" w:hAnsi="Verdana" w:cs="Times New Roman"/>
              <w:i/>
              <w:sz w:val="20"/>
              <w:szCs w:val="20"/>
              <w:lang w:val="en-US"/>
            </w:rPr>
            <w:t>Records Management</w:t>
          </w:r>
          <w:r w:rsidR="00785A0F" w:rsidRPr="004578EE">
            <w:rPr>
              <w:rFonts w:ascii="Verdana" w:hAnsi="Verdana" w:cs="Times New Roman"/>
              <w:sz w:val="20"/>
              <w:szCs w:val="20"/>
              <w:lang w:val="en-US"/>
            </w:rPr>
            <w:t>.</w:t>
          </w:r>
          <w:r w:rsidRPr="004578EE">
            <w:rPr>
              <w:rFonts w:ascii="Verdana" w:hAnsi="Verdana" w:cs="Times New Roman"/>
              <w:sz w:val="20"/>
              <w:szCs w:val="20"/>
              <w:lang w:val="en-US"/>
            </w:rPr>
            <w:t xml:space="preserve"> </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 xml:space="preserve">Hansmann, T., </w:t>
          </w:r>
          <w:r w:rsidR="00785A0F" w:rsidRPr="004578EE">
            <w:rPr>
              <w:rFonts w:ascii="Verdana" w:hAnsi="Verdana" w:cs="Times New Roman"/>
              <w:sz w:val="20"/>
              <w:szCs w:val="20"/>
              <w:lang w:val="en-US"/>
            </w:rPr>
            <w:t xml:space="preserve">&amp; </w:t>
          </w:r>
          <w:r w:rsidRPr="004578EE">
            <w:rPr>
              <w:rFonts w:ascii="Verdana" w:hAnsi="Verdana" w:cs="Times New Roman"/>
              <w:sz w:val="20"/>
              <w:szCs w:val="20"/>
              <w:lang w:val="en-US"/>
            </w:rPr>
            <w:t xml:space="preserve">Niemeyer, P.(2014). Big Data - Characterizing an Emerging Research Field Using Topic Models. </w:t>
          </w:r>
          <w:r w:rsidRPr="004578EE">
            <w:rPr>
              <w:rFonts w:ascii="Verdana" w:hAnsi="Verdana" w:cs="Times New Roman"/>
              <w:i/>
              <w:sz w:val="20"/>
              <w:szCs w:val="20"/>
              <w:lang w:val="en-US"/>
            </w:rPr>
            <w:t>IEEE/WIC/ACM International Joint Conferences on  Web Intelligence (WI) and Intel</w:t>
          </w:r>
          <w:r w:rsidR="00785A0F" w:rsidRPr="004578EE">
            <w:rPr>
              <w:rFonts w:ascii="Verdana" w:hAnsi="Verdana" w:cs="Times New Roman"/>
              <w:i/>
              <w:sz w:val="20"/>
              <w:szCs w:val="20"/>
              <w:lang w:val="en-US"/>
            </w:rPr>
            <w:t xml:space="preserve">ligent Agent Technologies (IAT), </w:t>
          </w:r>
          <w:r w:rsidRPr="004578EE">
            <w:rPr>
              <w:rFonts w:ascii="Verdana" w:hAnsi="Verdana" w:cs="Times New Roman"/>
              <w:sz w:val="20"/>
              <w:szCs w:val="20"/>
              <w:lang w:val="en-US"/>
            </w:rPr>
            <w:t xml:space="preserve">1, 43-51. </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 xml:space="preserve">Harris, J. (2012). </w:t>
          </w:r>
          <w:r w:rsidRPr="004578EE">
            <w:rPr>
              <w:rFonts w:ascii="Verdana" w:hAnsi="Verdana" w:cs="Times New Roman"/>
              <w:i/>
              <w:sz w:val="20"/>
              <w:szCs w:val="20"/>
              <w:lang w:val="en-US"/>
            </w:rPr>
            <w:t>Data Governance Frameworks are like Jigsaw Puzzles</w:t>
          </w:r>
          <w:r w:rsidRPr="004578EE">
            <w:rPr>
              <w:rFonts w:ascii="Verdana" w:hAnsi="Verdana" w:cs="Times New Roman"/>
              <w:sz w:val="20"/>
              <w:szCs w:val="20"/>
              <w:lang w:val="en-US"/>
            </w:rPr>
            <w:t xml:space="preserve">. Retrieved from </w:t>
          </w:r>
          <w:hyperlink r:id="rId44" w:history="1">
            <w:r w:rsidRPr="004578EE">
              <w:rPr>
                <w:rStyle w:val="Hyperlink"/>
                <w:rFonts w:ascii="Verdana" w:hAnsi="Verdana" w:cs="Times New Roman"/>
                <w:sz w:val="20"/>
                <w:szCs w:val="20"/>
                <w:lang w:val="en-US"/>
              </w:rPr>
              <w:t>http://www.ocdqblog.com/home/data-governance-frameworks-are-like-jigsaw-puzzles.html?rq=Scott%20Berkun</w:t>
            </w:r>
          </w:hyperlink>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 xml:space="preserve">Hay, J. (2014). Data governance gamification. </w:t>
          </w:r>
          <w:r w:rsidRPr="004578EE">
            <w:rPr>
              <w:rFonts w:ascii="Verdana" w:hAnsi="Verdana" w:cs="Times New Roman"/>
              <w:i/>
              <w:sz w:val="20"/>
              <w:szCs w:val="20"/>
              <w:lang w:val="en-US"/>
            </w:rPr>
            <w:t>Business Intelligence Journal</w:t>
          </w:r>
          <w:r w:rsidR="008A1055" w:rsidRPr="004578EE">
            <w:rPr>
              <w:rFonts w:ascii="Verdana" w:hAnsi="Verdana" w:cs="Times New Roman"/>
              <w:sz w:val="20"/>
              <w:szCs w:val="20"/>
              <w:lang w:val="en-US"/>
            </w:rPr>
            <w:t>,</w:t>
          </w:r>
          <w:r w:rsidRPr="004578EE">
            <w:rPr>
              <w:rFonts w:ascii="Verdana" w:hAnsi="Verdana" w:cs="Times New Roman"/>
              <w:sz w:val="20"/>
              <w:szCs w:val="20"/>
              <w:lang w:val="en-US"/>
            </w:rPr>
            <w:t xml:space="preserve"> 19(1), 30-35.</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 xml:space="preserve">Heier, H., Borgman, H.P., </w:t>
          </w:r>
          <w:r w:rsidR="008A1055" w:rsidRPr="004578EE">
            <w:rPr>
              <w:rFonts w:ascii="Verdana" w:hAnsi="Verdana" w:cs="Times New Roman"/>
              <w:sz w:val="20"/>
              <w:szCs w:val="20"/>
              <w:lang w:val="en-US"/>
            </w:rPr>
            <w:t xml:space="preserve">&amp; </w:t>
          </w:r>
          <w:r w:rsidRPr="004578EE">
            <w:rPr>
              <w:rFonts w:ascii="Verdana" w:hAnsi="Verdana" w:cs="Times New Roman"/>
              <w:sz w:val="20"/>
              <w:szCs w:val="20"/>
              <w:lang w:val="en-US"/>
            </w:rPr>
            <w:t xml:space="preserve">Mileos, C. (2009). Examining the Relationship between IT Governance Software, Processes, and Business Value: A Quantitative Research Approach. </w:t>
          </w:r>
          <w:r w:rsidRPr="004578EE">
            <w:rPr>
              <w:rFonts w:ascii="Verdana" w:hAnsi="Verdana" w:cs="Times New Roman"/>
              <w:i/>
              <w:sz w:val="20"/>
              <w:szCs w:val="20"/>
              <w:lang w:val="en-US"/>
            </w:rPr>
            <w:t>Proceedings of the 42nd Hawaii Internationa</w:t>
          </w:r>
          <w:r w:rsidR="008A1055" w:rsidRPr="004578EE">
            <w:rPr>
              <w:rFonts w:ascii="Verdana" w:hAnsi="Verdana" w:cs="Times New Roman"/>
              <w:i/>
              <w:sz w:val="20"/>
              <w:szCs w:val="20"/>
              <w:lang w:val="en-US"/>
            </w:rPr>
            <w:t>l Conference on System Sciences</w:t>
          </w:r>
          <w:r w:rsidR="008A1055" w:rsidRPr="004578EE">
            <w:rPr>
              <w:rFonts w:ascii="Verdana" w:hAnsi="Verdana" w:cs="Times New Roman"/>
              <w:sz w:val="20"/>
              <w:szCs w:val="20"/>
              <w:lang w:val="en-US"/>
            </w:rPr>
            <w:t>,</w:t>
          </w:r>
          <w:r w:rsidRPr="004578EE">
            <w:rPr>
              <w:rFonts w:ascii="Verdana" w:hAnsi="Verdana" w:cs="Times New Roman"/>
              <w:sz w:val="20"/>
              <w:szCs w:val="20"/>
              <w:lang w:val="en-US"/>
            </w:rPr>
            <w:t xml:space="preserve"> 1-11.</w:t>
          </w:r>
        </w:p>
        <w:p w:rsidR="001106BD" w:rsidRPr="004578EE" w:rsidRDefault="001106BD" w:rsidP="004578EE">
          <w:pPr>
            <w:spacing w:line="360" w:lineRule="auto"/>
            <w:jc w:val="both"/>
            <w:rPr>
              <w:rFonts w:ascii="Verdana" w:hAnsi="Verdana" w:cs="Times New Roman"/>
              <w:sz w:val="20"/>
              <w:szCs w:val="20"/>
              <w:lang w:val="en-US"/>
            </w:rPr>
          </w:pPr>
          <w:r w:rsidRPr="00753959">
            <w:rPr>
              <w:rFonts w:ascii="Verdana" w:hAnsi="Verdana" w:cs="Times New Roman"/>
              <w:sz w:val="20"/>
              <w:szCs w:val="20"/>
              <w:lang w:val="fr-BE"/>
            </w:rPr>
            <w:t xml:space="preserve">Henserson, J.C, </w:t>
          </w:r>
          <w:r w:rsidR="008A1055" w:rsidRPr="00753959">
            <w:rPr>
              <w:rFonts w:ascii="Verdana" w:hAnsi="Verdana" w:cs="Times New Roman"/>
              <w:sz w:val="20"/>
              <w:szCs w:val="20"/>
              <w:lang w:val="fr-BE"/>
            </w:rPr>
            <w:t xml:space="preserve">&amp; </w:t>
          </w:r>
          <w:r w:rsidRPr="00753959">
            <w:rPr>
              <w:rFonts w:ascii="Verdana" w:hAnsi="Verdana" w:cs="Times New Roman"/>
              <w:sz w:val="20"/>
              <w:szCs w:val="20"/>
              <w:lang w:val="fr-BE"/>
            </w:rPr>
            <w:t xml:space="preserve">Venatraman, N. (1993). </w:t>
          </w:r>
          <w:r w:rsidRPr="004578EE">
            <w:rPr>
              <w:rFonts w:ascii="Verdana" w:hAnsi="Verdana" w:cs="Times New Roman"/>
              <w:sz w:val="20"/>
              <w:szCs w:val="20"/>
              <w:lang w:val="en-US"/>
            </w:rPr>
            <w:t xml:space="preserve">Strategic alignment : leveraging Information Technology for transforming organizations. </w:t>
          </w:r>
          <w:r w:rsidRPr="004578EE">
            <w:rPr>
              <w:rFonts w:ascii="Verdana" w:hAnsi="Verdana" w:cs="Times New Roman"/>
              <w:i/>
              <w:sz w:val="20"/>
              <w:szCs w:val="20"/>
              <w:lang w:val="en-US"/>
            </w:rPr>
            <w:t>IBM Systems Journal</w:t>
          </w:r>
          <w:r w:rsidR="008A1055" w:rsidRPr="004578EE">
            <w:rPr>
              <w:rFonts w:ascii="Verdana" w:hAnsi="Verdana" w:cs="Times New Roman"/>
              <w:sz w:val="20"/>
              <w:szCs w:val="20"/>
              <w:lang w:val="en-US"/>
            </w:rPr>
            <w:t>,  32(1),</w:t>
          </w:r>
          <w:r w:rsidRPr="004578EE">
            <w:rPr>
              <w:rFonts w:ascii="Verdana" w:hAnsi="Verdana" w:cs="Times New Roman"/>
              <w:sz w:val="20"/>
              <w:szCs w:val="20"/>
              <w:lang w:val="en-US"/>
            </w:rPr>
            <w:t xml:space="preserve"> 472-484. </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lastRenderedPageBreak/>
            <w:t xml:space="preserve">Hu, H., Wen, Y., Chua, T-S., Li,X. (2014). Toward Scalable Systems for Big Data Analytics: A Technology Tutorial. </w:t>
          </w:r>
          <w:r w:rsidRPr="004578EE">
            <w:rPr>
              <w:rFonts w:ascii="Verdana" w:hAnsi="Verdana" w:cs="Times New Roman"/>
              <w:iCs/>
              <w:sz w:val="20"/>
              <w:szCs w:val="20"/>
              <w:lang w:val="en-US"/>
            </w:rPr>
            <w:t xml:space="preserve">Access, </w:t>
          </w:r>
          <w:r w:rsidRPr="004578EE">
            <w:rPr>
              <w:rFonts w:ascii="Verdana" w:hAnsi="Verdana" w:cs="Times New Roman"/>
              <w:i/>
              <w:iCs/>
              <w:sz w:val="20"/>
              <w:szCs w:val="20"/>
              <w:lang w:val="en-US"/>
            </w:rPr>
            <w:t>IEEE</w:t>
          </w:r>
          <w:r w:rsidR="008A1055" w:rsidRPr="004578EE">
            <w:rPr>
              <w:rFonts w:ascii="Verdana" w:hAnsi="Verdana" w:cs="Times New Roman"/>
              <w:sz w:val="20"/>
              <w:szCs w:val="20"/>
              <w:lang w:val="en-US"/>
            </w:rPr>
            <w:t xml:space="preserve">, </w:t>
          </w:r>
          <w:r w:rsidRPr="004578EE">
            <w:rPr>
              <w:rFonts w:ascii="Verdana" w:hAnsi="Verdana" w:cs="Times New Roman"/>
              <w:sz w:val="20"/>
              <w:szCs w:val="20"/>
              <w:lang w:val="en-US"/>
            </w:rPr>
            <w:t>2, 652-687</w:t>
          </w:r>
          <w:r w:rsidR="00A834A4">
            <w:rPr>
              <w:rFonts w:ascii="Verdana" w:hAnsi="Verdana" w:cs="Times New Roman"/>
              <w:sz w:val="20"/>
              <w:szCs w:val="20"/>
              <w:lang w:val="en-US"/>
            </w:rPr>
            <w:t>.</w:t>
          </w:r>
        </w:p>
        <w:p w:rsidR="001106BD" w:rsidRPr="00BC1F27"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 xml:space="preserve">Humphrey, W.S. (1988). Characterizing the software process: a maturity framework. </w:t>
          </w:r>
          <w:r w:rsidRPr="00BC1F27">
            <w:rPr>
              <w:rFonts w:ascii="Verdana" w:hAnsi="Verdana" w:cs="Times New Roman"/>
              <w:sz w:val="20"/>
              <w:szCs w:val="20"/>
              <w:lang w:val="en-US"/>
            </w:rPr>
            <w:t xml:space="preserve">Software, </w:t>
          </w:r>
          <w:r w:rsidRPr="00BC1F27">
            <w:rPr>
              <w:rFonts w:ascii="Verdana" w:hAnsi="Verdana" w:cs="Times New Roman"/>
              <w:i/>
              <w:sz w:val="20"/>
              <w:szCs w:val="20"/>
              <w:lang w:val="en-US"/>
            </w:rPr>
            <w:t>IEEE</w:t>
          </w:r>
          <w:r w:rsidR="008A1055" w:rsidRPr="00BC1F27">
            <w:rPr>
              <w:rFonts w:ascii="Verdana" w:hAnsi="Verdana" w:cs="Times New Roman"/>
              <w:sz w:val="20"/>
              <w:szCs w:val="20"/>
              <w:lang w:val="en-US"/>
            </w:rPr>
            <w:t>,</w:t>
          </w:r>
          <w:r w:rsidRPr="00BC1F27">
            <w:rPr>
              <w:rFonts w:ascii="Verdana" w:hAnsi="Verdana" w:cs="Times New Roman"/>
              <w:sz w:val="20"/>
              <w:szCs w:val="20"/>
              <w:lang w:val="en-US"/>
            </w:rPr>
            <w:t xml:space="preserve"> 5(2), 73-79. </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 xml:space="preserve">IBM (2014). </w:t>
          </w:r>
          <w:r w:rsidRPr="004578EE">
            <w:rPr>
              <w:rFonts w:ascii="Verdana" w:hAnsi="Verdana" w:cs="Times New Roman"/>
              <w:i/>
              <w:sz w:val="20"/>
              <w:szCs w:val="20"/>
              <w:lang w:val="en-US"/>
            </w:rPr>
            <w:t>The 5 game changing big data use cases</w:t>
          </w:r>
          <w:r w:rsidRPr="004578EE">
            <w:rPr>
              <w:rFonts w:ascii="Verdana" w:hAnsi="Verdana" w:cs="Times New Roman"/>
              <w:sz w:val="20"/>
              <w:szCs w:val="20"/>
              <w:lang w:val="en-US"/>
            </w:rPr>
            <w:t xml:space="preserve">. Retrieved from </w:t>
          </w:r>
          <w:hyperlink r:id="rId45" w:history="1">
            <w:r w:rsidR="008A1055" w:rsidRPr="004578EE">
              <w:rPr>
                <w:rStyle w:val="Hyperlink"/>
                <w:rFonts w:ascii="Verdana" w:hAnsi="Verdana" w:cs="Times New Roman"/>
                <w:sz w:val="20"/>
                <w:szCs w:val="20"/>
                <w:lang w:val="en-US"/>
              </w:rPr>
              <w:t>http://www-01.ibm.com/software/data/bigdata/use-cases.html</w:t>
            </w:r>
          </w:hyperlink>
          <w:r w:rsidR="008A1055" w:rsidRPr="004578EE">
            <w:rPr>
              <w:rFonts w:ascii="Verdana" w:hAnsi="Verdana" w:cs="Times New Roman"/>
              <w:sz w:val="20"/>
              <w:szCs w:val="20"/>
              <w:lang w:val="en-US"/>
            </w:rPr>
            <w:t xml:space="preserve"> </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 xml:space="preserve">IBM. (2007). Building a roadmap for effective data governance. </w:t>
          </w:r>
          <w:r w:rsidRPr="004578EE">
            <w:rPr>
              <w:rFonts w:ascii="Verdana" w:hAnsi="Verdana" w:cs="Times New Roman"/>
              <w:i/>
              <w:sz w:val="20"/>
              <w:szCs w:val="20"/>
              <w:lang w:val="en-US"/>
            </w:rPr>
            <w:t>IBM Data Governance Council Maturity Model</w:t>
          </w:r>
          <w:r w:rsidRPr="004578EE">
            <w:rPr>
              <w:rFonts w:ascii="Verdana" w:hAnsi="Verdana" w:cs="Times New Roman"/>
              <w:sz w:val="20"/>
              <w:szCs w:val="20"/>
              <w:lang w:val="en-US"/>
            </w:rPr>
            <w:t xml:space="preserve">. </w:t>
          </w:r>
        </w:p>
        <w:p w:rsidR="001106BD" w:rsidRPr="004578EE" w:rsidRDefault="001106BD" w:rsidP="004578EE">
          <w:pPr>
            <w:spacing w:line="360" w:lineRule="auto"/>
            <w:jc w:val="both"/>
            <w:rPr>
              <w:rStyle w:val="Hyperlink"/>
              <w:rFonts w:ascii="Verdana" w:hAnsi="Verdana" w:cs="Times New Roman"/>
              <w:sz w:val="20"/>
              <w:szCs w:val="20"/>
              <w:lang w:val="en-US"/>
            </w:rPr>
          </w:pPr>
          <w:r w:rsidRPr="004578EE">
            <w:rPr>
              <w:rFonts w:ascii="Verdana" w:hAnsi="Verdana" w:cs="Times New Roman"/>
              <w:sz w:val="20"/>
              <w:szCs w:val="20"/>
              <w:lang w:val="en-US"/>
            </w:rPr>
            <w:t xml:space="preserve">IBM. (2014) </w:t>
          </w:r>
          <w:r w:rsidRPr="004578EE">
            <w:rPr>
              <w:rFonts w:ascii="Verdana" w:hAnsi="Verdana" w:cs="Times New Roman"/>
              <w:i/>
              <w:sz w:val="20"/>
              <w:szCs w:val="20"/>
              <w:lang w:val="en-US"/>
            </w:rPr>
            <w:t>Information Governance Principles and practices for Big Data landscape</w:t>
          </w:r>
          <w:r w:rsidRPr="004578EE">
            <w:rPr>
              <w:rFonts w:ascii="Verdana" w:hAnsi="Verdana" w:cs="Times New Roman"/>
              <w:sz w:val="20"/>
              <w:szCs w:val="20"/>
              <w:lang w:val="en-US"/>
            </w:rPr>
            <w:t xml:space="preserve">. Retrieved from </w:t>
          </w:r>
          <w:hyperlink r:id="rId46" w:history="1">
            <w:r w:rsidRPr="004578EE">
              <w:rPr>
                <w:rStyle w:val="Hyperlink"/>
                <w:rFonts w:ascii="Verdana" w:hAnsi="Verdana" w:cs="Times New Roman"/>
                <w:sz w:val="20"/>
                <w:szCs w:val="20"/>
                <w:lang w:val="en-US"/>
              </w:rPr>
              <w:t>http://www.redbooks.ibm.com/abstracts/sg248165.html?Open</w:t>
            </w:r>
          </w:hyperlink>
        </w:p>
        <w:p w:rsidR="004578EE" w:rsidRPr="004578EE" w:rsidRDefault="004578EE" w:rsidP="004578EE">
          <w:pPr>
            <w:spacing w:line="360" w:lineRule="auto"/>
            <w:rPr>
              <w:rStyle w:val="Hyperlink"/>
              <w:rFonts w:ascii="Verdana" w:hAnsi="Verdana" w:cs="Times New Roman"/>
              <w:color w:val="auto"/>
              <w:sz w:val="20"/>
              <w:szCs w:val="20"/>
              <w:u w:val="none"/>
              <w:lang w:val="en-US"/>
            </w:rPr>
          </w:pPr>
          <w:r w:rsidRPr="004578EE">
            <w:rPr>
              <w:rStyle w:val="Hyperlink"/>
              <w:rFonts w:ascii="Verdana" w:hAnsi="Verdana" w:cs="Times New Roman"/>
              <w:color w:val="auto"/>
              <w:sz w:val="20"/>
              <w:szCs w:val="20"/>
              <w:u w:val="none"/>
              <w:lang w:val="en-US"/>
            </w:rPr>
            <w:t xml:space="preserve">Isaca. (2012). </w:t>
          </w:r>
          <w:r w:rsidRPr="004578EE">
            <w:rPr>
              <w:rStyle w:val="Hyperlink"/>
              <w:rFonts w:ascii="Verdana" w:hAnsi="Verdana" w:cs="Times New Roman"/>
              <w:i/>
              <w:color w:val="auto"/>
              <w:sz w:val="20"/>
              <w:szCs w:val="20"/>
              <w:u w:val="none"/>
              <w:lang w:val="en-US"/>
            </w:rPr>
            <w:t>COBIT 5</w:t>
          </w:r>
          <w:r w:rsidRPr="004578EE">
            <w:rPr>
              <w:rStyle w:val="Hyperlink"/>
              <w:rFonts w:ascii="Verdana" w:hAnsi="Verdana" w:cs="Times New Roman"/>
              <w:color w:val="auto"/>
              <w:sz w:val="20"/>
              <w:szCs w:val="20"/>
              <w:u w:val="none"/>
              <w:lang w:val="en-US"/>
            </w:rPr>
            <w:t xml:space="preserve">. Retrieved from  </w:t>
          </w:r>
          <w:hyperlink r:id="rId47" w:history="1">
            <w:r w:rsidRPr="00D965BB">
              <w:rPr>
                <w:rStyle w:val="Hyperlink"/>
                <w:rFonts w:ascii="Verdana" w:hAnsi="Verdana" w:cs="Times New Roman"/>
                <w:sz w:val="20"/>
                <w:szCs w:val="20"/>
                <w:lang w:val="en-US"/>
              </w:rPr>
              <w:t>http://www.isaca.org/chapters2/New-York-Metropolitan/membership/Documents/2012-04-30%20Spring%20Conference-Meeting/3%20Barnier%20VBA%20COBIT5.pdf</w:t>
            </w:r>
          </w:hyperlink>
          <w:r>
            <w:rPr>
              <w:rStyle w:val="Hyperlink"/>
              <w:rFonts w:ascii="Verdana" w:hAnsi="Verdana" w:cs="Times New Roman"/>
              <w:color w:val="auto"/>
              <w:sz w:val="20"/>
              <w:szCs w:val="20"/>
              <w:u w:val="none"/>
              <w:lang w:val="en-US"/>
            </w:rPr>
            <w:t xml:space="preserve"> </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 xml:space="preserve">Katal, A., Wazid, M., </w:t>
          </w:r>
          <w:r w:rsidR="004578EE">
            <w:rPr>
              <w:rFonts w:ascii="Verdana" w:hAnsi="Verdana" w:cs="Times New Roman"/>
              <w:sz w:val="20"/>
              <w:szCs w:val="20"/>
              <w:lang w:val="en-US"/>
            </w:rPr>
            <w:t xml:space="preserve">&amp; </w:t>
          </w:r>
          <w:r w:rsidRPr="004578EE">
            <w:rPr>
              <w:rFonts w:ascii="Verdana" w:hAnsi="Verdana" w:cs="Times New Roman"/>
              <w:sz w:val="20"/>
              <w:szCs w:val="20"/>
              <w:lang w:val="en-US"/>
            </w:rPr>
            <w:t xml:space="preserve">Goudar, R.H.(2013).Big data: Issues, challenges, tools and Good practices. </w:t>
          </w:r>
          <w:r w:rsidRPr="004578EE">
            <w:rPr>
              <w:rFonts w:ascii="Verdana" w:hAnsi="Verdana" w:cs="Times New Roman"/>
              <w:i/>
              <w:iCs/>
              <w:sz w:val="20"/>
              <w:szCs w:val="20"/>
              <w:lang w:val="en-US"/>
            </w:rPr>
            <w:t>Sixth International Conference on</w:t>
          </w:r>
          <w:r w:rsidRPr="004578EE">
            <w:rPr>
              <w:rFonts w:ascii="Verdana" w:hAnsi="Verdana" w:cs="Times New Roman"/>
              <w:i/>
              <w:sz w:val="20"/>
              <w:szCs w:val="20"/>
              <w:lang w:val="en-US"/>
            </w:rPr>
            <w:t xml:space="preserve"> </w:t>
          </w:r>
          <w:r w:rsidRPr="004578EE">
            <w:rPr>
              <w:rFonts w:ascii="Verdana" w:hAnsi="Verdana" w:cs="Times New Roman"/>
              <w:i/>
              <w:iCs/>
              <w:sz w:val="20"/>
              <w:szCs w:val="20"/>
              <w:lang w:val="en-US"/>
            </w:rPr>
            <w:t>Contemporary Computing (IC3)</w:t>
          </w:r>
          <w:r w:rsidR="004578EE">
            <w:rPr>
              <w:rFonts w:ascii="Verdana" w:hAnsi="Verdana" w:cs="Times New Roman"/>
              <w:iCs/>
              <w:sz w:val="20"/>
              <w:szCs w:val="20"/>
              <w:lang w:val="en-US"/>
            </w:rPr>
            <w:t xml:space="preserve">, </w:t>
          </w:r>
          <w:r w:rsidRPr="004578EE">
            <w:rPr>
              <w:rFonts w:ascii="Verdana" w:hAnsi="Verdana" w:cs="Times New Roman"/>
              <w:sz w:val="20"/>
              <w:szCs w:val="20"/>
              <w:lang w:val="en-US"/>
            </w:rPr>
            <w:t>404-409.</w:t>
          </w:r>
        </w:p>
        <w:p w:rsidR="001106BD" w:rsidRPr="004578EE" w:rsidRDefault="001106BD" w:rsidP="004578EE">
          <w:pPr>
            <w:spacing w:line="360" w:lineRule="auto"/>
            <w:jc w:val="both"/>
            <w:rPr>
              <w:rFonts w:ascii="Verdana" w:eastAsia="Times New Roman" w:hAnsi="Verdana" w:cs="Times New Roman"/>
              <w:color w:val="000000"/>
              <w:sz w:val="20"/>
              <w:szCs w:val="20"/>
              <w:lang w:val="en-US" w:eastAsia="nl-BE"/>
            </w:rPr>
          </w:pPr>
          <w:r w:rsidRPr="004578EE">
            <w:rPr>
              <w:rFonts w:ascii="Verdana" w:eastAsia="Times New Roman" w:hAnsi="Verdana" w:cs="Times New Roman"/>
              <w:color w:val="000000"/>
              <w:sz w:val="20"/>
              <w:szCs w:val="20"/>
              <w:lang w:val="en-US" w:eastAsia="nl-BE"/>
            </w:rPr>
            <w:t xml:space="preserve">Khatri, V., &amp; V. Brown, C. (2010). Designing Data Governance. </w:t>
          </w:r>
          <w:r w:rsidRPr="004578EE">
            <w:rPr>
              <w:rFonts w:ascii="Verdana" w:eastAsia="Times New Roman" w:hAnsi="Verdana" w:cs="Times New Roman"/>
              <w:i/>
              <w:color w:val="000000"/>
              <w:sz w:val="20"/>
              <w:szCs w:val="20"/>
              <w:lang w:val="en-US" w:eastAsia="nl-BE"/>
            </w:rPr>
            <w:t>Communications of the ACM</w:t>
          </w:r>
          <w:r w:rsidRPr="004578EE">
            <w:rPr>
              <w:rFonts w:ascii="Verdana" w:eastAsia="Times New Roman" w:hAnsi="Verdana" w:cs="Times New Roman"/>
              <w:color w:val="000000"/>
              <w:sz w:val="20"/>
              <w:szCs w:val="20"/>
              <w:lang w:val="en-US" w:eastAsia="nl-BE"/>
            </w:rPr>
            <w:t>, 53(1), 148.</w:t>
          </w:r>
        </w:p>
        <w:p w:rsidR="001106BD" w:rsidRDefault="001106BD" w:rsidP="004578EE">
          <w:pPr>
            <w:autoSpaceDE w:val="0"/>
            <w:autoSpaceDN w:val="0"/>
            <w:adjustRightInd w:val="0"/>
            <w:spacing w:after="0" w:line="360" w:lineRule="auto"/>
            <w:jc w:val="both"/>
            <w:rPr>
              <w:rFonts w:ascii="Verdana" w:hAnsi="Verdana" w:cs="Times New Roman"/>
              <w:color w:val="000000"/>
              <w:sz w:val="20"/>
              <w:szCs w:val="20"/>
              <w:lang w:val="en-US"/>
            </w:rPr>
          </w:pPr>
          <w:r w:rsidRPr="004578EE">
            <w:rPr>
              <w:rFonts w:ascii="Verdana" w:hAnsi="Verdana" w:cs="Times New Roman"/>
              <w:color w:val="000000"/>
              <w:sz w:val="20"/>
              <w:szCs w:val="20"/>
              <w:lang w:val="en-US"/>
            </w:rPr>
            <w:t xml:space="preserve">Kindler, T. (2013). </w:t>
          </w:r>
          <w:r w:rsidRPr="004578EE">
            <w:rPr>
              <w:rFonts w:ascii="Verdana" w:hAnsi="Verdana" w:cs="Times New Roman"/>
              <w:i/>
              <w:color w:val="000000"/>
              <w:sz w:val="20"/>
              <w:szCs w:val="20"/>
              <w:lang w:val="en-US"/>
            </w:rPr>
            <w:t>The road to Basel III: how financial institutions can meet new data-management challenges</w:t>
          </w:r>
          <w:r w:rsidRPr="004578EE">
            <w:rPr>
              <w:rFonts w:ascii="Verdana" w:hAnsi="Verdana" w:cs="Times New Roman"/>
              <w:color w:val="000000"/>
              <w:sz w:val="20"/>
              <w:szCs w:val="20"/>
              <w:lang w:val="en-US"/>
            </w:rPr>
            <w:t xml:space="preserve">. USA : Teradata Corporation. </w:t>
          </w:r>
        </w:p>
        <w:p w:rsidR="004578EE" w:rsidRPr="004578EE" w:rsidRDefault="004578EE" w:rsidP="004578EE">
          <w:pPr>
            <w:autoSpaceDE w:val="0"/>
            <w:autoSpaceDN w:val="0"/>
            <w:adjustRightInd w:val="0"/>
            <w:spacing w:after="0" w:line="360" w:lineRule="auto"/>
            <w:jc w:val="both"/>
            <w:rPr>
              <w:rFonts w:ascii="Verdana" w:hAnsi="Verdana" w:cs="Times New Roman"/>
              <w:color w:val="000000"/>
              <w:sz w:val="20"/>
              <w:szCs w:val="20"/>
              <w:lang w:val="en-US"/>
            </w:rPr>
          </w:pP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 xml:space="preserve">Krishnan, K.(2013). </w:t>
          </w:r>
          <w:r w:rsidRPr="004578EE">
            <w:rPr>
              <w:rFonts w:ascii="Verdana" w:hAnsi="Verdana" w:cs="Times New Roman"/>
              <w:i/>
              <w:sz w:val="20"/>
              <w:szCs w:val="20"/>
              <w:lang w:val="en-US"/>
            </w:rPr>
            <w:t>Data warehousing in the age of big data</w:t>
          </w:r>
          <w:r w:rsidRPr="004578EE">
            <w:rPr>
              <w:rFonts w:ascii="Verdana" w:hAnsi="Verdana" w:cs="Times New Roman"/>
              <w:sz w:val="20"/>
              <w:szCs w:val="20"/>
              <w:lang w:val="en-US"/>
            </w:rPr>
            <w:t xml:space="preserve">. Chicago, Illinois: Morgan Kaufmann. </w:t>
          </w:r>
        </w:p>
        <w:p w:rsidR="001106BD" w:rsidRPr="004578EE" w:rsidRDefault="004578EE" w:rsidP="004578EE">
          <w:pPr>
            <w:spacing w:line="360" w:lineRule="auto"/>
            <w:jc w:val="both"/>
            <w:rPr>
              <w:rFonts w:ascii="Verdana" w:hAnsi="Verdana" w:cs="Times New Roman"/>
              <w:sz w:val="20"/>
              <w:szCs w:val="20"/>
              <w:lang w:val="en-US"/>
            </w:rPr>
          </w:pPr>
          <w:r>
            <w:rPr>
              <w:rFonts w:ascii="Verdana" w:hAnsi="Verdana" w:cs="Times New Roman"/>
              <w:sz w:val="20"/>
              <w:szCs w:val="20"/>
              <w:lang w:val="en-US"/>
            </w:rPr>
            <w:t>Kuruzovich, J., Bassellier, G., &amp;</w:t>
          </w:r>
          <w:r w:rsidR="001106BD" w:rsidRPr="004578EE">
            <w:rPr>
              <w:rFonts w:ascii="Verdana" w:hAnsi="Verdana" w:cs="Times New Roman"/>
              <w:sz w:val="20"/>
              <w:szCs w:val="20"/>
              <w:lang w:val="en-US"/>
            </w:rPr>
            <w:t xml:space="preserve"> Sambamurthy, V. (2012). IT Governance Processes and IT Alignment: Viewpoints from the Board of Directors. </w:t>
          </w:r>
          <w:r w:rsidR="001106BD" w:rsidRPr="004578EE">
            <w:rPr>
              <w:rFonts w:ascii="Verdana" w:hAnsi="Verdana" w:cs="Times New Roman"/>
              <w:i/>
              <w:sz w:val="20"/>
              <w:szCs w:val="20"/>
              <w:lang w:val="en-US"/>
            </w:rPr>
            <w:t>45th Hawaii International Conference on System Science (HICSS)</w:t>
          </w:r>
          <w:r>
            <w:rPr>
              <w:rFonts w:ascii="Verdana" w:hAnsi="Verdana" w:cs="Times New Roman"/>
              <w:sz w:val="20"/>
              <w:szCs w:val="20"/>
              <w:lang w:val="en-US"/>
            </w:rPr>
            <w:t>,</w:t>
          </w:r>
          <w:r w:rsidR="001106BD" w:rsidRPr="004578EE">
            <w:rPr>
              <w:rFonts w:ascii="Verdana" w:hAnsi="Verdana" w:cs="Times New Roman"/>
              <w:sz w:val="20"/>
              <w:szCs w:val="20"/>
              <w:lang w:val="en-US"/>
            </w:rPr>
            <w:t xml:space="preserve"> 5043-5052.</w:t>
          </w:r>
        </w:p>
        <w:p w:rsidR="001106BD" w:rsidRPr="00BC1F27" w:rsidRDefault="001106BD" w:rsidP="004578EE">
          <w:pPr>
            <w:spacing w:line="360" w:lineRule="auto"/>
            <w:jc w:val="both"/>
            <w:rPr>
              <w:rFonts w:ascii="Verdana" w:hAnsi="Verdana" w:cs="Times New Roman"/>
              <w:sz w:val="20"/>
              <w:szCs w:val="20"/>
              <w:lang w:val="de-DE"/>
            </w:rPr>
          </w:pPr>
          <w:r w:rsidRPr="004578EE">
            <w:rPr>
              <w:rFonts w:ascii="Verdana" w:hAnsi="Verdana" w:cs="Times New Roman"/>
              <w:sz w:val="20"/>
              <w:szCs w:val="20"/>
              <w:lang w:val="en-US"/>
            </w:rPr>
            <w:t xml:space="preserve">Ladley, J. (2012). </w:t>
          </w:r>
          <w:r w:rsidRPr="00B9600E">
            <w:rPr>
              <w:rFonts w:ascii="Verdana" w:hAnsi="Verdana" w:cs="Times New Roman"/>
              <w:i/>
              <w:sz w:val="20"/>
              <w:szCs w:val="20"/>
              <w:lang w:val="en-US"/>
            </w:rPr>
            <w:t>Data Governance : How to Design, Deploy, and Sustain an Effective Data Governance Program</w:t>
          </w:r>
          <w:r w:rsidRPr="004578EE">
            <w:rPr>
              <w:rFonts w:ascii="Verdana" w:hAnsi="Verdana" w:cs="Times New Roman"/>
              <w:sz w:val="20"/>
              <w:szCs w:val="20"/>
              <w:lang w:val="en-US"/>
            </w:rPr>
            <w:t xml:space="preserve">. </w:t>
          </w:r>
          <w:r w:rsidRPr="00BC1F27">
            <w:rPr>
              <w:rFonts w:ascii="Verdana" w:hAnsi="Verdana" w:cs="Times New Roman"/>
              <w:sz w:val="20"/>
              <w:szCs w:val="20"/>
              <w:lang w:val="de-DE"/>
            </w:rPr>
            <w:t>USA : Elsevier.</w:t>
          </w:r>
        </w:p>
        <w:p w:rsidR="001106BD" w:rsidRPr="004578EE" w:rsidRDefault="001106BD" w:rsidP="004578EE">
          <w:pPr>
            <w:spacing w:line="360" w:lineRule="auto"/>
            <w:jc w:val="both"/>
            <w:rPr>
              <w:rFonts w:ascii="Verdana" w:hAnsi="Verdana" w:cs="Times New Roman"/>
              <w:color w:val="000000"/>
              <w:sz w:val="20"/>
              <w:szCs w:val="20"/>
              <w:lang w:val="en-US"/>
            </w:rPr>
          </w:pPr>
          <w:r w:rsidRPr="004578EE">
            <w:rPr>
              <w:rFonts w:ascii="Verdana" w:hAnsi="Verdana" w:cs="Times New Roman"/>
              <w:color w:val="000000"/>
              <w:sz w:val="20"/>
              <w:szCs w:val="20"/>
              <w:lang w:val="de-DE"/>
            </w:rPr>
            <w:t xml:space="preserve">Lahrmann, G., Marx, F., Winter, R., </w:t>
          </w:r>
          <w:r w:rsidR="00B9600E">
            <w:rPr>
              <w:rFonts w:ascii="Verdana" w:hAnsi="Verdana" w:cs="Times New Roman"/>
              <w:color w:val="000000"/>
              <w:sz w:val="20"/>
              <w:szCs w:val="20"/>
              <w:lang w:val="de-DE"/>
            </w:rPr>
            <w:t xml:space="preserve">&amp; </w:t>
          </w:r>
          <w:r w:rsidRPr="004578EE">
            <w:rPr>
              <w:rFonts w:ascii="Verdana" w:hAnsi="Verdana" w:cs="Times New Roman"/>
              <w:color w:val="000000"/>
              <w:sz w:val="20"/>
              <w:szCs w:val="20"/>
              <w:lang w:val="de-DE"/>
            </w:rPr>
            <w:t xml:space="preserve">Wortmann, F. (2011). </w:t>
          </w:r>
          <w:r w:rsidRPr="004578EE">
            <w:rPr>
              <w:rFonts w:ascii="Verdana" w:hAnsi="Verdana" w:cs="Times New Roman"/>
              <w:color w:val="000000"/>
              <w:sz w:val="20"/>
              <w:szCs w:val="20"/>
              <w:lang w:val="en-US"/>
            </w:rPr>
            <w:t xml:space="preserve">Business Intelligence Maturity: Development and Evaluation of a Theoretical Model. </w:t>
          </w:r>
          <w:r w:rsidRPr="004578EE">
            <w:rPr>
              <w:rFonts w:ascii="Verdana" w:hAnsi="Verdana" w:cs="Times New Roman"/>
              <w:iCs/>
              <w:color w:val="000000"/>
              <w:sz w:val="20"/>
              <w:szCs w:val="20"/>
              <w:lang w:val="en-US"/>
            </w:rPr>
            <w:t xml:space="preserve">System Sciences (HICSS), </w:t>
          </w:r>
          <w:r w:rsidRPr="00B9600E">
            <w:rPr>
              <w:rFonts w:ascii="Verdana" w:hAnsi="Verdana" w:cs="Times New Roman"/>
              <w:i/>
              <w:iCs/>
              <w:color w:val="000000"/>
              <w:sz w:val="20"/>
              <w:szCs w:val="20"/>
              <w:lang w:val="en-US"/>
            </w:rPr>
            <w:t>44th Hawaii International Conference on</w:t>
          </w:r>
          <w:r w:rsidRPr="00B9600E">
            <w:rPr>
              <w:rStyle w:val="apple-converted-space"/>
              <w:rFonts w:ascii="Verdana" w:hAnsi="Verdana" w:cs="Times New Roman"/>
              <w:i/>
              <w:color w:val="000000"/>
              <w:sz w:val="20"/>
              <w:szCs w:val="20"/>
              <w:lang w:val="en-US"/>
            </w:rPr>
            <w:t> </w:t>
          </w:r>
          <w:r w:rsidR="00B9600E">
            <w:rPr>
              <w:rFonts w:ascii="Verdana" w:hAnsi="Verdana" w:cs="Times New Roman"/>
              <w:i/>
              <w:iCs/>
              <w:color w:val="000000"/>
              <w:sz w:val="20"/>
              <w:szCs w:val="20"/>
              <w:lang w:val="en-US"/>
            </w:rPr>
            <w:t>System Sciences (HICSS)</w:t>
          </w:r>
          <w:r w:rsidR="00B9600E">
            <w:rPr>
              <w:rFonts w:ascii="Verdana" w:hAnsi="Verdana" w:cs="Times New Roman"/>
              <w:iCs/>
              <w:color w:val="000000"/>
              <w:sz w:val="20"/>
              <w:szCs w:val="20"/>
              <w:lang w:val="en-US"/>
            </w:rPr>
            <w:t>,</w:t>
          </w:r>
          <w:r w:rsidRPr="004578EE">
            <w:rPr>
              <w:rFonts w:ascii="Verdana" w:hAnsi="Verdana" w:cs="Times New Roman"/>
              <w:color w:val="000000"/>
              <w:sz w:val="20"/>
              <w:szCs w:val="20"/>
              <w:lang w:val="en-US"/>
            </w:rPr>
            <w:t>1-10</w:t>
          </w:r>
          <w:r w:rsidR="00B9600E">
            <w:rPr>
              <w:rFonts w:ascii="Verdana" w:hAnsi="Verdana" w:cs="Times New Roman"/>
              <w:color w:val="000000"/>
              <w:sz w:val="20"/>
              <w:szCs w:val="20"/>
              <w:lang w:val="en-US"/>
            </w:rPr>
            <w:t xml:space="preserve">. </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Lemieux, V. (2012</w:t>
          </w:r>
          <w:r w:rsidRPr="00B9600E">
            <w:rPr>
              <w:rFonts w:ascii="Verdana" w:hAnsi="Verdana" w:cs="Times New Roman"/>
              <w:i/>
              <w:sz w:val="20"/>
              <w:szCs w:val="20"/>
              <w:lang w:val="en-US"/>
            </w:rPr>
            <w:t>). Financial Analysis and Risk Management: Data Governance, Analytics and Life Cycle Management</w:t>
          </w:r>
          <w:r w:rsidRPr="004578EE">
            <w:rPr>
              <w:rFonts w:ascii="Verdana" w:hAnsi="Verdana" w:cs="Times New Roman"/>
              <w:sz w:val="20"/>
              <w:szCs w:val="20"/>
              <w:lang w:val="en-US"/>
            </w:rPr>
            <w:t>. Frankfurt: Springer Berlin Heidelberg.</w:t>
          </w:r>
        </w:p>
        <w:p w:rsidR="001106BD" w:rsidRPr="004578EE" w:rsidRDefault="001106BD" w:rsidP="004578EE">
          <w:pPr>
            <w:spacing w:line="360" w:lineRule="auto"/>
            <w:jc w:val="both"/>
            <w:rPr>
              <w:rFonts w:ascii="Verdana" w:hAnsi="Verdana" w:cs="Times New Roman"/>
              <w:sz w:val="20"/>
              <w:szCs w:val="20"/>
              <w:lang w:val="en-GB"/>
            </w:rPr>
          </w:pPr>
          <w:r w:rsidRPr="004578EE">
            <w:rPr>
              <w:rFonts w:ascii="Verdana" w:hAnsi="Verdana" w:cs="Times New Roman"/>
              <w:sz w:val="20"/>
              <w:szCs w:val="20"/>
              <w:lang w:val="en-GB"/>
            </w:rPr>
            <w:lastRenderedPageBreak/>
            <w:t xml:space="preserve">Lewis, E., Millar, G. (2009). The Viable Governance Model - A Theoretical Model for the Governance of IT. </w:t>
          </w:r>
          <w:r w:rsidRPr="00B9600E">
            <w:rPr>
              <w:rFonts w:ascii="Verdana" w:hAnsi="Verdana" w:cs="Times New Roman"/>
              <w:i/>
              <w:sz w:val="20"/>
              <w:szCs w:val="20"/>
              <w:lang w:val="en-GB"/>
            </w:rPr>
            <w:t>42nd Hawaii International Conference on System Sciences</w:t>
          </w:r>
          <w:r w:rsidR="00B9600E">
            <w:rPr>
              <w:rFonts w:ascii="Verdana" w:hAnsi="Verdana" w:cs="Times New Roman"/>
              <w:sz w:val="20"/>
              <w:szCs w:val="20"/>
              <w:lang w:val="en-GB"/>
            </w:rPr>
            <w:t>,</w:t>
          </w:r>
          <w:r w:rsidRPr="004578EE">
            <w:rPr>
              <w:rFonts w:ascii="Verdana" w:hAnsi="Verdana" w:cs="Times New Roman"/>
              <w:sz w:val="20"/>
              <w:szCs w:val="20"/>
              <w:lang w:val="en-GB"/>
            </w:rPr>
            <w:t xml:space="preserve"> 1-10.</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 xml:space="preserve">Lucas, A. (2011). Corporate Data Quality Management: Towards a Meta-Framework. </w:t>
          </w:r>
          <w:r w:rsidRPr="00B9600E">
            <w:rPr>
              <w:rFonts w:ascii="Verdana" w:hAnsi="Verdana" w:cs="Times New Roman"/>
              <w:i/>
              <w:sz w:val="20"/>
              <w:szCs w:val="20"/>
              <w:lang w:val="en-US"/>
            </w:rPr>
            <w:t>International Conference on Manage</w:t>
          </w:r>
          <w:r w:rsidR="00B9600E">
            <w:rPr>
              <w:rFonts w:ascii="Verdana" w:hAnsi="Verdana" w:cs="Times New Roman"/>
              <w:i/>
              <w:sz w:val="20"/>
              <w:szCs w:val="20"/>
              <w:lang w:val="en-US"/>
            </w:rPr>
            <w:t>ment and Service Science (MASS)</w:t>
          </w:r>
          <w:r w:rsidR="00B9600E">
            <w:rPr>
              <w:rFonts w:ascii="Verdana" w:hAnsi="Verdana" w:cs="Times New Roman"/>
              <w:sz w:val="20"/>
              <w:szCs w:val="20"/>
              <w:lang w:val="en-US"/>
            </w:rPr>
            <w:t xml:space="preserve">, </w:t>
          </w:r>
          <w:r w:rsidRPr="004578EE">
            <w:rPr>
              <w:rFonts w:ascii="Verdana" w:hAnsi="Verdana" w:cs="Times New Roman"/>
              <w:sz w:val="20"/>
              <w:szCs w:val="20"/>
              <w:lang w:val="en-US"/>
            </w:rPr>
            <w:t>1-6.</w:t>
          </w:r>
        </w:p>
        <w:p w:rsidR="001106BD" w:rsidRPr="00B9600E" w:rsidRDefault="001106BD" w:rsidP="004578EE">
          <w:pPr>
            <w:spacing w:line="360" w:lineRule="auto"/>
            <w:jc w:val="both"/>
            <w:rPr>
              <w:rFonts w:ascii="Verdana" w:hAnsi="Verdana" w:cs="Times New Roman"/>
              <w:i/>
              <w:sz w:val="20"/>
              <w:szCs w:val="20"/>
              <w:lang w:val="en-US"/>
            </w:rPr>
          </w:pPr>
          <w:r w:rsidRPr="004578EE">
            <w:rPr>
              <w:rFonts w:ascii="Verdana" w:hAnsi="Verdana" w:cs="Times New Roman"/>
              <w:sz w:val="20"/>
              <w:szCs w:val="20"/>
              <w:lang w:val="en-US"/>
            </w:rPr>
            <w:t xml:space="preserve">Maes, R.(1999). </w:t>
          </w:r>
          <w:r w:rsidRPr="00B9600E">
            <w:rPr>
              <w:rFonts w:ascii="Verdana" w:hAnsi="Verdana" w:cs="Times New Roman"/>
              <w:sz w:val="20"/>
              <w:szCs w:val="20"/>
              <w:lang w:val="en-US"/>
            </w:rPr>
            <w:t>A Generic Framework for Information Management</w:t>
          </w:r>
          <w:r w:rsidRPr="004578EE">
            <w:rPr>
              <w:rFonts w:ascii="Verdana" w:hAnsi="Verdana" w:cs="Times New Roman"/>
              <w:sz w:val="20"/>
              <w:szCs w:val="20"/>
              <w:lang w:val="en-US"/>
            </w:rPr>
            <w:t xml:space="preserve">. </w:t>
          </w:r>
          <w:r w:rsidRPr="00B9600E">
            <w:rPr>
              <w:rFonts w:ascii="Verdana" w:hAnsi="Verdana" w:cs="Times New Roman"/>
              <w:i/>
              <w:sz w:val="20"/>
              <w:szCs w:val="20"/>
              <w:lang w:val="en-US"/>
            </w:rPr>
            <w:t>Primavera Working Paper</w:t>
          </w:r>
          <w:r w:rsidR="00B9600E">
            <w:rPr>
              <w:rFonts w:ascii="Verdana" w:hAnsi="Verdana" w:cs="Times New Roman"/>
              <w:i/>
              <w:sz w:val="20"/>
              <w:szCs w:val="20"/>
              <w:lang w:val="en-US"/>
            </w:rPr>
            <w:t>.</w:t>
          </w:r>
        </w:p>
        <w:p w:rsidR="001106BD" w:rsidRPr="004578EE" w:rsidRDefault="001106BD" w:rsidP="004578EE">
          <w:pPr>
            <w:spacing w:line="360" w:lineRule="auto"/>
            <w:jc w:val="both"/>
            <w:rPr>
              <w:rFonts w:ascii="Verdana" w:eastAsia="Times New Roman" w:hAnsi="Verdana" w:cs="Times New Roman"/>
              <w:color w:val="000000"/>
              <w:sz w:val="20"/>
              <w:szCs w:val="20"/>
              <w:lang w:val="en-US" w:eastAsia="nl-BE"/>
            </w:rPr>
          </w:pPr>
          <w:r w:rsidRPr="004578EE">
            <w:rPr>
              <w:rFonts w:ascii="Verdana" w:eastAsia="Times New Roman" w:hAnsi="Verdana" w:cs="Times New Roman"/>
              <w:color w:val="000000"/>
              <w:sz w:val="20"/>
              <w:szCs w:val="20"/>
              <w:lang w:val="en-US" w:eastAsia="nl-BE"/>
            </w:rPr>
            <w:t xml:space="preserve">McGilvray, D.(2007). Data governance: a necessity in an integrated information world. </w:t>
          </w:r>
          <w:r w:rsidRPr="00B9600E">
            <w:rPr>
              <w:rFonts w:ascii="Verdana" w:eastAsia="Times New Roman" w:hAnsi="Verdana" w:cs="Times New Roman"/>
              <w:i/>
              <w:color w:val="000000"/>
              <w:sz w:val="20"/>
              <w:szCs w:val="20"/>
              <w:lang w:val="en-US" w:eastAsia="nl-BE"/>
            </w:rPr>
            <w:t>DM Review</w:t>
          </w:r>
          <w:r w:rsidRPr="004578EE">
            <w:rPr>
              <w:rFonts w:ascii="Verdana" w:eastAsia="Times New Roman" w:hAnsi="Verdana" w:cs="Times New Roman"/>
              <w:color w:val="000000"/>
              <w:sz w:val="20"/>
              <w:szCs w:val="20"/>
              <w:lang w:val="en-US" w:eastAsia="nl-BE"/>
            </w:rPr>
            <w:t>, 16(12), 25-30.</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 xml:space="preserve">McKinsey (2014). </w:t>
          </w:r>
          <w:r w:rsidRPr="00B9600E">
            <w:rPr>
              <w:rFonts w:ascii="Verdana" w:hAnsi="Verdana" w:cs="Times New Roman"/>
              <w:i/>
              <w:sz w:val="20"/>
              <w:szCs w:val="20"/>
              <w:lang w:val="en-US"/>
            </w:rPr>
            <w:t>Presentation: Big Data and advanced analytics: 16 use cases</w:t>
          </w:r>
          <w:r w:rsidRPr="004578EE">
            <w:rPr>
              <w:rFonts w:ascii="Verdana" w:hAnsi="Verdana" w:cs="Times New Roman"/>
              <w:sz w:val="20"/>
              <w:szCs w:val="20"/>
              <w:lang w:val="en-US"/>
            </w:rPr>
            <w:t xml:space="preserve">. Retrieved from </w:t>
          </w:r>
          <w:hyperlink r:id="rId48" w:history="1">
            <w:r w:rsidRPr="004578EE">
              <w:rPr>
                <w:rStyle w:val="Hyperlink"/>
                <w:rFonts w:ascii="Verdana" w:hAnsi="Verdana" w:cs="Times New Roman"/>
                <w:sz w:val="20"/>
                <w:szCs w:val="20"/>
                <w:lang w:val="en-US"/>
              </w:rPr>
              <w:t>http://mckinseyonmarketingandsales.com/presentation-big-data-and-advanced-analytics-16-use-cases</w:t>
            </w:r>
          </w:hyperlink>
        </w:p>
        <w:p w:rsidR="00B9600E" w:rsidRDefault="001106BD" w:rsidP="004578EE">
          <w:pPr>
            <w:spacing w:line="360" w:lineRule="auto"/>
            <w:jc w:val="both"/>
            <w:rPr>
              <w:rFonts w:ascii="Verdana" w:eastAsia="Times New Roman" w:hAnsi="Verdana" w:cs="Times New Roman"/>
              <w:color w:val="000000"/>
              <w:sz w:val="20"/>
              <w:szCs w:val="20"/>
              <w:lang w:val="en-US" w:eastAsia="nl-BE"/>
            </w:rPr>
          </w:pPr>
          <w:r w:rsidRPr="004578EE">
            <w:rPr>
              <w:rFonts w:ascii="Verdana" w:eastAsia="Times New Roman" w:hAnsi="Verdana" w:cs="Times New Roman"/>
              <w:color w:val="000000"/>
              <w:sz w:val="20"/>
              <w:szCs w:val="20"/>
              <w:lang w:val="en-US" w:eastAsia="nl-BE"/>
            </w:rPr>
            <w:t xml:space="preserve">Mohanty, S., Jagadeesh, M., </w:t>
          </w:r>
          <w:r w:rsidR="00D00FE6">
            <w:rPr>
              <w:rFonts w:ascii="Verdana" w:eastAsia="Times New Roman" w:hAnsi="Verdana" w:cs="Times New Roman"/>
              <w:color w:val="000000"/>
              <w:sz w:val="20"/>
              <w:szCs w:val="20"/>
              <w:lang w:val="en-US" w:eastAsia="nl-BE"/>
            </w:rPr>
            <w:t xml:space="preserve">&amp; </w:t>
          </w:r>
          <w:r w:rsidRPr="004578EE">
            <w:rPr>
              <w:rFonts w:ascii="Verdana" w:eastAsia="Times New Roman" w:hAnsi="Verdana" w:cs="Times New Roman"/>
              <w:color w:val="000000"/>
              <w:sz w:val="20"/>
              <w:szCs w:val="20"/>
              <w:lang w:val="en-US" w:eastAsia="nl-BE"/>
            </w:rPr>
            <w:t xml:space="preserve">Srivatsa, H. (2013). </w:t>
          </w:r>
          <w:r w:rsidRPr="00B9600E">
            <w:rPr>
              <w:rFonts w:ascii="Verdana" w:eastAsia="Times New Roman" w:hAnsi="Verdana" w:cs="Times New Roman"/>
              <w:i/>
              <w:iCs/>
              <w:color w:val="000000"/>
              <w:sz w:val="20"/>
              <w:szCs w:val="20"/>
              <w:lang w:val="en-US" w:eastAsia="nl-BE"/>
            </w:rPr>
            <w:t>Big Data Imperatives: Enterprise Big Data Warehouse, BI Implementations and Analytics</w:t>
          </w:r>
          <w:r w:rsidRPr="00B9600E">
            <w:rPr>
              <w:rFonts w:ascii="Verdana" w:eastAsia="Times New Roman" w:hAnsi="Verdana" w:cs="Times New Roman"/>
              <w:i/>
              <w:color w:val="000000"/>
              <w:sz w:val="20"/>
              <w:szCs w:val="20"/>
              <w:lang w:val="en-US" w:eastAsia="nl-BE"/>
            </w:rPr>
            <w:t xml:space="preserve"> (1st ed.)</w:t>
          </w:r>
          <w:r w:rsidRPr="004578EE">
            <w:rPr>
              <w:rFonts w:ascii="Verdana" w:eastAsia="Times New Roman" w:hAnsi="Verdana" w:cs="Times New Roman"/>
              <w:color w:val="000000"/>
              <w:sz w:val="20"/>
              <w:szCs w:val="20"/>
              <w:lang w:val="en-US" w:eastAsia="nl-BE"/>
            </w:rPr>
            <w:t xml:space="preserve">. </w:t>
          </w:r>
          <w:r w:rsidR="00D00FE6">
            <w:rPr>
              <w:rFonts w:ascii="Verdana" w:eastAsia="Times New Roman" w:hAnsi="Verdana" w:cs="Times New Roman"/>
              <w:color w:val="000000"/>
              <w:sz w:val="20"/>
              <w:szCs w:val="20"/>
              <w:lang w:val="en-US" w:eastAsia="nl-BE"/>
            </w:rPr>
            <w:t>CA</w:t>
          </w:r>
          <w:r w:rsidR="00B9600E">
            <w:rPr>
              <w:rFonts w:ascii="Verdana" w:eastAsia="Times New Roman" w:hAnsi="Verdana" w:cs="Times New Roman"/>
              <w:color w:val="000000"/>
              <w:sz w:val="20"/>
              <w:szCs w:val="20"/>
              <w:lang w:val="en-US" w:eastAsia="nl-BE"/>
            </w:rPr>
            <w:t xml:space="preserve">, USA: </w:t>
          </w:r>
          <w:r w:rsidRPr="004578EE">
            <w:rPr>
              <w:rFonts w:ascii="Verdana" w:eastAsia="Times New Roman" w:hAnsi="Verdana" w:cs="Times New Roman"/>
              <w:color w:val="000000"/>
              <w:sz w:val="20"/>
              <w:szCs w:val="20"/>
              <w:lang w:val="en-US" w:eastAsia="nl-BE"/>
            </w:rPr>
            <w:t>Apress, Berkely</w:t>
          </w:r>
          <w:r w:rsidR="00B9600E">
            <w:rPr>
              <w:rFonts w:ascii="Verdana" w:eastAsia="Times New Roman" w:hAnsi="Verdana" w:cs="Times New Roman"/>
              <w:color w:val="000000"/>
              <w:sz w:val="20"/>
              <w:szCs w:val="20"/>
              <w:lang w:val="en-US" w:eastAsia="nl-BE"/>
            </w:rPr>
            <w:t>.</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 xml:space="preserve">Morabito, V. (2014). </w:t>
          </w:r>
          <w:r w:rsidRPr="00D00FE6">
            <w:rPr>
              <w:rFonts w:ascii="Verdana" w:hAnsi="Verdana" w:cs="Times New Roman"/>
              <w:i/>
              <w:sz w:val="20"/>
              <w:szCs w:val="20"/>
              <w:lang w:val="en-US"/>
            </w:rPr>
            <w:t>Trends and challenges in digital business innovation</w:t>
          </w:r>
          <w:r w:rsidRPr="004578EE">
            <w:rPr>
              <w:rFonts w:ascii="Verdana" w:hAnsi="Verdana" w:cs="Times New Roman"/>
              <w:sz w:val="20"/>
              <w:szCs w:val="20"/>
              <w:lang w:val="en-US"/>
            </w:rPr>
            <w:t>. Switzerland: Springer International Publishing Switzerland.</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 xml:space="preserve">Mosley, M. (2008). </w:t>
          </w:r>
          <w:r w:rsidRPr="00D00FE6">
            <w:rPr>
              <w:rFonts w:ascii="Verdana" w:hAnsi="Verdana" w:cs="Times New Roman"/>
              <w:i/>
              <w:sz w:val="20"/>
              <w:szCs w:val="20"/>
              <w:lang w:val="en-US"/>
            </w:rPr>
            <w:t>DAMA-DMBOK Functional Framework Version 3</w:t>
          </w:r>
          <w:r w:rsidRPr="004578EE">
            <w:rPr>
              <w:rFonts w:ascii="Verdana" w:hAnsi="Verdana" w:cs="Times New Roman"/>
              <w:sz w:val="20"/>
              <w:szCs w:val="20"/>
              <w:lang w:val="en-US"/>
            </w:rPr>
            <w:t xml:space="preserve">. Retrieved from </w:t>
          </w:r>
          <w:hyperlink r:id="rId49" w:history="1">
            <w:r w:rsidRPr="004578EE">
              <w:rPr>
                <w:rStyle w:val="Hyperlink"/>
                <w:rFonts w:ascii="Verdana" w:hAnsi="Verdana" w:cs="Times New Roman"/>
                <w:sz w:val="20"/>
                <w:szCs w:val="20"/>
                <w:lang w:val="en-US"/>
              </w:rPr>
              <w:t>http://www.dama.org/files/public/dama-dmbok_functional_framework_v3_02_20080910.pdf</w:t>
            </w:r>
          </w:hyperlink>
          <w:r w:rsidRPr="004578EE">
            <w:rPr>
              <w:rFonts w:ascii="Verdana" w:hAnsi="Verdana" w:cs="Times New Roman"/>
              <w:sz w:val="20"/>
              <w:szCs w:val="20"/>
              <w:lang w:val="en-US"/>
            </w:rPr>
            <w:t xml:space="preserve"> </w:t>
          </w:r>
        </w:p>
        <w:p w:rsidR="001106BD" w:rsidRPr="004578EE" w:rsidRDefault="001106BD" w:rsidP="004578EE">
          <w:pPr>
            <w:spacing w:line="360" w:lineRule="auto"/>
            <w:jc w:val="both"/>
            <w:rPr>
              <w:rFonts w:ascii="Verdana" w:hAnsi="Verdana" w:cs="Times New Roman"/>
              <w:b/>
              <w:sz w:val="20"/>
              <w:szCs w:val="20"/>
              <w:lang w:val="en-US"/>
            </w:rPr>
          </w:pPr>
          <w:r w:rsidRPr="004578EE">
            <w:rPr>
              <w:rFonts w:ascii="Verdana" w:hAnsi="Verdana" w:cs="Times New Roman"/>
              <w:sz w:val="20"/>
              <w:szCs w:val="20"/>
              <w:lang w:val="en-US"/>
            </w:rPr>
            <w:t xml:space="preserve">Nassiri R., Ghayekhloo, S., </w:t>
          </w:r>
          <w:r w:rsidR="00D00FE6">
            <w:rPr>
              <w:rFonts w:ascii="Verdana" w:hAnsi="Verdana" w:cs="Times New Roman"/>
              <w:sz w:val="20"/>
              <w:szCs w:val="20"/>
              <w:lang w:val="en-US"/>
            </w:rPr>
            <w:t>&amp;</w:t>
          </w:r>
          <w:r w:rsidR="003D5F4B">
            <w:rPr>
              <w:rFonts w:ascii="Verdana" w:hAnsi="Verdana" w:cs="Times New Roman"/>
              <w:sz w:val="20"/>
              <w:szCs w:val="20"/>
              <w:lang w:val="en-US"/>
            </w:rPr>
            <w:t xml:space="preserve"> </w:t>
          </w:r>
          <w:r w:rsidRPr="004578EE">
            <w:rPr>
              <w:rFonts w:ascii="Verdana" w:hAnsi="Verdana" w:cs="Times New Roman"/>
              <w:sz w:val="20"/>
              <w:szCs w:val="20"/>
              <w:lang w:val="en-US"/>
            </w:rPr>
            <w:t xml:space="preserve">Shabgahi, G.L. (2009). A novel approach for IT governance : a practitioner view. </w:t>
          </w:r>
          <w:r w:rsidRPr="00D00FE6">
            <w:rPr>
              <w:rFonts w:ascii="Verdana" w:hAnsi="Verdana" w:cs="Times New Roman"/>
              <w:i/>
              <w:sz w:val="20"/>
              <w:szCs w:val="20"/>
              <w:lang w:val="en-US"/>
            </w:rPr>
            <w:t>International Conference on Computer Technology and Development</w:t>
          </w:r>
          <w:r w:rsidR="00D00FE6">
            <w:rPr>
              <w:rFonts w:ascii="Verdana" w:hAnsi="Verdana" w:cs="Times New Roman"/>
              <w:sz w:val="20"/>
              <w:szCs w:val="20"/>
              <w:lang w:val="en-US"/>
            </w:rPr>
            <w:t>,</w:t>
          </w:r>
          <w:r w:rsidRPr="004578EE">
            <w:rPr>
              <w:rFonts w:ascii="Verdana" w:hAnsi="Verdana" w:cs="Times New Roman"/>
              <w:sz w:val="20"/>
              <w:szCs w:val="20"/>
              <w:lang w:val="en-US"/>
            </w:rPr>
            <w:t xml:space="preserve"> 217-221.</w:t>
          </w:r>
        </w:p>
        <w:p w:rsidR="001106BD" w:rsidRPr="004578EE" w:rsidRDefault="00D00FE6" w:rsidP="004578EE">
          <w:pPr>
            <w:spacing w:line="360" w:lineRule="auto"/>
            <w:jc w:val="both"/>
            <w:rPr>
              <w:rFonts w:ascii="Verdana" w:hAnsi="Verdana" w:cs="Times New Roman"/>
              <w:sz w:val="20"/>
              <w:szCs w:val="20"/>
              <w:lang w:val="en-US"/>
            </w:rPr>
          </w:pPr>
          <w:r>
            <w:rPr>
              <w:rFonts w:ascii="Verdana" w:hAnsi="Verdana" w:cs="Times New Roman"/>
              <w:sz w:val="20"/>
              <w:szCs w:val="20"/>
              <w:lang w:val="en-US"/>
            </w:rPr>
            <w:t>O’Re</w:t>
          </w:r>
          <w:r w:rsidR="001106BD" w:rsidRPr="004578EE">
            <w:rPr>
              <w:rFonts w:ascii="Verdana" w:hAnsi="Verdana" w:cs="Times New Roman"/>
              <w:sz w:val="20"/>
              <w:szCs w:val="20"/>
              <w:lang w:val="en-US"/>
            </w:rPr>
            <w:t xml:space="preserve">gan, G. (2011). </w:t>
          </w:r>
          <w:r w:rsidR="001106BD" w:rsidRPr="00D00FE6">
            <w:rPr>
              <w:rFonts w:ascii="Verdana" w:hAnsi="Verdana" w:cs="Times New Roman"/>
              <w:i/>
              <w:sz w:val="20"/>
              <w:szCs w:val="20"/>
              <w:lang w:val="en-US"/>
            </w:rPr>
            <w:t>Introduction to software process improvement</w:t>
          </w:r>
          <w:r w:rsidR="001106BD" w:rsidRPr="004578EE">
            <w:rPr>
              <w:rFonts w:ascii="Verdana" w:hAnsi="Verdana" w:cs="Times New Roman"/>
              <w:sz w:val="20"/>
              <w:szCs w:val="20"/>
              <w:lang w:val="en-US"/>
            </w:rPr>
            <w:t xml:space="preserve">. </w:t>
          </w:r>
          <w:r>
            <w:rPr>
              <w:rFonts w:ascii="Verdana" w:hAnsi="Verdana" w:cs="Times New Roman"/>
              <w:sz w:val="20"/>
              <w:szCs w:val="20"/>
              <w:lang w:val="en-US"/>
            </w:rPr>
            <w:t xml:space="preserve">London: </w:t>
          </w:r>
          <w:r w:rsidR="001106BD" w:rsidRPr="004578EE">
            <w:rPr>
              <w:rFonts w:ascii="Verdana" w:hAnsi="Verdana" w:cs="Times New Roman"/>
              <w:sz w:val="20"/>
              <w:szCs w:val="20"/>
              <w:lang w:val="en-US"/>
            </w:rPr>
            <w:t>Springer-Verlag Limited.</w:t>
          </w:r>
        </w:p>
        <w:p w:rsidR="001106BD" w:rsidRPr="004578EE" w:rsidRDefault="001106BD" w:rsidP="004578EE">
          <w:pPr>
            <w:spacing w:line="360" w:lineRule="auto"/>
            <w:jc w:val="both"/>
            <w:rPr>
              <w:rFonts w:ascii="Verdana" w:hAnsi="Verdana" w:cs="Times New Roman"/>
              <w:sz w:val="20"/>
              <w:szCs w:val="20"/>
              <w:lang w:val="en"/>
            </w:rPr>
          </w:pPr>
          <w:r w:rsidRPr="004578EE">
            <w:rPr>
              <w:rFonts w:ascii="Verdana" w:hAnsi="Verdana" w:cs="Times New Roman"/>
              <w:sz w:val="20"/>
              <w:szCs w:val="20"/>
              <w:lang w:val="en"/>
            </w:rPr>
            <w:t xml:space="preserve">Ohata, M., </w:t>
          </w:r>
          <w:r w:rsidR="00D00FE6">
            <w:rPr>
              <w:rFonts w:ascii="Verdana" w:hAnsi="Verdana" w:cs="Times New Roman"/>
              <w:sz w:val="20"/>
              <w:szCs w:val="20"/>
              <w:lang w:val="en"/>
            </w:rPr>
            <w:t xml:space="preserve">&amp; </w:t>
          </w:r>
          <w:r w:rsidRPr="004578EE">
            <w:rPr>
              <w:rFonts w:ascii="Verdana" w:hAnsi="Verdana" w:cs="Times New Roman"/>
              <w:sz w:val="20"/>
              <w:szCs w:val="20"/>
              <w:lang w:val="en"/>
            </w:rPr>
            <w:t xml:space="preserve">Kumar, A. (2012). Big Data : A boon to business intelligence. </w:t>
          </w:r>
          <w:r w:rsidRPr="00D00FE6">
            <w:rPr>
              <w:rFonts w:ascii="Verdana" w:hAnsi="Verdana" w:cs="Times New Roman"/>
              <w:i/>
              <w:sz w:val="20"/>
              <w:szCs w:val="20"/>
              <w:lang w:val="en"/>
            </w:rPr>
            <w:t>Financial Executive</w:t>
          </w:r>
          <w:r w:rsidRPr="004578EE">
            <w:rPr>
              <w:rFonts w:ascii="Verdana" w:hAnsi="Verdana" w:cs="Times New Roman"/>
              <w:sz w:val="20"/>
              <w:szCs w:val="20"/>
              <w:lang w:val="en"/>
            </w:rPr>
            <w:t>, 28(7), 63.</w:t>
          </w:r>
        </w:p>
        <w:p w:rsidR="001106BD" w:rsidRPr="004578EE" w:rsidRDefault="001106BD" w:rsidP="004578EE">
          <w:pPr>
            <w:spacing w:line="360" w:lineRule="auto"/>
            <w:jc w:val="both"/>
            <w:rPr>
              <w:rFonts w:ascii="Verdana" w:eastAsia="Times New Roman" w:hAnsi="Verdana" w:cs="Times New Roman"/>
              <w:color w:val="000000"/>
              <w:sz w:val="20"/>
              <w:szCs w:val="20"/>
              <w:lang w:val="en-US" w:eastAsia="nl-BE"/>
            </w:rPr>
          </w:pPr>
          <w:r w:rsidRPr="004578EE">
            <w:rPr>
              <w:rFonts w:ascii="Verdana" w:hAnsi="Verdana" w:cs="Times New Roman"/>
              <w:sz w:val="20"/>
              <w:szCs w:val="20"/>
              <w:lang w:val="en-US"/>
            </w:rPr>
            <w:t xml:space="preserve">Otto, B. (2011). Data Governance. </w:t>
          </w:r>
          <w:r w:rsidRPr="00D00FE6">
            <w:rPr>
              <w:rFonts w:ascii="Verdana" w:hAnsi="Verdana" w:cs="Times New Roman"/>
              <w:i/>
              <w:sz w:val="20"/>
              <w:szCs w:val="20"/>
              <w:lang w:val="en-US"/>
            </w:rPr>
            <w:t>Business &amp; Information Systems Engineering</w:t>
          </w:r>
          <w:r w:rsidRPr="004578EE">
            <w:rPr>
              <w:rFonts w:ascii="Verdana" w:hAnsi="Verdana" w:cs="Times New Roman"/>
              <w:sz w:val="20"/>
              <w:szCs w:val="20"/>
              <w:lang w:val="en-US"/>
            </w:rPr>
            <w:t>, 3(4), 241-</w:t>
          </w:r>
          <w:r w:rsidR="00D00FE6">
            <w:rPr>
              <w:rFonts w:ascii="Verdana" w:hAnsi="Verdana" w:cs="Times New Roman"/>
              <w:sz w:val="20"/>
              <w:szCs w:val="20"/>
              <w:lang w:val="en-US"/>
            </w:rPr>
            <w:t>.</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 xml:space="preserve">Paulk, M.,C. (2009). A history of the capability maturity model for software. </w:t>
          </w:r>
          <w:r w:rsidRPr="00D00FE6">
            <w:rPr>
              <w:rFonts w:ascii="Verdana" w:hAnsi="Verdana" w:cs="Times New Roman"/>
              <w:i/>
              <w:sz w:val="20"/>
              <w:szCs w:val="20"/>
              <w:lang w:val="en-US"/>
            </w:rPr>
            <w:t>AS</w:t>
          </w:r>
          <w:r w:rsidR="00D00FE6" w:rsidRPr="00D00FE6">
            <w:rPr>
              <w:rFonts w:ascii="Verdana" w:hAnsi="Verdana" w:cs="Times New Roman"/>
              <w:i/>
              <w:sz w:val="20"/>
              <w:szCs w:val="20"/>
              <w:lang w:val="en-US"/>
            </w:rPr>
            <w:t>Q Software Quality Professional</w:t>
          </w:r>
          <w:r w:rsidR="00D00FE6">
            <w:rPr>
              <w:rFonts w:ascii="Verdana" w:hAnsi="Verdana" w:cs="Times New Roman"/>
              <w:sz w:val="20"/>
              <w:szCs w:val="20"/>
              <w:lang w:val="en-US"/>
            </w:rPr>
            <w:t xml:space="preserve">, </w:t>
          </w:r>
          <w:r w:rsidRPr="004578EE">
            <w:rPr>
              <w:rFonts w:ascii="Verdana" w:hAnsi="Verdana" w:cs="Times New Roman"/>
              <w:sz w:val="20"/>
              <w:szCs w:val="20"/>
              <w:lang w:val="en-US"/>
            </w:rPr>
            <w:t xml:space="preserve"> 12(1), 5-19.</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 xml:space="preserve">Paulk, M.,C., Curtis, B., Chrissis, M.,B., </w:t>
          </w:r>
          <w:r w:rsidR="00D00FE6">
            <w:rPr>
              <w:rFonts w:ascii="Verdana" w:hAnsi="Verdana" w:cs="Times New Roman"/>
              <w:sz w:val="20"/>
              <w:szCs w:val="20"/>
              <w:lang w:val="en-US"/>
            </w:rPr>
            <w:t xml:space="preserve">&amp; </w:t>
          </w:r>
          <w:r w:rsidRPr="004578EE">
            <w:rPr>
              <w:rFonts w:ascii="Verdana" w:hAnsi="Verdana" w:cs="Times New Roman"/>
              <w:sz w:val="20"/>
              <w:szCs w:val="20"/>
              <w:lang w:val="en-US"/>
            </w:rPr>
            <w:t xml:space="preserve">Weber, C. (1993). Capability maturity model for software ver. 1.1. </w:t>
          </w:r>
          <w:r w:rsidRPr="00D00FE6">
            <w:rPr>
              <w:rFonts w:ascii="Verdana" w:hAnsi="Verdana" w:cs="Times New Roman"/>
              <w:i/>
              <w:sz w:val="20"/>
              <w:szCs w:val="20"/>
              <w:lang w:val="en-US"/>
            </w:rPr>
            <w:t>Softwar</w:t>
          </w:r>
          <w:r w:rsidR="00D00FE6">
            <w:rPr>
              <w:rFonts w:ascii="Verdana" w:hAnsi="Verdana" w:cs="Times New Roman"/>
              <w:i/>
              <w:sz w:val="20"/>
              <w:szCs w:val="20"/>
              <w:lang w:val="en-US"/>
            </w:rPr>
            <w:t>e Engineering Institute CMU/SEI ‘</w:t>
          </w:r>
          <w:r w:rsidRPr="00D00FE6">
            <w:rPr>
              <w:rFonts w:ascii="Verdana" w:hAnsi="Verdana" w:cs="Times New Roman"/>
              <w:i/>
              <w:sz w:val="20"/>
              <w:szCs w:val="20"/>
              <w:lang w:val="en-US"/>
            </w:rPr>
            <w:t>93-TR</w:t>
          </w:r>
          <w:r w:rsidRPr="004578EE">
            <w:rPr>
              <w:rFonts w:ascii="Verdana" w:hAnsi="Verdana" w:cs="Times New Roman"/>
              <w:sz w:val="20"/>
              <w:szCs w:val="20"/>
              <w:lang w:val="en-US"/>
            </w:rPr>
            <w:t xml:space="preserve">. </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lastRenderedPageBreak/>
            <w:t xml:space="preserve">Ploder, C., </w:t>
          </w:r>
          <w:r w:rsidR="00D00FE6">
            <w:rPr>
              <w:rFonts w:ascii="Verdana" w:hAnsi="Verdana" w:cs="Times New Roman"/>
              <w:sz w:val="20"/>
              <w:szCs w:val="20"/>
              <w:lang w:val="en-US"/>
            </w:rPr>
            <w:t xml:space="preserve">&amp; </w:t>
          </w:r>
          <w:r w:rsidRPr="004578EE">
            <w:rPr>
              <w:rFonts w:ascii="Verdana" w:hAnsi="Verdana" w:cs="Times New Roman"/>
              <w:sz w:val="20"/>
              <w:szCs w:val="20"/>
              <w:lang w:val="en-US"/>
            </w:rPr>
            <w:t xml:space="preserve">Fink, K. (2008). Decision Support Framework for the implementation of IT-Governance. </w:t>
          </w:r>
          <w:r w:rsidRPr="00D00FE6">
            <w:rPr>
              <w:rFonts w:ascii="Verdana" w:hAnsi="Verdana" w:cs="Times New Roman"/>
              <w:i/>
              <w:sz w:val="20"/>
              <w:szCs w:val="20"/>
              <w:lang w:val="en-US"/>
            </w:rPr>
            <w:t>Proceedings of the 41</w:t>
          </w:r>
          <w:r w:rsidRPr="00D00FE6">
            <w:rPr>
              <w:rFonts w:ascii="Verdana" w:hAnsi="Verdana" w:cs="Times New Roman"/>
              <w:i/>
              <w:sz w:val="20"/>
              <w:szCs w:val="20"/>
              <w:vertAlign w:val="superscript"/>
              <w:lang w:val="en-US"/>
            </w:rPr>
            <w:t>st</w:t>
          </w:r>
          <w:r w:rsidRPr="00D00FE6">
            <w:rPr>
              <w:rFonts w:ascii="Verdana" w:hAnsi="Verdana" w:cs="Times New Roman"/>
              <w:i/>
              <w:sz w:val="20"/>
              <w:szCs w:val="20"/>
              <w:lang w:val="en-US"/>
            </w:rPr>
            <w:t xml:space="preserve"> Hawaii International Conference on System Sciences</w:t>
          </w:r>
          <w:r w:rsidR="00D00FE6">
            <w:rPr>
              <w:rFonts w:ascii="Verdana" w:hAnsi="Verdana" w:cs="Times New Roman"/>
              <w:sz w:val="20"/>
              <w:szCs w:val="20"/>
              <w:lang w:val="en-US"/>
            </w:rPr>
            <w:t>,</w:t>
          </w:r>
          <w:r w:rsidRPr="004578EE">
            <w:rPr>
              <w:rFonts w:ascii="Verdana" w:hAnsi="Verdana" w:cs="Times New Roman"/>
              <w:sz w:val="20"/>
              <w:szCs w:val="20"/>
              <w:lang w:val="en-US"/>
            </w:rPr>
            <w:t xml:space="preserve"> 1-10.</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 xml:space="preserve">Rajpurohit, A.(2013).Big data for business managers — Bridging the gap between potential and value. </w:t>
          </w:r>
          <w:r w:rsidRPr="00D00FE6">
            <w:rPr>
              <w:rFonts w:ascii="Verdana" w:hAnsi="Verdana" w:cs="Times New Roman"/>
              <w:i/>
              <w:iCs/>
              <w:sz w:val="20"/>
              <w:szCs w:val="20"/>
              <w:lang w:val="en-US"/>
            </w:rPr>
            <w:t>IEEE International Conference on Big Data</w:t>
          </w:r>
          <w:r w:rsidR="00D00FE6">
            <w:rPr>
              <w:rFonts w:ascii="Verdana" w:hAnsi="Verdana" w:cs="Times New Roman"/>
              <w:iCs/>
              <w:sz w:val="20"/>
              <w:szCs w:val="20"/>
              <w:lang w:val="en-US"/>
            </w:rPr>
            <w:t xml:space="preserve">, </w:t>
          </w:r>
          <w:r w:rsidRPr="004578EE">
            <w:rPr>
              <w:rFonts w:ascii="Verdana" w:hAnsi="Verdana" w:cs="Times New Roman"/>
              <w:sz w:val="20"/>
              <w:szCs w:val="20"/>
              <w:lang w:val="en-US"/>
            </w:rPr>
            <w:t xml:space="preserve">29-31. </w:t>
          </w:r>
        </w:p>
        <w:p w:rsidR="001106BD" w:rsidRPr="00D00FE6"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 xml:space="preserve">Ribbers, P.M.A., Peterson, R.R., </w:t>
          </w:r>
          <w:r w:rsidR="00D00FE6">
            <w:rPr>
              <w:rFonts w:ascii="Verdana" w:hAnsi="Verdana" w:cs="Times New Roman"/>
              <w:sz w:val="20"/>
              <w:szCs w:val="20"/>
              <w:lang w:val="en-US"/>
            </w:rPr>
            <w:t xml:space="preserve">&amp; </w:t>
          </w:r>
          <w:r w:rsidRPr="004578EE">
            <w:rPr>
              <w:rFonts w:ascii="Verdana" w:hAnsi="Verdana" w:cs="Times New Roman"/>
              <w:sz w:val="20"/>
              <w:szCs w:val="20"/>
              <w:lang w:val="en-US"/>
            </w:rPr>
            <w:t xml:space="preserve">Parker, M.M. (2002). </w:t>
          </w:r>
          <w:r w:rsidRPr="00D00FE6">
            <w:rPr>
              <w:rFonts w:ascii="Verdana" w:hAnsi="Verdana" w:cs="Times New Roman"/>
              <w:i/>
              <w:sz w:val="20"/>
              <w:szCs w:val="20"/>
              <w:lang w:val="en-US"/>
            </w:rPr>
            <w:t>Proceedings of the 35</w:t>
          </w:r>
          <w:r w:rsidRPr="00D00FE6">
            <w:rPr>
              <w:rFonts w:ascii="Verdana" w:hAnsi="Verdana" w:cs="Times New Roman"/>
              <w:i/>
              <w:sz w:val="20"/>
              <w:szCs w:val="20"/>
              <w:vertAlign w:val="superscript"/>
              <w:lang w:val="en-US"/>
            </w:rPr>
            <w:t>th</w:t>
          </w:r>
          <w:r w:rsidRPr="00D00FE6">
            <w:rPr>
              <w:rFonts w:ascii="Verdana" w:hAnsi="Verdana" w:cs="Times New Roman"/>
              <w:i/>
              <w:sz w:val="20"/>
              <w:szCs w:val="20"/>
              <w:lang w:val="en-US"/>
            </w:rPr>
            <w:t xml:space="preserve"> Hawaii International Conference on System Sciences</w:t>
          </w:r>
          <w:r w:rsidR="00D00FE6">
            <w:rPr>
              <w:rFonts w:ascii="Verdana" w:hAnsi="Verdana" w:cs="Times New Roman"/>
              <w:sz w:val="20"/>
              <w:szCs w:val="20"/>
              <w:lang w:val="en-US"/>
            </w:rPr>
            <w:t>,</w:t>
          </w:r>
          <w:r w:rsidRPr="00D00FE6">
            <w:rPr>
              <w:rFonts w:ascii="Verdana" w:hAnsi="Verdana" w:cs="Times New Roman"/>
              <w:sz w:val="20"/>
              <w:szCs w:val="20"/>
              <w:lang w:val="en-US"/>
            </w:rPr>
            <w:t>1-12.</w:t>
          </w:r>
        </w:p>
        <w:p w:rsidR="001106BD" w:rsidRPr="00BC1F27"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Simonsson, M.,</w:t>
          </w:r>
          <w:r w:rsidR="00D00FE6">
            <w:rPr>
              <w:rFonts w:ascii="Verdana" w:hAnsi="Verdana" w:cs="Times New Roman"/>
              <w:sz w:val="20"/>
              <w:szCs w:val="20"/>
              <w:lang w:val="en-US"/>
            </w:rPr>
            <w:t>&amp;</w:t>
          </w:r>
          <w:r w:rsidRPr="004578EE">
            <w:rPr>
              <w:rFonts w:ascii="Verdana" w:hAnsi="Verdana" w:cs="Times New Roman"/>
              <w:sz w:val="20"/>
              <w:szCs w:val="20"/>
              <w:lang w:val="en-US"/>
            </w:rPr>
            <w:t xml:space="preserve"> Ekstedt, M. (2006). Getting the priorities right: literature vs practice on IT governance. </w:t>
          </w:r>
          <w:r w:rsidRPr="00BC1F27">
            <w:rPr>
              <w:rFonts w:ascii="Verdana" w:hAnsi="Verdana" w:cs="Times New Roman"/>
              <w:i/>
              <w:sz w:val="20"/>
              <w:szCs w:val="20"/>
              <w:lang w:val="en-US"/>
            </w:rPr>
            <w:t>PICMET 2006 Proceedings</w:t>
          </w:r>
          <w:r w:rsidR="00D00FE6" w:rsidRPr="00BC1F27">
            <w:rPr>
              <w:rFonts w:ascii="Verdana" w:hAnsi="Verdana" w:cs="Times New Roman"/>
              <w:sz w:val="20"/>
              <w:szCs w:val="20"/>
              <w:lang w:val="en-US"/>
            </w:rPr>
            <w:t>,</w:t>
          </w:r>
          <w:r w:rsidRPr="00BC1F27">
            <w:rPr>
              <w:rFonts w:ascii="Verdana" w:hAnsi="Verdana" w:cs="Times New Roman"/>
              <w:sz w:val="20"/>
              <w:szCs w:val="20"/>
              <w:lang w:val="en-US"/>
            </w:rPr>
            <w:t xml:space="preserve"> 18-26.</w:t>
          </w:r>
        </w:p>
        <w:p w:rsidR="001106BD" w:rsidRDefault="001106BD" w:rsidP="004578EE">
          <w:pPr>
            <w:autoSpaceDE w:val="0"/>
            <w:autoSpaceDN w:val="0"/>
            <w:adjustRightInd w:val="0"/>
            <w:spacing w:after="0" w:line="360" w:lineRule="auto"/>
            <w:jc w:val="both"/>
            <w:rPr>
              <w:rFonts w:ascii="Verdana" w:hAnsi="Verdana" w:cs="Times New Roman"/>
              <w:color w:val="000000"/>
              <w:sz w:val="20"/>
              <w:szCs w:val="20"/>
              <w:lang w:val="en-US"/>
            </w:rPr>
          </w:pPr>
          <w:r w:rsidRPr="004578EE">
            <w:rPr>
              <w:rFonts w:ascii="Verdana" w:hAnsi="Verdana" w:cs="Times New Roman"/>
              <w:color w:val="000000"/>
              <w:sz w:val="20"/>
              <w:szCs w:val="20"/>
              <w:lang w:val="en-US"/>
            </w:rPr>
            <w:t xml:space="preserve">Skinner, T., H. (2015). </w:t>
          </w:r>
          <w:r w:rsidRPr="00D00FE6">
            <w:rPr>
              <w:rFonts w:ascii="Verdana" w:hAnsi="Verdana" w:cs="Times New Roman"/>
              <w:i/>
              <w:color w:val="000000"/>
              <w:sz w:val="20"/>
              <w:szCs w:val="20"/>
              <w:lang w:val="en-US"/>
            </w:rPr>
            <w:t>Does Basel III apply to the community bank ?</w:t>
          </w:r>
          <w:r w:rsidRPr="004578EE">
            <w:rPr>
              <w:rFonts w:ascii="Verdana" w:hAnsi="Verdana" w:cs="Times New Roman"/>
              <w:color w:val="000000"/>
              <w:sz w:val="20"/>
              <w:szCs w:val="20"/>
              <w:lang w:val="en-US"/>
            </w:rPr>
            <w:t xml:space="preserve"> USA: SAS Institute. </w:t>
          </w:r>
        </w:p>
        <w:p w:rsidR="00D00FE6" w:rsidRPr="004578EE" w:rsidRDefault="00D00FE6" w:rsidP="004578EE">
          <w:pPr>
            <w:autoSpaceDE w:val="0"/>
            <w:autoSpaceDN w:val="0"/>
            <w:adjustRightInd w:val="0"/>
            <w:spacing w:after="0" w:line="360" w:lineRule="auto"/>
            <w:jc w:val="both"/>
            <w:rPr>
              <w:rFonts w:ascii="Verdana" w:hAnsi="Verdana" w:cs="Times New Roman"/>
              <w:color w:val="000000"/>
              <w:sz w:val="20"/>
              <w:szCs w:val="20"/>
              <w:lang w:val="en-US"/>
            </w:rPr>
          </w:pPr>
        </w:p>
        <w:p w:rsidR="001106BD" w:rsidRPr="004578EE" w:rsidRDefault="001106BD" w:rsidP="004578EE">
          <w:pPr>
            <w:spacing w:line="360" w:lineRule="auto"/>
            <w:jc w:val="both"/>
            <w:rPr>
              <w:rFonts w:ascii="Verdana" w:eastAsia="Times New Roman" w:hAnsi="Verdana" w:cs="Times New Roman"/>
              <w:color w:val="000000"/>
              <w:sz w:val="20"/>
              <w:szCs w:val="20"/>
              <w:lang w:val="en-US" w:eastAsia="nl-BE"/>
            </w:rPr>
          </w:pPr>
          <w:r w:rsidRPr="004578EE">
            <w:rPr>
              <w:rFonts w:ascii="Verdana" w:eastAsia="Times New Roman" w:hAnsi="Verdana" w:cs="Times New Roman"/>
              <w:color w:val="000000"/>
              <w:sz w:val="20"/>
              <w:szCs w:val="20"/>
              <w:lang w:val="en-US" w:eastAsia="nl-BE"/>
            </w:rPr>
            <w:t xml:space="preserve">Soares, S.(2011). </w:t>
          </w:r>
          <w:r w:rsidRPr="00D00FE6">
            <w:rPr>
              <w:rFonts w:ascii="Verdana" w:eastAsia="Times New Roman" w:hAnsi="Verdana" w:cs="Times New Roman"/>
              <w:i/>
              <w:color w:val="000000"/>
              <w:sz w:val="20"/>
              <w:szCs w:val="20"/>
              <w:lang w:val="en-US" w:eastAsia="nl-BE"/>
            </w:rPr>
            <w:t>Selling Informa</w:t>
          </w:r>
          <w:r w:rsidR="00D00FE6" w:rsidRPr="00D00FE6">
            <w:rPr>
              <w:rFonts w:ascii="Verdana" w:eastAsia="Times New Roman" w:hAnsi="Verdana" w:cs="Times New Roman"/>
              <w:i/>
              <w:color w:val="000000"/>
              <w:sz w:val="20"/>
              <w:szCs w:val="20"/>
              <w:lang w:val="en-US" w:eastAsia="nl-BE"/>
            </w:rPr>
            <w:t>tion Governance to the Business</w:t>
          </w:r>
          <w:r w:rsidR="00D00FE6">
            <w:rPr>
              <w:rFonts w:ascii="Verdana" w:eastAsia="Times New Roman" w:hAnsi="Verdana" w:cs="Times New Roman"/>
              <w:color w:val="000000"/>
              <w:sz w:val="20"/>
              <w:szCs w:val="20"/>
              <w:lang w:val="en-US" w:eastAsia="nl-BE"/>
            </w:rPr>
            <w:t>.</w:t>
          </w:r>
          <w:r w:rsidRPr="004578EE">
            <w:rPr>
              <w:rFonts w:ascii="Verdana" w:eastAsia="Times New Roman" w:hAnsi="Verdana" w:cs="Times New Roman"/>
              <w:color w:val="000000"/>
              <w:sz w:val="20"/>
              <w:szCs w:val="20"/>
              <w:lang w:val="en-US" w:eastAsia="nl-BE"/>
            </w:rPr>
            <w:t xml:space="preserve"> MC Press, Ketchum, ID.</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 xml:space="preserve">Sucha, M. (2014). Beyond the hype: Data management and data governance. </w:t>
          </w:r>
          <w:r w:rsidRPr="00D00FE6">
            <w:rPr>
              <w:rFonts w:ascii="Verdana" w:hAnsi="Verdana" w:cs="Times New Roman"/>
              <w:i/>
              <w:sz w:val="20"/>
              <w:szCs w:val="20"/>
              <w:lang w:val="en-US"/>
            </w:rPr>
            <w:t>Feliciter (Canadian Library Association)</w:t>
          </w:r>
          <w:r w:rsidR="00D00FE6">
            <w:rPr>
              <w:rFonts w:ascii="Verdana" w:hAnsi="Verdana" w:cs="Times New Roman"/>
              <w:i/>
              <w:sz w:val="20"/>
              <w:szCs w:val="20"/>
              <w:lang w:val="en-US"/>
            </w:rPr>
            <w:t>,</w:t>
          </w:r>
          <w:r w:rsidRPr="00D00FE6">
            <w:rPr>
              <w:rFonts w:ascii="Verdana" w:hAnsi="Verdana" w:cs="Times New Roman"/>
              <w:i/>
              <w:sz w:val="20"/>
              <w:szCs w:val="20"/>
              <w:lang w:val="en-US"/>
            </w:rPr>
            <w:t xml:space="preserve"> </w:t>
          </w:r>
          <w:r w:rsidR="00D00FE6">
            <w:rPr>
              <w:rFonts w:ascii="Verdana" w:hAnsi="Verdana" w:cs="Times New Roman"/>
              <w:sz w:val="20"/>
              <w:szCs w:val="20"/>
              <w:lang w:val="en-US"/>
            </w:rPr>
            <w:t>60(</w:t>
          </w:r>
          <w:r w:rsidRPr="004578EE">
            <w:rPr>
              <w:rFonts w:ascii="Verdana" w:hAnsi="Verdana" w:cs="Times New Roman"/>
              <w:sz w:val="20"/>
              <w:szCs w:val="20"/>
              <w:lang w:val="en-US"/>
            </w:rPr>
            <w:t>2</w:t>
          </w:r>
          <w:r w:rsidR="00D00FE6">
            <w:rPr>
              <w:rFonts w:ascii="Verdana" w:hAnsi="Verdana" w:cs="Times New Roman"/>
              <w:sz w:val="20"/>
              <w:szCs w:val="20"/>
              <w:lang w:val="en-US"/>
            </w:rPr>
            <w:t>)</w:t>
          </w:r>
          <w:r w:rsidRPr="004578EE">
            <w:rPr>
              <w:rFonts w:ascii="Verdana" w:hAnsi="Verdana" w:cs="Times New Roman"/>
              <w:sz w:val="20"/>
              <w:szCs w:val="20"/>
              <w:lang w:val="en-US"/>
            </w:rPr>
            <w:t>, 26-29.</w:t>
          </w:r>
        </w:p>
        <w:p w:rsidR="001106BD" w:rsidRPr="004578EE" w:rsidRDefault="001106BD" w:rsidP="004578EE">
          <w:pPr>
            <w:spacing w:line="360" w:lineRule="auto"/>
            <w:jc w:val="both"/>
            <w:rPr>
              <w:rFonts w:ascii="Verdana" w:eastAsia="Times New Roman" w:hAnsi="Verdana" w:cs="Times New Roman"/>
              <w:color w:val="000000"/>
              <w:sz w:val="20"/>
              <w:szCs w:val="20"/>
              <w:lang w:val="en-US" w:eastAsia="nl-BE"/>
            </w:rPr>
          </w:pPr>
          <w:r w:rsidRPr="004578EE">
            <w:rPr>
              <w:rFonts w:ascii="Verdana" w:eastAsia="Times New Roman" w:hAnsi="Verdana" w:cs="Times New Roman"/>
              <w:color w:val="000000"/>
              <w:sz w:val="20"/>
              <w:szCs w:val="20"/>
              <w:lang w:val="en-US" w:eastAsia="nl-BE"/>
            </w:rPr>
            <w:t xml:space="preserve">Tallon, P.P. (2013). Corporate Governance of Big Data: Perspectives on Value, Risk, and Cost.  </w:t>
          </w:r>
          <w:r w:rsidRPr="00D00FE6">
            <w:rPr>
              <w:rFonts w:ascii="Verdana" w:eastAsia="Times New Roman" w:hAnsi="Verdana" w:cs="Times New Roman"/>
              <w:i/>
              <w:color w:val="000000"/>
              <w:sz w:val="20"/>
              <w:szCs w:val="20"/>
              <w:lang w:val="en-US" w:eastAsia="nl-BE"/>
            </w:rPr>
            <w:t>Computer</w:t>
          </w:r>
          <w:r w:rsidRPr="004578EE">
            <w:rPr>
              <w:rFonts w:ascii="Verdana" w:eastAsia="Times New Roman" w:hAnsi="Verdana" w:cs="Times New Roman"/>
              <w:color w:val="000000"/>
              <w:sz w:val="20"/>
              <w:szCs w:val="20"/>
              <w:lang w:val="en-US" w:eastAsia="nl-BE"/>
            </w:rPr>
            <w:t xml:space="preserve"> , 46(6), 32-38.</w:t>
          </w:r>
        </w:p>
        <w:p w:rsidR="001106BD" w:rsidRPr="004578EE" w:rsidRDefault="00D00FE6" w:rsidP="004578EE">
          <w:pPr>
            <w:spacing w:line="360" w:lineRule="auto"/>
            <w:jc w:val="both"/>
            <w:rPr>
              <w:rFonts w:ascii="Verdana" w:hAnsi="Verdana" w:cs="Times New Roman"/>
              <w:bCs/>
              <w:iCs/>
              <w:sz w:val="20"/>
              <w:szCs w:val="20"/>
              <w:lang w:val="en-US"/>
            </w:rPr>
          </w:pPr>
          <w:r>
            <w:rPr>
              <w:rFonts w:ascii="Verdana" w:hAnsi="Verdana" w:cs="Times New Roman"/>
              <w:bCs/>
              <w:iCs/>
              <w:sz w:val="20"/>
              <w:szCs w:val="20"/>
              <w:lang w:val="en-US"/>
            </w:rPr>
            <w:t xml:space="preserve">Tamasauska, D.,  Liutvinavicius, M., </w:t>
          </w:r>
          <w:r w:rsidR="001106BD" w:rsidRPr="004578EE">
            <w:rPr>
              <w:rFonts w:ascii="Verdana" w:hAnsi="Verdana" w:cs="Times New Roman"/>
              <w:bCs/>
              <w:iCs/>
              <w:sz w:val="20"/>
              <w:szCs w:val="20"/>
              <w:lang w:val="en-US"/>
            </w:rPr>
            <w:t xml:space="preserve"> Sakalauskas, V., &amp; Kriksciuniene, D. (2013). </w:t>
          </w:r>
          <w:r w:rsidR="001106BD" w:rsidRPr="004578EE">
            <w:rPr>
              <w:rFonts w:ascii="Verdana" w:hAnsi="Verdana" w:cs="Times New Roman"/>
              <w:bCs/>
              <w:iCs/>
              <w:sz w:val="20"/>
              <w:szCs w:val="20"/>
              <w:lang w:val="en-GB"/>
            </w:rPr>
            <w:t xml:space="preserve">Research of conventional data mining tools for Big Data handling in finance institutions. </w:t>
          </w:r>
          <w:r w:rsidR="001106BD" w:rsidRPr="00D00FE6">
            <w:rPr>
              <w:rFonts w:ascii="Verdana" w:hAnsi="Verdana" w:cs="Times New Roman"/>
              <w:bCs/>
              <w:i/>
              <w:iCs/>
              <w:sz w:val="20"/>
              <w:szCs w:val="20"/>
              <w:lang w:val="en-US"/>
            </w:rPr>
            <w:t>Business Information Processing</w:t>
          </w:r>
          <w:r w:rsidR="001106BD" w:rsidRPr="004578EE">
            <w:rPr>
              <w:rFonts w:ascii="Verdana" w:hAnsi="Verdana" w:cs="Times New Roman"/>
              <w:bCs/>
              <w:iCs/>
              <w:sz w:val="20"/>
              <w:szCs w:val="20"/>
              <w:lang w:val="en-US"/>
            </w:rPr>
            <w:t xml:space="preserve">, 160, 35-46. </w:t>
          </w:r>
        </w:p>
        <w:p w:rsidR="001106BD" w:rsidRPr="00C40D1D" w:rsidRDefault="001106BD" w:rsidP="004578EE">
          <w:pPr>
            <w:spacing w:line="360" w:lineRule="auto"/>
            <w:jc w:val="both"/>
            <w:rPr>
              <w:rFonts w:ascii="Verdana" w:hAnsi="Verdana" w:cs="Times New Roman"/>
              <w:sz w:val="20"/>
              <w:szCs w:val="20"/>
              <w:lang w:val="nl-NL"/>
            </w:rPr>
          </w:pPr>
          <w:r w:rsidRPr="004578EE">
            <w:rPr>
              <w:rFonts w:ascii="Verdana" w:hAnsi="Verdana" w:cs="Times New Roman"/>
              <w:sz w:val="20"/>
              <w:szCs w:val="20"/>
              <w:lang w:val="en-US"/>
            </w:rPr>
            <w:t xml:space="preserve">Team, S. C. P. (2010). </w:t>
          </w:r>
          <w:r w:rsidRPr="00D00FE6">
            <w:rPr>
              <w:rFonts w:ascii="Verdana" w:hAnsi="Verdana" w:cs="Times New Roman"/>
              <w:i/>
              <w:sz w:val="20"/>
              <w:szCs w:val="20"/>
              <w:lang w:val="en-US"/>
            </w:rPr>
            <w:t>CMMI for Development v1. 3</w:t>
          </w:r>
          <w:r w:rsidRPr="004578EE">
            <w:rPr>
              <w:rFonts w:ascii="Verdana" w:hAnsi="Verdana" w:cs="Times New Roman"/>
              <w:sz w:val="20"/>
              <w:szCs w:val="20"/>
              <w:lang w:val="en-US"/>
            </w:rPr>
            <w:t xml:space="preserve">. </w:t>
          </w:r>
          <w:r w:rsidRPr="00C40D1D">
            <w:rPr>
              <w:rFonts w:ascii="Verdana" w:hAnsi="Verdana" w:cs="Times New Roman"/>
              <w:sz w:val="20"/>
              <w:szCs w:val="20"/>
              <w:lang w:val="nl-NL"/>
            </w:rPr>
            <w:t>Lulu. com.</w:t>
          </w:r>
        </w:p>
        <w:p w:rsidR="001106BD" w:rsidRPr="004578EE" w:rsidRDefault="001106BD" w:rsidP="004578EE">
          <w:pPr>
            <w:spacing w:line="360" w:lineRule="auto"/>
            <w:jc w:val="both"/>
            <w:rPr>
              <w:rFonts w:ascii="Verdana" w:hAnsi="Verdana" w:cs="Times New Roman"/>
              <w:sz w:val="20"/>
              <w:szCs w:val="20"/>
              <w:lang w:val="en-US"/>
            </w:rPr>
          </w:pPr>
          <w:r w:rsidRPr="00C40D1D">
            <w:rPr>
              <w:rFonts w:ascii="Verdana" w:hAnsi="Verdana" w:cs="Times New Roman"/>
              <w:sz w:val="20"/>
              <w:szCs w:val="20"/>
              <w:lang w:val="nl-NL"/>
            </w:rPr>
            <w:t xml:space="preserve">Tekiner, F., </w:t>
          </w:r>
          <w:r w:rsidR="00D00FE6" w:rsidRPr="00C40D1D">
            <w:rPr>
              <w:rFonts w:ascii="Verdana" w:hAnsi="Verdana" w:cs="Times New Roman"/>
              <w:sz w:val="20"/>
              <w:szCs w:val="20"/>
              <w:lang w:val="nl-NL"/>
            </w:rPr>
            <w:t xml:space="preserve">&amp; </w:t>
          </w:r>
          <w:r w:rsidRPr="00C40D1D">
            <w:rPr>
              <w:rFonts w:ascii="Verdana" w:hAnsi="Verdana" w:cs="Times New Roman"/>
              <w:sz w:val="20"/>
              <w:szCs w:val="20"/>
              <w:lang w:val="nl-NL"/>
            </w:rPr>
            <w:t xml:space="preserve">Keane, J.A.(2013). </w:t>
          </w:r>
          <w:r w:rsidRPr="004578EE">
            <w:rPr>
              <w:rFonts w:ascii="Verdana" w:hAnsi="Verdana" w:cs="Times New Roman"/>
              <w:sz w:val="20"/>
              <w:szCs w:val="20"/>
              <w:lang w:val="en-US"/>
            </w:rPr>
            <w:t xml:space="preserve">Big Data Framework. </w:t>
          </w:r>
          <w:r w:rsidRPr="00D00FE6">
            <w:rPr>
              <w:rFonts w:ascii="Verdana" w:hAnsi="Verdana" w:cs="Times New Roman"/>
              <w:i/>
              <w:sz w:val="20"/>
              <w:szCs w:val="20"/>
              <w:lang w:val="en-US"/>
            </w:rPr>
            <w:t>IEEE International Conference on  Systems, Man, and</w:t>
          </w:r>
          <w:r w:rsidR="00D00FE6">
            <w:rPr>
              <w:rFonts w:ascii="Verdana" w:hAnsi="Verdana" w:cs="Times New Roman"/>
              <w:i/>
              <w:sz w:val="20"/>
              <w:szCs w:val="20"/>
              <w:lang w:val="en-US"/>
            </w:rPr>
            <w:t xml:space="preserve"> Cybernetics (SMC), </w:t>
          </w:r>
          <w:r w:rsidRPr="004578EE">
            <w:rPr>
              <w:rFonts w:ascii="Verdana" w:hAnsi="Verdana" w:cs="Times New Roman"/>
              <w:sz w:val="20"/>
              <w:szCs w:val="20"/>
              <w:lang w:val="en-US"/>
            </w:rPr>
            <w:t xml:space="preserve">1494-1499. </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 xml:space="preserve">Thamir, A., </w:t>
          </w:r>
          <w:r w:rsidR="00D00FE6">
            <w:rPr>
              <w:rFonts w:ascii="Verdana" w:hAnsi="Verdana" w:cs="Times New Roman"/>
              <w:sz w:val="20"/>
              <w:szCs w:val="20"/>
              <w:lang w:val="en-US"/>
            </w:rPr>
            <w:t xml:space="preserve">&amp; </w:t>
          </w:r>
          <w:r w:rsidRPr="004578EE">
            <w:rPr>
              <w:rFonts w:ascii="Verdana" w:hAnsi="Verdana" w:cs="Times New Roman"/>
              <w:sz w:val="20"/>
              <w:szCs w:val="20"/>
              <w:lang w:val="en-US"/>
            </w:rPr>
            <w:t xml:space="preserve">Theodoulidis, B. (2013). Business intelligence maturity models: information management perspective. </w:t>
          </w:r>
          <w:r w:rsidRPr="00D00FE6">
            <w:rPr>
              <w:rFonts w:ascii="Verdana" w:hAnsi="Verdana" w:cs="Times New Roman"/>
              <w:i/>
              <w:sz w:val="20"/>
              <w:szCs w:val="20"/>
              <w:lang w:val="en-US"/>
            </w:rPr>
            <w:t>Communications in Computer and Information Science</w:t>
          </w:r>
          <w:r w:rsidR="00D00FE6">
            <w:rPr>
              <w:rFonts w:ascii="Verdana" w:hAnsi="Verdana" w:cs="Times New Roman"/>
              <w:sz w:val="20"/>
              <w:szCs w:val="20"/>
              <w:lang w:val="en-US"/>
            </w:rPr>
            <w:t xml:space="preserve">, 403, </w:t>
          </w:r>
          <w:r w:rsidRPr="004578EE">
            <w:rPr>
              <w:rFonts w:ascii="Verdana" w:hAnsi="Verdana" w:cs="Times New Roman"/>
              <w:sz w:val="20"/>
              <w:szCs w:val="20"/>
              <w:lang w:val="en-US"/>
            </w:rPr>
            <w:t>198-221.</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 xml:space="preserve">Todd, G. (2008). Data Governance: the enabler of high performance. </w:t>
          </w:r>
          <w:r w:rsidRPr="00D00FE6">
            <w:rPr>
              <w:rFonts w:ascii="Verdana" w:hAnsi="Verdana" w:cs="Times New Roman"/>
              <w:i/>
              <w:sz w:val="20"/>
              <w:szCs w:val="20"/>
              <w:lang w:val="en-US"/>
            </w:rPr>
            <w:t>DM Review</w:t>
          </w:r>
          <w:r w:rsidRPr="004578EE">
            <w:rPr>
              <w:rFonts w:ascii="Verdana" w:hAnsi="Verdana" w:cs="Times New Roman"/>
              <w:sz w:val="20"/>
              <w:szCs w:val="20"/>
              <w:lang w:val="en-US"/>
            </w:rPr>
            <w:t>, 18(5), 30.</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 xml:space="preserve">TOGAF. (2015). </w:t>
          </w:r>
          <w:r w:rsidRPr="00D00FE6">
            <w:rPr>
              <w:rFonts w:ascii="Verdana" w:hAnsi="Verdana" w:cs="Times New Roman"/>
              <w:i/>
              <w:sz w:val="20"/>
              <w:szCs w:val="20"/>
              <w:lang w:val="en-US"/>
            </w:rPr>
            <w:t>Phase C: Information Systems Architectures - Data Architecture</w:t>
          </w:r>
          <w:r w:rsidRPr="004578EE">
            <w:rPr>
              <w:rFonts w:ascii="Verdana" w:hAnsi="Verdana" w:cs="Times New Roman"/>
              <w:sz w:val="20"/>
              <w:szCs w:val="20"/>
              <w:lang w:val="en-US"/>
            </w:rPr>
            <w:t xml:space="preserve">. Retrieved from </w:t>
          </w:r>
          <w:hyperlink r:id="rId50" w:history="1">
            <w:r w:rsidRPr="004578EE">
              <w:rPr>
                <w:rStyle w:val="Hyperlink"/>
                <w:rFonts w:ascii="Verdana" w:hAnsi="Verdana" w:cs="Times New Roman"/>
                <w:sz w:val="20"/>
                <w:szCs w:val="20"/>
                <w:lang w:val="en-US"/>
              </w:rPr>
              <w:t>http://pubs.opengroup.org/architecture/togaf8-doc/arch/chap08.html</w:t>
            </w:r>
          </w:hyperlink>
          <w:r w:rsidRPr="004578EE">
            <w:rPr>
              <w:rFonts w:ascii="Verdana" w:hAnsi="Verdana" w:cs="Times New Roman"/>
              <w:sz w:val="20"/>
              <w:szCs w:val="20"/>
              <w:lang w:val="en-US"/>
            </w:rPr>
            <w:t xml:space="preserve"> </w:t>
          </w:r>
        </w:p>
        <w:p w:rsidR="001106BD" w:rsidRDefault="001106BD" w:rsidP="004578EE">
          <w:pPr>
            <w:autoSpaceDE w:val="0"/>
            <w:autoSpaceDN w:val="0"/>
            <w:adjustRightInd w:val="0"/>
            <w:spacing w:after="0" w:line="360" w:lineRule="auto"/>
            <w:jc w:val="both"/>
            <w:rPr>
              <w:rFonts w:ascii="Verdana" w:hAnsi="Verdana" w:cs="Times New Roman"/>
              <w:color w:val="000000"/>
              <w:sz w:val="20"/>
              <w:szCs w:val="20"/>
              <w:lang w:val="en-US"/>
            </w:rPr>
          </w:pPr>
          <w:r w:rsidRPr="004578EE">
            <w:rPr>
              <w:rFonts w:ascii="Verdana" w:hAnsi="Verdana" w:cs="Times New Roman"/>
              <w:color w:val="000000"/>
              <w:sz w:val="20"/>
              <w:szCs w:val="20"/>
              <w:lang w:val="en-US"/>
            </w:rPr>
            <w:lastRenderedPageBreak/>
            <w:t xml:space="preserve">U.S. Congress (2010). </w:t>
          </w:r>
          <w:r w:rsidRPr="00D00FE6">
            <w:rPr>
              <w:rFonts w:ascii="Verdana" w:hAnsi="Verdana" w:cs="Times New Roman"/>
              <w:i/>
              <w:color w:val="000000"/>
              <w:sz w:val="20"/>
              <w:szCs w:val="20"/>
              <w:lang w:val="en-US"/>
            </w:rPr>
            <w:t>H.R.4173 - Dodd-Frank Wall Street Reform and Consumer Protection Act</w:t>
          </w:r>
          <w:r w:rsidRPr="004578EE">
            <w:rPr>
              <w:rFonts w:ascii="Verdana" w:hAnsi="Verdana" w:cs="Times New Roman"/>
              <w:color w:val="000000"/>
              <w:sz w:val="20"/>
              <w:szCs w:val="20"/>
              <w:lang w:val="en-US"/>
            </w:rPr>
            <w:t xml:space="preserve">. Retrieved from </w:t>
          </w:r>
          <w:hyperlink r:id="rId51" w:history="1">
            <w:r w:rsidRPr="004578EE">
              <w:rPr>
                <w:rStyle w:val="Hyperlink"/>
                <w:rFonts w:ascii="Verdana" w:hAnsi="Verdana" w:cs="Times New Roman"/>
                <w:sz w:val="20"/>
                <w:szCs w:val="20"/>
                <w:lang w:val="en-US"/>
              </w:rPr>
              <w:t>https://www.congress.gov/bill/111th-congress/house-bill/4173?q=%7B%22search%22%3A%5B%22Dodd-Frank+wall+street+reform+and+consumer+protection+act%22%5D%7D</w:t>
            </w:r>
          </w:hyperlink>
          <w:r w:rsidRPr="004578EE">
            <w:rPr>
              <w:rFonts w:ascii="Verdana" w:hAnsi="Verdana" w:cs="Times New Roman"/>
              <w:color w:val="000000"/>
              <w:sz w:val="20"/>
              <w:szCs w:val="20"/>
              <w:lang w:val="en-US"/>
            </w:rPr>
            <w:t xml:space="preserve"> </w:t>
          </w:r>
        </w:p>
        <w:p w:rsidR="00D00FE6" w:rsidRPr="004578EE" w:rsidRDefault="00D00FE6" w:rsidP="004578EE">
          <w:pPr>
            <w:autoSpaceDE w:val="0"/>
            <w:autoSpaceDN w:val="0"/>
            <w:adjustRightInd w:val="0"/>
            <w:spacing w:after="0" w:line="360" w:lineRule="auto"/>
            <w:jc w:val="both"/>
            <w:rPr>
              <w:rFonts w:ascii="Verdana" w:hAnsi="Verdana" w:cs="Times New Roman"/>
              <w:color w:val="000000"/>
              <w:sz w:val="20"/>
              <w:szCs w:val="20"/>
              <w:lang w:val="en-US"/>
            </w:rPr>
          </w:pP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rPr>
            <w:t xml:space="preserve">Van Grembergen, W., De Haes, S., &amp; Guldentops, E. (2004). </w:t>
          </w:r>
          <w:r w:rsidRPr="004578EE">
            <w:rPr>
              <w:rFonts w:ascii="Verdana" w:hAnsi="Verdana" w:cs="Times New Roman"/>
              <w:sz w:val="20"/>
              <w:szCs w:val="20"/>
              <w:lang w:val="en-US"/>
            </w:rPr>
            <w:t xml:space="preserve">Structures, Processes and Relational Mechanisms for IT Governance. In W. Van Grembergen (Ed.), </w:t>
          </w:r>
          <w:r w:rsidRPr="00D00FE6">
            <w:rPr>
              <w:rFonts w:ascii="Verdana" w:hAnsi="Verdana" w:cs="Times New Roman"/>
              <w:i/>
              <w:sz w:val="20"/>
              <w:szCs w:val="20"/>
              <w:lang w:val="en-US"/>
            </w:rPr>
            <w:t>Strategies for Information Technology Governance</w:t>
          </w:r>
          <w:r w:rsidRPr="004578EE">
            <w:rPr>
              <w:rFonts w:ascii="Verdana" w:hAnsi="Verdana" w:cs="Times New Roman"/>
              <w:sz w:val="20"/>
              <w:szCs w:val="20"/>
              <w:lang w:val="en-US"/>
            </w:rPr>
            <w:t xml:space="preserve"> (pp. 1-36). Hershey, PA: Idea Group Publishing. </w:t>
          </w:r>
        </w:p>
        <w:p w:rsidR="001106BD" w:rsidRPr="004578EE" w:rsidRDefault="001106BD" w:rsidP="004578EE">
          <w:pPr>
            <w:spacing w:line="360" w:lineRule="auto"/>
            <w:jc w:val="both"/>
            <w:rPr>
              <w:rFonts w:ascii="Verdana" w:hAnsi="Verdana" w:cs="Times New Roman"/>
              <w:sz w:val="20"/>
              <w:szCs w:val="20"/>
              <w:lang w:val="en-US"/>
            </w:rPr>
          </w:pPr>
          <w:r w:rsidRPr="00C40D1D">
            <w:rPr>
              <w:rFonts w:ascii="Verdana" w:hAnsi="Verdana" w:cs="Times New Roman"/>
              <w:sz w:val="20"/>
              <w:szCs w:val="20"/>
              <w:lang w:val="nl-NL"/>
            </w:rPr>
            <w:t xml:space="preserve">Van Grembergen, W., De Haes, S., &amp; Guldentops, E. (n.d). </w:t>
          </w:r>
          <w:r w:rsidRPr="00D00FE6">
            <w:rPr>
              <w:rFonts w:ascii="Verdana" w:hAnsi="Verdana" w:cs="Times New Roman"/>
              <w:i/>
              <w:sz w:val="20"/>
              <w:szCs w:val="20"/>
              <w:lang w:val="en-US"/>
            </w:rPr>
            <w:t>Structures, Processes and Relational Mechanisms for IT Governance: theories and practices</w:t>
          </w:r>
          <w:r w:rsidRPr="004578EE">
            <w:rPr>
              <w:rFonts w:ascii="Verdana" w:hAnsi="Verdana" w:cs="Times New Roman"/>
              <w:sz w:val="20"/>
              <w:szCs w:val="20"/>
              <w:lang w:val="en-US"/>
            </w:rPr>
            <w:t xml:space="preserve">. Universiteit Antwerpt Management School. Retrieved from </w:t>
          </w:r>
          <w:hyperlink r:id="rId52" w:history="1">
            <w:r w:rsidRPr="004578EE">
              <w:rPr>
                <w:rStyle w:val="Hyperlink"/>
                <w:rFonts w:ascii="Verdana" w:hAnsi="Verdana" w:cs="Times New Roman"/>
                <w:sz w:val="20"/>
                <w:szCs w:val="20"/>
                <w:lang w:val="en-US"/>
              </w:rPr>
              <w:t>http://www.antwerpmanagementschool.be/media/287503/IT%20Gov%20theories%20and%20practices.pdf</w:t>
            </w:r>
          </w:hyperlink>
          <w:r w:rsidRPr="004578EE">
            <w:rPr>
              <w:rFonts w:ascii="Verdana" w:hAnsi="Verdana" w:cs="Times New Roman"/>
              <w:sz w:val="20"/>
              <w:szCs w:val="20"/>
              <w:lang w:val="en-US"/>
            </w:rPr>
            <w:t xml:space="preserve"> </w:t>
          </w:r>
        </w:p>
        <w:p w:rsidR="001106BD" w:rsidRPr="00BC1F27" w:rsidRDefault="001106BD" w:rsidP="004578EE">
          <w:pPr>
            <w:spacing w:line="360" w:lineRule="auto"/>
            <w:jc w:val="both"/>
            <w:rPr>
              <w:rFonts w:ascii="Verdana" w:hAnsi="Verdana" w:cs="Times New Roman"/>
              <w:sz w:val="20"/>
              <w:szCs w:val="20"/>
            </w:rPr>
          </w:pPr>
          <w:r w:rsidRPr="004578EE">
            <w:rPr>
              <w:rFonts w:ascii="Verdana" w:hAnsi="Verdana" w:cs="Times New Roman"/>
              <w:sz w:val="20"/>
              <w:szCs w:val="20"/>
              <w:lang w:val="en-US"/>
            </w:rPr>
            <w:t>Van Grembergen, W.,</w:t>
          </w:r>
          <w:r w:rsidR="007149CF">
            <w:rPr>
              <w:rFonts w:ascii="Verdana" w:hAnsi="Verdana" w:cs="Times New Roman"/>
              <w:sz w:val="20"/>
              <w:szCs w:val="20"/>
              <w:lang w:val="en-US"/>
            </w:rPr>
            <w:t xml:space="preserve"> De </w:t>
          </w:r>
          <w:r w:rsidRPr="004578EE">
            <w:rPr>
              <w:rFonts w:ascii="Verdana" w:hAnsi="Verdana" w:cs="Times New Roman"/>
              <w:sz w:val="20"/>
              <w:szCs w:val="20"/>
              <w:lang w:val="en-US"/>
            </w:rPr>
            <w:t xml:space="preserve">Haes, S.(2009) </w:t>
          </w:r>
          <w:r w:rsidRPr="00D00FE6">
            <w:rPr>
              <w:rFonts w:ascii="Verdana" w:hAnsi="Verdana" w:cs="Times New Roman"/>
              <w:i/>
              <w:sz w:val="20"/>
              <w:szCs w:val="20"/>
              <w:lang w:val="en-US"/>
            </w:rPr>
            <w:t>Enterprise Governance of Information Technology</w:t>
          </w:r>
          <w:r w:rsidRPr="004578EE">
            <w:rPr>
              <w:rFonts w:ascii="Verdana" w:hAnsi="Verdana" w:cs="Times New Roman"/>
              <w:sz w:val="20"/>
              <w:szCs w:val="20"/>
              <w:lang w:val="en-US"/>
            </w:rPr>
            <w:t xml:space="preserve">. </w:t>
          </w:r>
          <w:r w:rsidRPr="00BC1F27">
            <w:rPr>
              <w:rFonts w:ascii="Verdana" w:hAnsi="Verdana" w:cs="Times New Roman"/>
              <w:sz w:val="20"/>
              <w:szCs w:val="20"/>
            </w:rPr>
            <w:t>Springer. New York</w:t>
          </w:r>
        </w:p>
        <w:p w:rsidR="001106BD" w:rsidRPr="004578EE" w:rsidRDefault="001106BD" w:rsidP="004578EE">
          <w:pPr>
            <w:spacing w:line="360" w:lineRule="auto"/>
            <w:jc w:val="both"/>
            <w:rPr>
              <w:rStyle w:val="Hyperlink"/>
              <w:rFonts w:ascii="Verdana" w:hAnsi="Verdana" w:cs="Times New Roman"/>
              <w:bCs/>
              <w:iCs/>
              <w:color w:val="auto"/>
              <w:sz w:val="20"/>
              <w:szCs w:val="20"/>
              <w:u w:val="none"/>
              <w:lang w:val="en-GB"/>
            </w:rPr>
          </w:pPr>
          <w:r w:rsidRPr="00BC1F27">
            <w:rPr>
              <w:rFonts w:ascii="Verdana" w:hAnsi="Verdana" w:cs="Times New Roman"/>
              <w:bCs/>
              <w:iCs/>
              <w:sz w:val="20"/>
              <w:szCs w:val="20"/>
            </w:rPr>
            <w:t xml:space="preserve">Van Leemputten, P. (2014). </w:t>
          </w:r>
          <w:r w:rsidRPr="00BC1F27">
            <w:rPr>
              <w:rFonts w:ascii="Verdana" w:hAnsi="Verdana" w:cs="Times New Roman"/>
              <w:bCs/>
              <w:i/>
              <w:iCs/>
              <w:sz w:val="20"/>
              <w:szCs w:val="20"/>
            </w:rPr>
            <w:t>KBC investeert half miljard euro in big data</w:t>
          </w:r>
          <w:r w:rsidRPr="00BC1F27">
            <w:rPr>
              <w:rFonts w:ascii="Verdana" w:hAnsi="Verdana" w:cs="Times New Roman"/>
              <w:bCs/>
              <w:iCs/>
              <w:sz w:val="20"/>
              <w:szCs w:val="20"/>
            </w:rPr>
            <w:t xml:space="preserve">. </w:t>
          </w:r>
          <w:r w:rsidRPr="004578EE">
            <w:rPr>
              <w:rFonts w:ascii="Verdana" w:hAnsi="Verdana" w:cs="Times New Roman"/>
              <w:bCs/>
              <w:iCs/>
              <w:sz w:val="20"/>
              <w:szCs w:val="20"/>
              <w:lang w:val="en-GB"/>
            </w:rPr>
            <w:t xml:space="preserve">Datanews. Retrieved from </w:t>
          </w:r>
          <w:hyperlink r:id="rId53" w:history="1">
            <w:r w:rsidRPr="004578EE">
              <w:rPr>
                <w:rStyle w:val="Hyperlink"/>
                <w:rFonts w:ascii="Verdana" w:hAnsi="Verdana" w:cs="Times New Roman"/>
                <w:bCs/>
                <w:iCs/>
                <w:sz w:val="20"/>
                <w:szCs w:val="20"/>
                <w:lang w:val="en-GB"/>
              </w:rPr>
              <w:t>http://datanews.knack.be/ict/nieuws/kbc-investeert-half-miljard-euro-in-big-data/article-4000662817321.html</w:t>
            </w:r>
          </w:hyperlink>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 xml:space="preserve">Vesset, D., Morris, H.D., Little, G., Borovick, L., Feldman, S., Eastwood, M., Woo, B., Villars, R.L., </w:t>
          </w:r>
          <w:r w:rsidR="007921D8">
            <w:rPr>
              <w:rFonts w:ascii="Verdana" w:hAnsi="Verdana" w:cs="Times New Roman"/>
              <w:sz w:val="20"/>
              <w:szCs w:val="20"/>
              <w:lang w:val="en-US"/>
            </w:rPr>
            <w:t>…</w:t>
          </w:r>
          <w:r w:rsidRPr="004578EE">
            <w:rPr>
              <w:rFonts w:ascii="Verdana" w:hAnsi="Verdana" w:cs="Times New Roman"/>
              <w:sz w:val="20"/>
              <w:szCs w:val="20"/>
              <w:lang w:val="en-US"/>
            </w:rPr>
            <w:t xml:space="preserve">, Yezhkova, N. (2012). Worldwide Big Data technology and services 2012-2015 forecast. </w:t>
          </w:r>
          <w:r w:rsidRPr="007921D8">
            <w:rPr>
              <w:rFonts w:ascii="Verdana" w:hAnsi="Verdana" w:cs="Times New Roman"/>
              <w:i/>
              <w:sz w:val="20"/>
              <w:szCs w:val="20"/>
              <w:lang w:val="en-US"/>
            </w:rPr>
            <w:t>IDC</w:t>
          </w:r>
          <w:r w:rsidRPr="004578EE">
            <w:rPr>
              <w:rFonts w:ascii="Verdana" w:hAnsi="Verdana" w:cs="Times New Roman"/>
              <w:sz w:val="20"/>
              <w:szCs w:val="20"/>
              <w:lang w:val="en-US"/>
            </w:rPr>
            <w:t xml:space="preserve">, 233485(1). </w:t>
          </w:r>
        </w:p>
        <w:p w:rsidR="001106BD" w:rsidRPr="00BC1F27" w:rsidRDefault="001106BD" w:rsidP="004578EE">
          <w:pPr>
            <w:spacing w:line="360" w:lineRule="auto"/>
            <w:jc w:val="both"/>
            <w:rPr>
              <w:rFonts w:ascii="Verdana" w:eastAsia="Times New Roman" w:hAnsi="Verdana" w:cs="Times New Roman"/>
              <w:color w:val="000000"/>
              <w:sz w:val="20"/>
              <w:szCs w:val="20"/>
              <w:lang w:val="en-US" w:eastAsia="nl-BE"/>
            </w:rPr>
          </w:pPr>
          <w:r w:rsidRPr="004578EE">
            <w:rPr>
              <w:rFonts w:ascii="Verdana" w:eastAsia="Times New Roman" w:hAnsi="Verdana" w:cs="Times New Roman"/>
              <w:color w:val="000000"/>
              <w:sz w:val="20"/>
              <w:szCs w:val="20"/>
              <w:lang w:val="en-US" w:eastAsia="nl-BE"/>
            </w:rPr>
            <w:t xml:space="preserve">Waddington, D.(2008). Adoption of data governance by business. </w:t>
          </w:r>
          <w:r w:rsidRPr="00BC1F27">
            <w:rPr>
              <w:rFonts w:ascii="Verdana" w:eastAsia="Times New Roman" w:hAnsi="Verdana" w:cs="Times New Roman"/>
              <w:i/>
              <w:color w:val="000000"/>
              <w:sz w:val="20"/>
              <w:szCs w:val="20"/>
              <w:lang w:val="en-US" w:eastAsia="nl-BE"/>
            </w:rPr>
            <w:t>DM Review</w:t>
          </w:r>
          <w:r w:rsidRPr="00BC1F27">
            <w:rPr>
              <w:rFonts w:ascii="Verdana" w:eastAsia="Times New Roman" w:hAnsi="Verdana" w:cs="Times New Roman"/>
              <w:color w:val="000000"/>
              <w:sz w:val="20"/>
              <w:szCs w:val="20"/>
              <w:lang w:val="en-US" w:eastAsia="nl-BE"/>
            </w:rPr>
            <w:t>, 18(12), 32.</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 xml:space="preserve">Webb, P., Pollard, C., </w:t>
          </w:r>
          <w:r w:rsidR="007921D8">
            <w:rPr>
              <w:rFonts w:ascii="Verdana" w:hAnsi="Verdana" w:cs="Times New Roman"/>
              <w:sz w:val="20"/>
              <w:szCs w:val="20"/>
              <w:lang w:val="en-US"/>
            </w:rPr>
            <w:t xml:space="preserve">&amp; </w:t>
          </w:r>
          <w:r w:rsidRPr="004578EE">
            <w:rPr>
              <w:rFonts w:ascii="Verdana" w:hAnsi="Verdana" w:cs="Times New Roman"/>
              <w:sz w:val="20"/>
              <w:szCs w:val="20"/>
              <w:lang w:val="en-US"/>
            </w:rPr>
            <w:t xml:space="preserve">Ridley G. (2006). Attempting to define IT governance: wisdom or folly? </w:t>
          </w:r>
          <w:r w:rsidRPr="007921D8">
            <w:rPr>
              <w:rFonts w:ascii="Verdana" w:hAnsi="Verdana" w:cs="Times New Roman"/>
              <w:i/>
              <w:sz w:val="20"/>
              <w:szCs w:val="20"/>
              <w:lang w:val="en-US"/>
            </w:rPr>
            <w:t>Proceedings of the 39</w:t>
          </w:r>
          <w:r w:rsidRPr="007921D8">
            <w:rPr>
              <w:rFonts w:ascii="Verdana" w:hAnsi="Verdana" w:cs="Times New Roman"/>
              <w:i/>
              <w:sz w:val="20"/>
              <w:szCs w:val="20"/>
              <w:vertAlign w:val="superscript"/>
              <w:lang w:val="en-US"/>
            </w:rPr>
            <w:t>th</w:t>
          </w:r>
          <w:r w:rsidRPr="007921D8">
            <w:rPr>
              <w:rFonts w:ascii="Verdana" w:hAnsi="Verdana" w:cs="Times New Roman"/>
              <w:i/>
              <w:sz w:val="20"/>
              <w:szCs w:val="20"/>
              <w:lang w:val="en-US"/>
            </w:rPr>
            <w:t xml:space="preserve"> Hawaii International Conference on System Sciences</w:t>
          </w:r>
          <w:r w:rsidR="007921D8">
            <w:rPr>
              <w:rFonts w:ascii="Verdana" w:hAnsi="Verdana" w:cs="Times New Roman"/>
              <w:sz w:val="20"/>
              <w:szCs w:val="20"/>
              <w:lang w:val="en-US"/>
            </w:rPr>
            <w:t xml:space="preserve">, </w:t>
          </w:r>
          <w:r w:rsidRPr="004578EE">
            <w:rPr>
              <w:rFonts w:ascii="Verdana" w:hAnsi="Verdana" w:cs="Times New Roman"/>
              <w:sz w:val="20"/>
              <w:szCs w:val="20"/>
              <w:lang w:val="en-US"/>
            </w:rPr>
            <w:t>1-10.</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 xml:space="preserve">Weber, C. V., Curtis, B., &amp; Chrissis, M. B. (1994). </w:t>
          </w:r>
          <w:r w:rsidRPr="007921D8">
            <w:rPr>
              <w:rFonts w:ascii="Verdana" w:hAnsi="Verdana" w:cs="Times New Roman"/>
              <w:i/>
              <w:sz w:val="20"/>
              <w:szCs w:val="20"/>
              <w:lang w:val="en-US"/>
            </w:rPr>
            <w:t xml:space="preserve">The capability maturity model: Guidelines for improving the software process </w:t>
          </w:r>
          <w:r w:rsidRPr="004578EE">
            <w:rPr>
              <w:rFonts w:ascii="Verdana" w:hAnsi="Verdana" w:cs="Times New Roman"/>
              <w:sz w:val="20"/>
              <w:szCs w:val="20"/>
              <w:lang w:val="en-US"/>
            </w:rPr>
            <w:t>(Vol. 441). Reading, MA: Addison-Wesley.</w:t>
          </w:r>
        </w:p>
        <w:p w:rsidR="001106BD" w:rsidRPr="004578EE" w:rsidRDefault="001106BD" w:rsidP="004578EE">
          <w:pPr>
            <w:spacing w:line="360" w:lineRule="auto"/>
            <w:jc w:val="both"/>
            <w:rPr>
              <w:rFonts w:ascii="Verdana" w:hAnsi="Verdana" w:cs="Times New Roman"/>
              <w:sz w:val="20"/>
              <w:szCs w:val="20"/>
              <w:lang w:val="en-US"/>
            </w:rPr>
          </w:pPr>
          <w:r w:rsidRPr="00BC1F27">
            <w:rPr>
              <w:rFonts w:ascii="Verdana" w:hAnsi="Verdana" w:cs="Times New Roman"/>
              <w:sz w:val="20"/>
              <w:szCs w:val="20"/>
              <w:lang w:val="en-US"/>
            </w:rPr>
            <w:t xml:space="preserve">Weber, K., Otto, B., </w:t>
          </w:r>
          <w:r w:rsidR="007921D8" w:rsidRPr="00BC1F27">
            <w:rPr>
              <w:rFonts w:ascii="Verdana" w:hAnsi="Verdana" w:cs="Times New Roman"/>
              <w:sz w:val="20"/>
              <w:szCs w:val="20"/>
              <w:lang w:val="en-US"/>
            </w:rPr>
            <w:t xml:space="preserve">&amp; </w:t>
          </w:r>
          <w:r w:rsidRPr="00BC1F27">
            <w:rPr>
              <w:rFonts w:ascii="Verdana" w:hAnsi="Verdana" w:cs="Times New Roman"/>
              <w:sz w:val="20"/>
              <w:szCs w:val="20"/>
              <w:lang w:val="en-US"/>
            </w:rPr>
            <w:t xml:space="preserve">Osterle, H. (2009). </w:t>
          </w:r>
          <w:r w:rsidRPr="004578EE">
            <w:rPr>
              <w:rFonts w:ascii="Verdana" w:hAnsi="Verdana" w:cs="Times New Roman"/>
              <w:sz w:val="20"/>
              <w:szCs w:val="20"/>
              <w:lang w:val="en-US"/>
            </w:rPr>
            <w:t xml:space="preserve">One size does not fit all—a contingency approach to data governance. </w:t>
          </w:r>
          <w:r w:rsidRPr="007921D8">
            <w:rPr>
              <w:rFonts w:ascii="Verdana" w:hAnsi="Verdana" w:cs="Times New Roman"/>
              <w:i/>
              <w:sz w:val="20"/>
              <w:szCs w:val="20"/>
              <w:lang w:val="en-US"/>
            </w:rPr>
            <w:t>Journal of Data and Information Quality</w:t>
          </w:r>
          <w:r w:rsidR="007921D8">
            <w:rPr>
              <w:rFonts w:ascii="Verdana" w:hAnsi="Verdana" w:cs="Times New Roman"/>
              <w:sz w:val="20"/>
              <w:szCs w:val="20"/>
              <w:lang w:val="en-US"/>
            </w:rPr>
            <w:t>,</w:t>
          </w:r>
          <w:r w:rsidRPr="004578EE">
            <w:rPr>
              <w:rFonts w:ascii="Verdana" w:hAnsi="Verdana" w:cs="Times New Roman"/>
              <w:sz w:val="20"/>
              <w:szCs w:val="20"/>
              <w:lang w:val="en-US"/>
            </w:rPr>
            <w:t xml:space="preserve"> 1(1), 4:2-4:27</w:t>
          </w:r>
        </w:p>
        <w:p w:rsidR="001106BD" w:rsidRPr="004578EE" w:rsidRDefault="001106BD" w:rsidP="004578EE">
          <w:pPr>
            <w:spacing w:line="360" w:lineRule="auto"/>
            <w:jc w:val="both"/>
            <w:rPr>
              <w:rFonts w:ascii="Verdana" w:hAnsi="Verdana" w:cs="Times New Roman"/>
              <w:sz w:val="20"/>
              <w:szCs w:val="20"/>
              <w:lang w:val="en-US"/>
            </w:rPr>
          </w:pPr>
          <w:r w:rsidRPr="004578EE">
            <w:rPr>
              <w:rFonts w:ascii="Verdana" w:hAnsi="Verdana" w:cs="Times New Roman"/>
              <w:sz w:val="20"/>
              <w:szCs w:val="20"/>
              <w:lang w:val="en-US"/>
            </w:rPr>
            <w:t xml:space="preserve">Wielki, J.(2013).Implementation of the Big Data concept in organizations - possibilities, impediments and challenges. </w:t>
          </w:r>
          <w:r w:rsidRPr="007921D8">
            <w:rPr>
              <w:rFonts w:ascii="Verdana" w:hAnsi="Verdana" w:cs="Times New Roman"/>
              <w:i/>
              <w:iCs/>
              <w:sz w:val="20"/>
              <w:szCs w:val="20"/>
              <w:lang w:val="en-US"/>
            </w:rPr>
            <w:t xml:space="preserve">Federated Conference on </w:t>
          </w:r>
          <w:r w:rsidRPr="007921D8">
            <w:rPr>
              <w:rFonts w:ascii="Verdana" w:hAnsi="Verdana" w:cs="Times New Roman"/>
              <w:i/>
              <w:sz w:val="20"/>
              <w:szCs w:val="20"/>
              <w:lang w:val="en-US"/>
            </w:rPr>
            <w:t xml:space="preserve"> </w:t>
          </w:r>
          <w:r w:rsidRPr="007921D8">
            <w:rPr>
              <w:rFonts w:ascii="Verdana" w:hAnsi="Verdana" w:cs="Times New Roman"/>
              <w:i/>
              <w:iCs/>
              <w:sz w:val="20"/>
              <w:szCs w:val="20"/>
              <w:lang w:val="en-US"/>
            </w:rPr>
            <w:t>Computer Science and Information Systems</w:t>
          </w:r>
          <w:r w:rsidR="007921D8">
            <w:rPr>
              <w:rFonts w:ascii="Verdana" w:hAnsi="Verdana" w:cs="Times New Roman"/>
              <w:iCs/>
              <w:sz w:val="20"/>
              <w:szCs w:val="20"/>
              <w:lang w:val="en-US"/>
            </w:rPr>
            <w:t>,</w:t>
          </w:r>
          <w:r w:rsidRPr="004578EE">
            <w:rPr>
              <w:rFonts w:ascii="Verdana" w:hAnsi="Verdana" w:cs="Times New Roman"/>
              <w:iCs/>
              <w:sz w:val="20"/>
              <w:szCs w:val="20"/>
              <w:lang w:val="en-US"/>
            </w:rPr>
            <w:t xml:space="preserve"> </w:t>
          </w:r>
          <w:r w:rsidRPr="004578EE">
            <w:rPr>
              <w:rFonts w:ascii="Verdana" w:hAnsi="Verdana" w:cs="Times New Roman"/>
              <w:sz w:val="20"/>
              <w:szCs w:val="20"/>
              <w:lang w:val="en-US"/>
            </w:rPr>
            <w:t xml:space="preserve">985-989. </w:t>
          </w:r>
        </w:p>
        <w:p w:rsidR="001106BD" w:rsidRPr="004578EE" w:rsidRDefault="001106BD" w:rsidP="004578EE">
          <w:pPr>
            <w:spacing w:line="360" w:lineRule="auto"/>
            <w:jc w:val="both"/>
            <w:rPr>
              <w:rFonts w:ascii="Verdana" w:hAnsi="Verdana" w:cs="Times New Roman"/>
              <w:sz w:val="20"/>
              <w:szCs w:val="20"/>
              <w:lang w:val="en-US"/>
            </w:rPr>
          </w:pPr>
          <w:r w:rsidRPr="007921D8">
            <w:rPr>
              <w:rFonts w:ascii="Verdana" w:hAnsi="Verdana" w:cs="Times New Roman"/>
              <w:sz w:val="20"/>
              <w:szCs w:val="20"/>
              <w:lang w:val="en-US"/>
            </w:rPr>
            <w:lastRenderedPageBreak/>
            <w:t>Zhang, J., Chen, Y.,</w:t>
          </w:r>
          <w:r w:rsidR="007921D8" w:rsidRPr="007921D8">
            <w:rPr>
              <w:rFonts w:ascii="Verdana" w:hAnsi="Verdana" w:cs="Times New Roman"/>
              <w:sz w:val="20"/>
              <w:szCs w:val="20"/>
              <w:lang w:val="en-US"/>
            </w:rPr>
            <w:t xml:space="preserve"> &amp;</w:t>
          </w:r>
          <w:r w:rsidRPr="007921D8">
            <w:rPr>
              <w:rFonts w:ascii="Verdana" w:hAnsi="Verdana" w:cs="Times New Roman"/>
              <w:sz w:val="20"/>
              <w:szCs w:val="20"/>
              <w:lang w:val="en-US"/>
            </w:rPr>
            <w:t xml:space="preserve"> Li, T. (2013).  </w:t>
          </w:r>
          <w:r w:rsidRPr="004578EE">
            <w:rPr>
              <w:rFonts w:ascii="Verdana" w:hAnsi="Verdana" w:cs="Times New Roman"/>
              <w:sz w:val="20"/>
              <w:szCs w:val="20"/>
              <w:lang w:val="en-US"/>
            </w:rPr>
            <w:t xml:space="preserve">Opportunities of innovation under challenges of big data. </w:t>
          </w:r>
          <w:r w:rsidRPr="007921D8">
            <w:rPr>
              <w:rFonts w:ascii="Verdana" w:hAnsi="Verdana" w:cs="Times New Roman"/>
              <w:i/>
              <w:iCs/>
              <w:sz w:val="20"/>
              <w:szCs w:val="20"/>
              <w:lang w:val="en-US"/>
            </w:rPr>
            <w:t>10th International Conference on</w:t>
          </w:r>
          <w:r w:rsidRPr="007921D8">
            <w:rPr>
              <w:rFonts w:ascii="Verdana" w:hAnsi="Verdana" w:cs="Times New Roman"/>
              <w:i/>
              <w:sz w:val="20"/>
              <w:szCs w:val="20"/>
              <w:lang w:val="en-US"/>
            </w:rPr>
            <w:t xml:space="preserve">  </w:t>
          </w:r>
          <w:r w:rsidRPr="007921D8">
            <w:rPr>
              <w:rFonts w:ascii="Verdana" w:hAnsi="Verdana" w:cs="Times New Roman"/>
              <w:i/>
              <w:iCs/>
              <w:sz w:val="20"/>
              <w:szCs w:val="20"/>
              <w:lang w:val="en-US"/>
            </w:rPr>
            <w:t>Fuzzy Systems and Knowledge Discovery (FSKD)</w:t>
          </w:r>
          <w:r w:rsidR="007921D8">
            <w:rPr>
              <w:rFonts w:ascii="Verdana" w:hAnsi="Verdana" w:cs="Times New Roman"/>
              <w:sz w:val="20"/>
              <w:szCs w:val="20"/>
              <w:lang w:val="en-US"/>
            </w:rPr>
            <w:t xml:space="preserve">, </w:t>
          </w:r>
          <w:r w:rsidRPr="004578EE">
            <w:rPr>
              <w:rFonts w:ascii="Verdana" w:hAnsi="Verdana" w:cs="Times New Roman"/>
              <w:sz w:val="20"/>
              <w:szCs w:val="20"/>
              <w:lang w:val="en-US"/>
            </w:rPr>
            <w:t xml:space="preserve">669-673 </w:t>
          </w:r>
        </w:p>
        <w:p w:rsidR="001106BD" w:rsidRDefault="001106BD" w:rsidP="001106BD">
          <w:pPr>
            <w:autoSpaceDE w:val="0"/>
            <w:autoSpaceDN w:val="0"/>
            <w:adjustRightInd w:val="0"/>
            <w:spacing w:after="0" w:line="240" w:lineRule="auto"/>
            <w:jc w:val="both"/>
            <w:rPr>
              <w:rFonts w:ascii="Times New Roman" w:hAnsi="Times New Roman" w:cs="Times New Roman"/>
              <w:sz w:val="24"/>
              <w:szCs w:val="24"/>
              <w:lang w:val="en-US"/>
            </w:rPr>
          </w:pPr>
        </w:p>
        <w:p w:rsidR="001106BD" w:rsidRPr="001106BD" w:rsidRDefault="001106BD" w:rsidP="001106BD">
          <w:pPr>
            <w:spacing w:line="360" w:lineRule="auto"/>
            <w:jc w:val="both"/>
            <w:rPr>
              <w:rFonts w:ascii="Times New Roman" w:hAnsi="Times New Roman" w:cs="Times New Roman"/>
              <w:sz w:val="24"/>
              <w:szCs w:val="24"/>
              <w:lang w:val="en-US"/>
            </w:rPr>
          </w:pPr>
        </w:p>
        <w:p w:rsidR="001106BD" w:rsidRPr="001106BD" w:rsidRDefault="001106BD" w:rsidP="001106BD">
          <w:pPr>
            <w:spacing w:line="360" w:lineRule="auto"/>
            <w:jc w:val="both"/>
            <w:rPr>
              <w:rFonts w:ascii="Times New Roman" w:hAnsi="Times New Roman" w:cs="Times New Roman"/>
              <w:sz w:val="24"/>
              <w:szCs w:val="24"/>
              <w:lang w:val="en-US"/>
            </w:rPr>
          </w:pPr>
        </w:p>
        <w:p w:rsidR="001106BD" w:rsidRPr="00FF21E0" w:rsidRDefault="001106BD" w:rsidP="001106BD">
          <w:pPr>
            <w:spacing w:line="360" w:lineRule="auto"/>
            <w:jc w:val="both"/>
            <w:rPr>
              <w:rFonts w:ascii="Times New Roman" w:hAnsi="Times New Roman" w:cs="Times New Roman"/>
              <w:bCs/>
              <w:iCs/>
              <w:sz w:val="24"/>
              <w:szCs w:val="24"/>
              <w:lang w:val="en-GB"/>
            </w:rPr>
          </w:pPr>
        </w:p>
        <w:p w:rsidR="001106BD" w:rsidRPr="004D5AA5" w:rsidRDefault="00905AC9" w:rsidP="001106BD">
          <w:pPr>
            <w:pStyle w:val="ListParagraph"/>
            <w:spacing w:line="360" w:lineRule="auto"/>
            <w:ind w:left="0" w:firstLine="567"/>
            <w:jc w:val="both"/>
            <w:rPr>
              <w:rFonts w:ascii="Times New Roman" w:hAnsi="Times New Roman" w:cs="Times New Roman"/>
              <w:sz w:val="24"/>
              <w:szCs w:val="24"/>
              <w:lang w:val="en-GB"/>
            </w:rPr>
          </w:pPr>
        </w:p>
      </w:sdtContent>
    </w:sdt>
    <w:p w:rsidR="009F0062" w:rsidRDefault="009F0062" w:rsidP="009F0062">
      <w:pPr>
        <w:rPr>
          <w:lang w:val="en-US"/>
        </w:rPr>
      </w:pPr>
    </w:p>
    <w:p w:rsidR="009F0062" w:rsidRDefault="009F0062" w:rsidP="009F0062">
      <w:pPr>
        <w:rPr>
          <w:lang w:val="en-US"/>
        </w:rPr>
        <w:sectPr w:rsidR="009F0062" w:rsidSect="00820B38">
          <w:type w:val="oddPage"/>
          <w:pgSz w:w="11906" w:h="16838"/>
          <w:pgMar w:top="1440" w:right="1440" w:bottom="1440" w:left="1440" w:header="708" w:footer="708" w:gutter="0"/>
          <w:cols w:space="708"/>
          <w:docGrid w:linePitch="360"/>
        </w:sectPr>
      </w:pPr>
    </w:p>
    <w:p w:rsidR="009F0062" w:rsidRDefault="009F0062" w:rsidP="009F0062">
      <w:pPr>
        <w:pStyle w:val="Heading1"/>
        <w:rPr>
          <w:rFonts w:ascii="Verdana" w:hAnsi="Verdana"/>
          <w:sz w:val="20"/>
          <w:szCs w:val="20"/>
          <w:lang w:val="en-US"/>
        </w:rPr>
      </w:pPr>
      <w:bookmarkStart w:id="131" w:name="_Toc423597591"/>
      <w:r w:rsidRPr="009F0062">
        <w:rPr>
          <w:rFonts w:ascii="Verdana" w:hAnsi="Verdana"/>
          <w:sz w:val="20"/>
          <w:szCs w:val="20"/>
          <w:lang w:val="en-US"/>
        </w:rPr>
        <w:lastRenderedPageBreak/>
        <w:t>Appendices</w:t>
      </w:r>
      <w:bookmarkEnd w:id="131"/>
    </w:p>
    <w:p w:rsidR="009F0062" w:rsidRPr="009F0062" w:rsidRDefault="009F0062" w:rsidP="009F0062">
      <w:pPr>
        <w:rPr>
          <w:lang w:val="en-US"/>
        </w:rPr>
      </w:pPr>
    </w:p>
    <w:p w:rsidR="009F0062" w:rsidRPr="009F0062" w:rsidRDefault="009F0062" w:rsidP="009F0062">
      <w:pPr>
        <w:rPr>
          <w:rFonts w:ascii="Verdana" w:hAnsi="Verdana"/>
          <w:b/>
          <w:sz w:val="20"/>
          <w:szCs w:val="20"/>
          <w:lang w:val="en-US"/>
        </w:rPr>
      </w:pPr>
      <w:r w:rsidRPr="009F0062">
        <w:rPr>
          <w:rFonts w:ascii="Verdana" w:hAnsi="Verdana"/>
          <w:b/>
          <w:sz w:val="20"/>
          <w:szCs w:val="20"/>
          <w:lang w:val="en-US"/>
        </w:rPr>
        <w:t>Appendix A</w:t>
      </w:r>
    </w:p>
    <w:p w:rsidR="009F0062" w:rsidRPr="00BC1F27" w:rsidRDefault="009F0062" w:rsidP="009F0062">
      <w:pPr>
        <w:rPr>
          <w:rFonts w:ascii="Verdana" w:hAnsi="Verdana"/>
          <w:b/>
          <w:sz w:val="20"/>
          <w:szCs w:val="20"/>
          <w:lang w:val="en-US"/>
        </w:rPr>
      </w:pPr>
      <w:r w:rsidRPr="00BC1F27">
        <w:rPr>
          <w:rFonts w:ascii="Verdana" w:hAnsi="Verdana"/>
          <w:sz w:val="20"/>
          <w:szCs w:val="20"/>
          <w:lang w:val="en-US"/>
        </w:rPr>
        <w:t>Brief description of the different key process areas per level (O’Regan, 2011, pp.56-58)</w:t>
      </w:r>
    </w:p>
    <w:p w:rsidR="009F0062" w:rsidRPr="00097CFA" w:rsidRDefault="009F0062" w:rsidP="009F0062">
      <w:pPr>
        <w:pStyle w:val="ListParagraph"/>
        <w:tabs>
          <w:tab w:val="left" w:pos="720"/>
          <w:tab w:val="left" w:pos="1170"/>
        </w:tabs>
        <w:spacing w:line="360" w:lineRule="auto"/>
        <w:ind w:left="0" w:firstLine="450"/>
        <w:jc w:val="both"/>
        <w:rPr>
          <w:rFonts w:ascii="Verdana" w:hAnsi="Verdana" w:cs="Times New Roman"/>
          <w:sz w:val="20"/>
          <w:szCs w:val="20"/>
        </w:rPr>
      </w:pPr>
    </w:p>
    <w:p w:rsidR="009F0062" w:rsidRPr="00097CFA" w:rsidRDefault="009F0062" w:rsidP="009F0062">
      <w:pPr>
        <w:pStyle w:val="ListParagraph"/>
        <w:tabs>
          <w:tab w:val="left" w:pos="720"/>
          <w:tab w:val="left" w:pos="1170"/>
        </w:tabs>
        <w:spacing w:line="360" w:lineRule="auto"/>
        <w:ind w:left="0" w:firstLine="450"/>
        <w:jc w:val="both"/>
        <w:rPr>
          <w:rFonts w:ascii="Verdana" w:hAnsi="Verdana" w:cs="Times New Roman"/>
          <w:sz w:val="20"/>
          <w:szCs w:val="20"/>
        </w:rPr>
      </w:pPr>
      <w:r w:rsidRPr="00097CFA">
        <w:rPr>
          <w:rFonts w:ascii="Verdana" w:hAnsi="Verdana" w:cstheme="minorHAnsi"/>
          <w:noProof/>
          <w:sz w:val="20"/>
          <w:szCs w:val="20"/>
          <w:lang w:val="en-GB" w:eastAsia="en-GB"/>
        </w:rPr>
        <w:drawing>
          <wp:anchor distT="0" distB="0" distL="114300" distR="114300" simplePos="0" relativeHeight="251710976" behindDoc="1" locked="0" layoutInCell="1" allowOverlap="1" wp14:anchorId="690D7D2B" wp14:editId="4587D4C1">
            <wp:simplePos x="0" y="0"/>
            <wp:positionH relativeFrom="column">
              <wp:posOffset>381000</wp:posOffset>
            </wp:positionH>
            <wp:positionV relativeFrom="paragraph">
              <wp:posOffset>10160</wp:posOffset>
            </wp:positionV>
            <wp:extent cx="5110480" cy="5926455"/>
            <wp:effectExtent l="0" t="0" r="0" b="0"/>
            <wp:wrapThrough wrapText="bothSides">
              <wp:wrapPolygon edited="0">
                <wp:start x="0" y="0"/>
                <wp:lineTo x="0" y="21524"/>
                <wp:lineTo x="21498" y="21524"/>
                <wp:lineTo x="21498"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10480" cy="5926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0062" w:rsidRPr="00097CFA" w:rsidRDefault="009F0062" w:rsidP="009F0062">
      <w:pPr>
        <w:pStyle w:val="ListParagraph"/>
        <w:tabs>
          <w:tab w:val="left" w:pos="720"/>
          <w:tab w:val="left" w:pos="1170"/>
        </w:tabs>
        <w:spacing w:line="360" w:lineRule="auto"/>
        <w:ind w:left="0" w:firstLine="450"/>
        <w:jc w:val="both"/>
        <w:rPr>
          <w:rFonts w:ascii="Verdana" w:hAnsi="Verdana" w:cs="Times New Roman"/>
          <w:sz w:val="20"/>
          <w:szCs w:val="20"/>
        </w:rPr>
      </w:pPr>
    </w:p>
    <w:p w:rsidR="009F0062" w:rsidRPr="00097CFA" w:rsidRDefault="009F0062" w:rsidP="009F0062">
      <w:pPr>
        <w:pStyle w:val="ListParagraph"/>
        <w:tabs>
          <w:tab w:val="left" w:pos="720"/>
          <w:tab w:val="left" w:pos="1170"/>
        </w:tabs>
        <w:spacing w:line="360" w:lineRule="auto"/>
        <w:ind w:left="0" w:firstLine="450"/>
        <w:jc w:val="both"/>
        <w:rPr>
          <w:rFonts w:ascii="Verdana" w:hAnsi="Verdana" w:cs="Times New Roman"/>
          <w:sz w:val="20"/>
          <w:szCs w:val="20"/>
        </w:rPr>
      </w:pPr>
    </w:p>
    <w:p w:rsidR="009F0062" w:rsidRPr="00097CFA" w:rsidRDefault="009F0062" w:rsidP="009F0062">
      <w:pPr>
        <w:pStyle w:val="ListParagraph"/>
        <w:tabs>
          <w:tab w:val="left" w:pos="720"/>
          <w:tab w:val="left" w:pos="1170"/>
        </w:tabs>
        <w:spacing w:line="360" w:lineRule="auto"/>
        <w:ind w:left="0" w:firstLine="450"/>
        <w:jc w:val="both"/>
        <w:rPr>
          <w:rFonts w:ascii="Verdana" w:hAnsi="Verdana" w:cs="Times New Roman"/>
          <w:sz w:val="20"/>
          <w:szCs w:val="20"/>
        </w:rPr>
      </w:pPr>
    </w:p>
    <w:p w:rsidR="009F0062" w:rsidRPr="00097CFA" w:rsidRDefault="009F0062" w:rsidP="009F0062">
      <w:pPr>
        <w:pStyle w:val="ListParagraph"/>
        <w:tabs>
          <w:tab w:val="left" w:pos="720"/>
          <w:tab w:val="left" w:pos="1170"/>
        </w:tabs>
        <w:spacing w:line="360" w:lineRule="auto"/>
        <w:ind w:left="0" w:firstLine="450"/>
        <w:jc w:val="both"/>
        <w:rPr>
          <w:rFonts w:ascii="Verdana" w:hAnsi="Verdana" w:cs="Times New Roman"/>
          <w:sz w:val="20"/>
          <w:szCs w:val="20"/>
        </w:rPr>
      </w:pPr>
    </w:p>
    <w:p w:rsidR="009F0062" w:rsidRPr="00097CFA" w:rsidRDefault="009F0062" w:rsidP="009F0062">
      <w:pPr>
        <w:pStyle w:val="ListParagraph"/>
        <w:tabs>
          <w:tab w:val="left" w:pos="720"/>
          <w:tab w:val="left" w:pos="1170"/>
        </w:tabs>
        <w:spacing w:line="360" w:lineRule="auto"/>
        <w:ind w:left="0" w:firstLine="450"/>
        <w:jc w:val="both"/>
        <w:rPr>
          <w:rFonts w:ascii="Verdana" w:hAnsi="Verdana" w:cs="Times New Roman"/>
          <w:sz w:val="20"/>
          <w:szCs w:val="20"/>
        </w:rPr>
      </w:pPr>
      <w:r w:rsidRPr="00097CFA">
        <w:rPr>
          <w:rFonts w:ascii="Verdana" w:hAnsi="Verdana" w:cstheme="minorHAnsi"/>
          <w:noProof/>
          <w:sz w:val="20"/>
          <w:szCs w:val="20"/>
          <w:lang w:val="en-GB" w:eastAsia="en-GB"/>
        </w:rPr>
        <w:lastRenderedPageBreak/>
        <w:drawing>
          <wp:inline distT="0" distB="0" distL="0" distR="0" wp14:anchorId="06F9CCCE" wp14:editId="3832A266">
            <wp:extent cx="5257818" cy="7712456"/>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59673" cy="7715176"/>
                    </a:xfrm>
                    <a:prstGeom prst="rect">
                      <a:avLst/>
                    </a:prstGeom>
                    <a:noFill/>
                    <a:ln>
                      <a:noFill/>
                    </a:ln>
                  </pic:spPr>
                </pic:pic>
              </a:graphicData>
            </a:graphic>
          </wp:inline>
        </w:drawing>
      </w:r>
    </w:p>
    <w:p w:rsidR="009F0062" w:rsidRPr="00097CFA" w:rsidRDefault="009F0062" w:rsidP="009F0062">
      <w:pPr>
        <w:pStyle w:val="ListParagraph"/>
        <w:tabs>
          <w:tab w:val="left" w:pos="720"/>
          <w:tab w:val="left" w:pos="1170"/>
        </w:tabs>
        <w:spacing w:line="360" w:lineRule="auto"/>
        <w:ind w:left="0" w:firstLine="450"/>
        <w:jc w:val="both"/>
        <w:rPr>
          <w:rFonts w:ascii="Verdana" w:hAnsi="Verdana" w:cs="Times New Roman"/>
          <w:sz w:val="20"/>
          <w:szCs w:val="20"/>
        </w:rPr>
      </w:pPr>
    </w:p>
    <w:p w:rsidR="009F0062" w:rsidRPr="00097CFA" w:rsidRDefault="009F0062" w:rsidP="009F0062">
      <w:pPr>
        <w:pStyle w:val="ListParagraph"/>
        <w:tabs>
          <w:tab w:val="left" w:pos="720"/>
          <w:tab w:val="left" w:pos="1170"/>
        </w:tabs>
        <w:spacing w:line="360" w:lineRule="auto"/>
        <w:ind w:left="0" w:firstLine="450"/>
        <w:jc w:val="both"/>
        <w:rPr>
          <w:rFonts w:ascii="Verdana" w:hAnsi="Verdana" w:cs="Times New Roman"/>
          <w:sz w:val="20"/>
          <w:szCs w:val="20"/>
        </w:rPr>
      </w:pPr>
    </w:p>
    <w:p w:rsidR="009F0062" w:rsidRPr="00097CFA" w:rsidRDefault="009F0062" w:rsidP="009F0062">
      <w:pPr>
        <w:pStyle w:val="ListParagraph"/>
        <w:tabs>
          <w:tab w:val="left" w:pos="720"/>
          <w:tab w:val="left" w:pos="1170"/>
        </w:tabs>
        <w:spacing w:line="360" w:lineRule="auto"/>
        <w:ind w:left="0" w:firstLine="450"/>
        <w:jc w:val="both"/>
        <w:rPr>
          <w:rFonts w:ascii="Verdana" w:hAnsi="Verdana" w:cs="Times New Roman"/>
          <w:sz w:val="20"/>
          <w:szCs w:val="20"/>
        </w:rPr>
      </w:pPr>
    </w:p>
    <w:p w:rsidR="009F0062" w:rsidRDefault="009F0062" w:rsidP="009F0062">
      <w:pPr>
        <w:spacing w:line="360" w:lineRule="auto"/>
        <w:jc w:val="both"/>
        <w:rPr>
          <w:rFonts w:ascii="Times New Roman" w:hAnsi="Times New Roman" w:cs="Times New Roman"/>
          <w:sz w:val="24"/>
          <w:szCs w:val="24"/>
        </w:rPr>
      </w:pPr>
      <w:r w:rsidRPr="00097CFA">
        <w:rPr>
          <w:rFonts w:ascii="Verdana" w:hAnsi="Verdana" w:cstheme="minorHAnsi"/>
          <w:noProof/>
          <w:sz w:val="20"/>
          <w:szCs w:val="20"/>
          <w:lang w:val="en-GB" w:eastAsia="en-GB"/>
        </w:rPr>
        <w:lastRenderedPageBreak/>
        <w:drawing>
          <wp:inline distT="0" distB="0" distL="0" distR="0" wp14:anchorId="098CF94D" wp14:editId="0044B513">
            <wp:extent cx="5172075" cy="307905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72075" cy="3079050"/>
                    </a:xfrm>
                    <a:prstGeom prst="rect">
                      <a:avLst/>
                    </a:prstGeom>
                    <a:noFill/>
                    <a:ln>
                      <a:noFill/>
                    </a:ln>
                  </pic:spPr>
                </pic:pic>
              </a:graphicData>
            </a:graphic>
          </wp:inline>
        </w:drawing>
      </w:r>
    </w:p>
    <w:p w:rsidR="009F0062" w:rsidRPr="009F0062" w:rsidRDefault="009F0062" w:rsidP="009F0062">
      <w:pPr>
        <w:spacing w:line="360" w:lineRule="auto"/>
        <w:jc w:val="both"/>
        <w:rPr>
          <w:rFonts w:ascii="Verdana" w:hAnsi="Verdana" w:cs="Times New Roman"/>
          <w:b/>
          <w:sz w:val="20"/>
          <w:szCs w:val="20"/>
          <w:lang w:val="en-US"/>
        </w:rPr>
      </w:pPr>
      <w:r w:rsidRPr="009F0062">
        <w:rPr>
          <w:rFonts w:ascii="Verdana" w:hAnsi="Verdana" w:cs="Times New Roman"/>
          <w:b/>
          <w:sz w:val="20"/>
          <w:szCs w:val="20"/>
          <w:lang w:val="en-US"/>
        </w:rPr>
        <w:t>Appendix B</w:t>
      </w:r>
    </w:p>
    <w:p w:rsidR="009F0062" w:rsidRPr="009F0062" w:rsidRDefault="009F0062" w:rsidP="009F0062">
      <w:pPr>
        <w:spacing w:line="360" w:lineRule="auto"/>
        <w:jc w:val="both"/>
        <w:rPr>
          <w:rFonts w:ascii="Verdana" w:hAnsi="Verdana"/>
          <w:sz w:val="20"/>
          <w:szCs w:val="20"/>
          <w:lang w:val="en-US"/>
        </w:rPr>
      </w:pPr>
      <w:r w:rsidRPr="009F0062">
        <w:rPr>
          <w:rFonts w:ascii="Verdana" w:hAnsi="Verdana" w:cs="Times New Roman"/>
          <w:sz w:val="20"/>
          <w:szCs w:val="20"/>
          <w:lang w:val="en-US"/>
        </w:rPr>
        <w:t xml:space="preserve">Mapping of key process areas to sources </w:t>
      </w:r>
    </w:p>
    <w:p w:rsidR="009F0062" w:rsidRPr="00097CFA" w:rsidRDefault="009F0062" w:rsidP="009F0062">
      <w:pPr>
        <w:pStyle w:val="ListParagraph"/>
        <w:ind w:left="0"/>
        <w:jc w:val="both"/>
        <w:rPr>
          <w:rFonts w:ascii="Verdana" w:hAnsi="Verdana" w:cs="Times New Roman"/>
          <w:sz w:val="20"/>
          <w:szCs w:val="20"/>
        </w:rPr>
      </w:pPr>
      <w:r w:rsidRPr="00097CFA">
        <w:rPr>
          <w:rFonts w:ascii="Verdana" w:hAnsi="Verdana" w:cs="Times New Roman"/>
          <w:sz w:val="20"/>
          <w:szCs w:val="20"/>
        </w:rPr>
        <w:t>All references pertaining to elements which were identified as being part of data governance, information governance, data management or information management programs have been categorized under the “Key process area” label. The “Source” label indicates the reference work. The table includes the sources for each process as it was initially identified.</w:t>
      </w:r>
    </w:p>
    <w:tbl>
      <w:tblPr>
        <w:tblStyle w:val="LightShading-Accent2"/>
        <w:tblW w:w="9380" w:type="dxa"/>
        <w:tblLook w:val="04A0" w:firstRow="1" w:lastRow="0" w:firstColumn="1" w:lastColumn="0" w:noHBand="0" w:noVBand="1"/>
      </w:tblPr>
      <w:tblGrid>
        <w:gridCol w:w="4360"/>
        <w:gridCol w:w="5020"/>
      </w:tblGrid>
      <w:tr w:rsidR="009F0062" w:rsidRPr="00097CFA" w:rsidTr="00C147E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bCs w:val="0"/>
                <w:sz w:val="16"/>
                <w:szCs w:val="16"/>
                <w:lang w:eastAsia="nl-BE"/>
              </w:rPr>
            </w:pPr>
            <w:r w:rsidRPr="00097CFA">
              <w:rPr>
                <w:rFonts w:ascii="Verdana" w:eastAsia="Times New Roman" w:hAnsi="Verdana" w:cs="Times New Roman"/>
                <w:bCs w:val="0"/>
                <w:sz w:val="16"/>
                <w:szCs w:val="16"/>
                <w:lang w:eastAsia="nl-BE"/>
              </w:rPr>
              <w:t>KEY PROCESS AREA</w:t>
            </w:r>
          </w:p>
        </w:tc>
        <w:tc>
          <w:tcPr>
            <w:tcW w:w="5020" w:type="dxa"/>
            <w:noWrap/>
            <w:hideMark/>
          </w:tcPr>
          <w:p w:rsidR="009F0062" w:rsidRPr="00097CFA" w:rsidRDefault="009F0062" w:rsidP="00C147E1">
            <w:pPr>
              <w:ind w:firstLine="567"/>
              <w:jc w:val="both"/>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bCs w:val="0"/>
                <w:sz w:val="16"/>
                <w:szCs w:val="16"/>
                <w:lang w:eastAsia="nl-BE"/>
              </w:rPr>
            </w:pPr>
            <w:r w:rsidRPr="00097CFA">
              <w:rPr>
                <w:rFonts w:ascii="Verdana" w:eastAsia="Times New Roman" w:hAnsi="Verdana" w:cs="Times New Roman"/>
                <w:bCs w:val="0"/>
                <w:sz w:val="16"/>
                <w:szCs w:val="16"/>
                <w:lang w:eastAsia="nl-BE"/>
              </w:rPr>
              <w:t>SOURCE</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Compliance</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IBM (2014), Chapple (2013)</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compliance</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Todd (2008)</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Regulations &amp; Compliance</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IBM (2007)</w:t>
            </w:r>
          </w:p>
        </w:tc>
      </w:tr>
      <w:tr w:rsidR="009F0062" w:rsidRPr="00B85CB8" w:rsidTr="00C147E1">
        <w:trPr>
          <w:trHeight w:val="54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architecture</w:t>
            </w:r>
          </w:p>
        </w:tc>
        <w:tc>
          <w:tcPr>
            <w:tcW w:w="5020" w:type="dxa"/>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val="es-ES" w:eastAsia="nl-BE"/>
              </w:rPr>
            </w:pPr>
            <w:r w:rsidRPr="00097CFA">
              <w:rPr>
                <w:rFonts w:ascii="Verdana" w:eastAsia="Times New Roman" w:hAnsi="Verdana" w:cs="Times New Roman"/>
                <w:sz w:val="16"/>
                <w:szCs w:val="16"/>
                <w:lang w:val="es-ES" w:eastAsia="nl-BE"/>
              </w:rPr>
              <w:t>Lucas (2011), IBM (2014), Diché (2011), Griffin (2010), Hay (2014)</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architecture management</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DAMA-DMBOK (2008)</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Enterprise Architecture</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IBM (2007)</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Management</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Demchenko, De Laat, Membrey (2014)</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development</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DAMA-DMBOK (2008)</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development</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Aiken et al.(2007)</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management</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Diché (2011)</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Retention &amp; archiving</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Chapple (2013)</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Document &amp; Content Management</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DAMA-DMBOK (2008)</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taxonomy</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Todd (2008)</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traceability</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Todd (2008)</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requirements</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Diché (2011)</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 xml:space="preserve">Data content </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Hay (2014)</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administration</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Diché (2011)</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archiving</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Todd (2008)</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lastRenderedPageBreak/>
              <w:t>Data migration</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Todd (2008)</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Audit Information Logging &amp; Reporting</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IBM (2014)</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Information management &amp; usage</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IBM (2007)</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storage</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Todd (2008)</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Third Party Data extract</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Cheong &amp; Chang (2007)</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profiling</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Cheong &amp; Chang (2007), Todd (2008)</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profiling tool</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Cheong &amp; Chang (2007)</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quality</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Khatri &amp; Brown (2010), Diché (2011)</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quality communication strategies</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Lucas (2011)</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quality dimensions</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Lucas (2011)</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Quality Management</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DAMA-DMBOK (2008), IBM (2014), Lucas (2011)</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9F0062" w:rsidRDefault="009F0062" w:rsidP="00C147E1">
            <w:pPr>
              <w:ind w:firstLine="567"/>
              <w:jc w:val="both"/>
              <w:rPr>
                <w:rFonts w:ascii="Verdana" w:eastAsia="Times New Roman" w:hAnsi="Verdana" w:cs="Times New Roman"/>
                <w:sz w:val="16"/>
                <w:szCs w:val="16"/>
                <w:lang w:val="en-US" w:eastAsia="nl-BE"/>
              </w:rPr>
            </w:pPr>
            <w:r w:rsidRPr="009F0062">
              <w:rPr>
                <w:rFonts w:ascii="Verdana" w:eastAsia="Times New Roman" w:hAnsi="Verdana" w:cs="Times New Roman"/>
                <w:sz w:val="16"/>
                <w:szCs w:val="16"/>
                <w:lang w:val="en-US" w:eastAsia="nl-BE"/>
              </w:rPr>
              <w:t>Data quality methodologies, technologies &amp; tools</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Lucas (2011)</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9F0062" w:rsidRDefault="009F0062" w:rsidP="00C147E1">
            <w:pPr>
              <w:ind w:firstLine="567"/>
              <w:jc w:val="both"/>
              <w:rPr>
                <w:rFonts w:ascii="Verdana" w:eastAsia="Times New Roman" w:hAnsi="Verdana" w:cs="Times New Roman"/>
                <w:sz w:val="16"/>
                <w:szCs w:val="16"/>
                <w:lang w:val="en-US" w:eastAsia="nl-BE"/>
              </w:rPr>
            </w:pPr>
            <w:r w:rsidRPr="009F0062">
              <w:rPr>
                <w:rFonts w:ascii="Verdana" w:eastAsia="Times New Roman" w:hAnsi="Verdana" w:cs="Times New Roman"/>
                <w:sz w:val="16"/>
                <w:szCs w:val="16"/>
                <w:lang w:val="en-US" w:eastAsia="nl-BE"/>
              </w:rPr>
              <w:t>Data cleansing (data cleansing tool)</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Cheong &amp; Chang (2007)</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cleansing</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Todd (2008)</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Quality &amp; consistency</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Chapple (2013)</w:t>
            </w:r>
          </w:p>
        </w:tc>
      </w:tr>
      <w:tr w:rsidR="009F0062" w:rsidRPr="00026787" w:rsidTr="00C147E1">
        <w:trPr>
          <w:trHeight w:val="54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Stewardship</w:t>
            </w:r>
          </w:p>
        </w:tc>
        <w:tc>
          <w:tcPr>
            <w:tcW w:w="5020" w:type="dxa"/>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Aiken et al.(2007), Diché (2011), Todd (2008), IBM (2014)</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ownership</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Todd (2008)</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custodianship</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Cheong &amp; Chang (2007)</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Governance metrics</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Griffin (2010)</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Metrics</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Griffin (2011)</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Metrics development &amp; monitoring</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Cheong &amp; Chang (2007)</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Benefits management &amp; reporting</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De Haes &amp; Van Grembergen (2005)</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Value Creation</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IBM (2014)</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monitoring</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Todd (2008)</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Information Life-cycle management</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IBM (2014), IBM (2007)</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retention</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Todd (2008)</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retirement</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Todd (2008)</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lifecycle</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Khatri &amp; Brown (2010)</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Master data management</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DAMA-DMBOK (2008), Todd (2008)</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Reference data management</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Todd (2008)</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 xml:space="preserve">Enterprise Data Model </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IBM (2007)</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Enterprise Data Stores</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IBM (2007)</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Warehousing</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DAMA-DMBOK (2008)</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model/types</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Demchenko, De Laat, Membrey (2014)</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integration</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Lucas (2011), Aiken et al.(2007)</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modeling</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Todd (2008)</w:t>
            </w:r>
          </w:p>
        </w:tc>
      </w:tr>
      <w:tr w:rsidR="009F0062" w:rsidRPr="00B85CB8" w:rsidTr="00C147E1">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Meta data management</w:t>
            </w:r>
          </w:p>
        </w:tc>
        <w:tc>
          <w:tcPr>
            <w:tcW w:w="5020" w:type="dxa"/>
            <w:hideMark/>
          </w:tcPr>
          <w:p w:rsidR="009F0062" w:rsidRPr="009F0062"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val="en-US" w:eastAsia="nl-BE"/>
              </w:rPr>
            </w:pPr>
            <w:r w:rsidRPr="009F0062">
              <w:rPr>
                <w:rFonts w:ascii="Verdana" w:eastAsia="Times New Roman" w:hAnsi="Verdana" w:cs="Times New Roman"/>
                <w:sz w:val="16"/>
                <w:szCs w:val="16"/>
                <w:lang w:val="en-US" w:eastAsia="nl-BE"/>
              </w:rPr>
              <w:t>DAMA-DMBOK (2008), Diché (2011), Cheong &amp; Chang (2007), Todd (2008)</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Metadata</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IBM (2014)</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Metadata</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Khatri &amp; Brown (2010)</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Metadata repository</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Cheong &amp; Chang (2007)</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Business metadata</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Hay (2014)</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Definitions of business metadata</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Hay (2014)</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Organizational bodies &amp; policies</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Cheong &amp; Chang (2007)</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Organization &amp; policies</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Griffin (2010)</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lastRenderedPageBreak/>
              <w:t>Organizational structures ( &amp; Culture)</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IBM (2007)</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Organizational structures (&amp; awareness)</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IBM (2014)</w:t>
            </w:r>
          </w:p>
        </w:tc>
      </w:tr>
      <w:tr w:rsidR="009F0062" w:rsidRPr="00C40D1D"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People</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val="es-ES" w:eastAsia="nl-BE"/>
              </w:rPr>
            </w:pPr>
            <w:r w:rsidRPr="00097CFA">
              <w:rPr>
                <w:rFonts w:ascii="Verdana" w:eastAsia="Times New Roman" w:hAnsi="Verdana" w:cs="Times New Roman"/>
                <w:sz w:val="16"/>
                <w:szCs w:val="16"/>
                <w:lang w:val="es-ES" w:eastAsia="nl-BE"/>
              </w:rPr>
              <w:t>De Abreu Faria, Maçada, Kumar (2013)</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Policies &amp; standards</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Chapple (2013)</w:t>
            </w:r>
          </w:p>
        </w:tc>
      </w:tr>
      <w:tr w:rsidR="009F0062" w:rsidRPr="00C40D1D"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Policies (&amp; practices)</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val="es-ES" w:eastAsia="nl-BE"/>
              </w:rPr>
            </w:pPr>
            <w:r w:rsidRPr="00097CFA">
              <w:rPr>
                <w:rFonts w:ascii="Verdana" w:eastAsia="Times New Roman" w:hAnsi="Verdana" w:cs="Times New Roman"/>
                <w:sz w:val="16"/>
                <w:szCs w:val="16"/>
                <w:lang w:val="es-ES" w:eastAsia="nl-BE"/>
              </w:rPr>
              <w:t>De Abreu Faria, Maçada, Kumar (2013)</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Policy</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IBM (2014)</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Principles &amp; standards</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Griffin (2010)</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Processes&amp; practices</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Griffin (2010)</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Sponsorship</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Lucas (2011)</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Governance policies</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Dyché (2011)</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Governance Structure</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Cheong &amp; Chang (2007)</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Roles, responsibilities &amp; requirements</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Griffin (2011)</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Roadmap</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Griffin (2011)</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Executive Sponsorship</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Diché (2011)</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Decision rights</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Cheong &amp; Chang (2007)</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program coordination</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Aiken et al.(2007)</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governance structure</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Cheong &amp; Chang (2007)</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asset use</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Aiken et al.(2007)</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Business Model</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Mohanty, Jagadeesh, Srivatsa (2013)</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Issue escalation process</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Cheong &amp; Chang (2007)</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policies</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Todd (2008)</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policy</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Lucas (2011)</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principles</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Khatri &amp; Brown (2010)</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standards</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Todd (2008)</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User group charter</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Cheong &amp; Chang (2007)</w:t>
            </w:r>
          </w:p>
        </w:tc>
      </w:tr>
      <w:tr w:rsidR="009F0062" w:rsidRPr="00097CFA" w:rsidTr="00C147E1">
        <w:trPr>
          <w:trHeight w:val="36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Security</w:t>
            </w:r>
          </w:p>
        </w:tc>
        <w:tc>
          <w:tcPr>
            <w:tcW w:w="5020" w:type="dxa"/>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Demchenko, De Laat, Membrey (2014), IBM (2014)</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Security &amp; Access rights</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Dyché (2011)</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Security &amp; Privacy</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Chapple (2013)</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 xml:space="preserve">Data privacy </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Todd (2008)</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access</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Khatri &amp; Brown (2010), Todd (2008)</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 xml:space="preserve">Data Risk Management </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IBM (2014)</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security management</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DAMA-DMBOK (2008)</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access</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Chapple (2013)</w:t>
            </w:r>
          </w:p>
        </w:tc>
      </w:tr>
      <w:tr w:rsidR="009F0062" w:rsidRPr="00B85CB8" w:rsidTr="00C147E1">
        <w:trPr>
          <w:trHeight w:val="598"/>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Technology</w:t>
            </w:r>
          </w:p>
        </w:tc>
        <w:tc>
          <w:tcPr>
            <w:tcW w:w="5020" w:type="dxa"/>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val="fr-FR" w:eastAsia="nl-BE"/>
              </w:rPr>
            </w:pPr>
            <w:r w:rsidRPr="00097CFA">
              <w:rPr>
                <w:rFonts w:ascii="Verdana" w:eastAsia="Times New Roman" w:hAnsi="Verdana" w:cs="Times New Roman"/>
                <w:sz w:val="16"/>
                <w:szCs w:val="16"/>
                <w:lang w:val="fr-FR" w:eastAsia="nl-BE"/>
              </w:rPr>
              <w:t>IBM (2007), Cheong &amp; Chang (2007), De Abreu Faria, Maçada, Kumar (2013), Griffin (2010), Chapple (2013)</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Infrastructure</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Demchenko, De Laat, Membrey (2014)</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 xml:space="preserve">Analytics </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Demchenko, De Laat, Membrey (2014)</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Business Applications</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IBM (2007)</w:t>
            </w:r>
          </w:p>
        </w:tc>
      </w:tr>
      <w:tr w:rsidR="009F0062" w:rsidRPr="00097CFA" w:rsidTr="00C147E1">
        <w:trPr>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support operations</w:t>
            </w:r>
          </w:p>
        </w:tc>
        <w:tc>
          <w:tcPr>
            <w:tcW w:w="5020" w:type="dxa"/>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Aiken et al.(2007)</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0" w:type="dxa"/>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Database operations management</w:t>
            </w:r>
          </w:p>
        </w:tc>
        <w:tc>
          <w:tcPr>
            <w:tcW w:w="5020" w:type="dxa"/>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DAMA-DMBOK (2008)</w:t>
            </w:r>
          </w:p>
        </w:tc>
      </w:tr>
    </w:tbl>
    <w:p w:rsidR="009F0062" w:rsidRPr="00190305" w:rsidRDefault="009F0062" w:rsidP="009F0062">
      <w:pPr>
        <w:pStyle w:val="ListParagraph"/>
        <w:ind w:left="0" w:firstLine="567"/>
        <w:jc w:val="both"/>
        <w:rPr>
          <w:rFonts w:ascii="Times New Roman" w:hAnsi="Times New Roman" w:cs="Times New Roman"/>
          <w:sz w:val="24"/>
          <w:szCs w:val="24"/>
        </w:rPr>
      </w:pPr>
    </w:p>
    <w:p w:rsidR="009F0062" w:rsidRPr="00190305" w:rsidRDefault="009F0062" w:rsidP="009F0062">
      <w:pPr>
        <w:pStyle w:val="ListParagraph"/>
        <w:ind w:left="0" w:firstLine="567"/>
        <w:jc w:val="both"/>
        <w:rPr>
          <w:rFonts w:ascii="Times New Roman" w:hAnsi="Times New Roman" w:cs="Times New Roman"/>
          <w:sz w:val="24"/>
          <w:szCs w:val="24"/>
        </w:rPr>
      </w:pPr>
    </w:p>
    <w:p w:rsidR="009F0062" w:rsidRPr="009F0062" w:rsidRDefault="009F0062" w:rsidP="009F0062">
      <w:pPr>
        <w:rPr>
          <w:rFonts w:ascii="Verdana" w:hAnsi="Verdana"/>
          <w:b/>
          <w:sz w:val="20"/>
          <w:szCs w:val="20"/>
        </w:rPr>
      </w:pPr>
      <w:r w:rsidRPr="009F0062">
        <w:rPr>
          <w:rFonts w:ascii="Verdana" w:hAnsi="Verdana"/>
          <w:b/>
          <w:sz w:val="20"/>
          <w:szCs w:val="20"/>
        </w:rPr>
        <w:t>Appendix C</w:t>
      </w:r>
    </w:p>
    <w:p w:rsidR="009F0062" w:rsidRDefault="009F0062" w:rsidP="009F0062">
      <w:pPr>
        <w:pStyle w:val="ListParagraph"/>
        <w:ind w:left="0" w:firstLine="567"/>
        <w:jc w:val="both"/>
        <w:rPr>
          <w:rFonts w:ascii="Verdana" w:hAnsi="Verdana" w:cs="Arial"/>
          <w:b/>
          <w:sz w:val="20"/>
          <w:szCs w:val="20"/>
        </w:rPr>
      </w:pPr>
    </w:p>
    <w:p w:rsidR="009F0062" w:rsidRDefault="009F0062" w:rsidP="009F0062">
      <w:pPr>
        <w:pStyle w:val="ListParagraph"/>
        <w:ind w:left="0"/>
        <w:jc w:val="both"/>
        <w:rPr>
          <w:rFonts w:ascii="Verdana" w:hAnsi="Verdana" w:cs="Arial"/>
          <w:sz w:val="20"/>
          <w:szCs w:val="20"/>
        </w:rPr>
      </w:pPr>
      <w:r>
        <w:rPr>
          <w:rFonts w:ascii="Verdana" w:hAnsi="Verdana" w:cs="Arial"/>
          <w:sz w:val="20"/>
          <w:szCs w:val="20"/>
        </w:rPr>
        <w:t>Mapping of key process areas to sources : frequency</w:t>
      </w:r>
    </w:p>
    <w:p w:rsidR="009F0062" w:rsidRPr="00917AA5" w:rsidRDefault="009F0062" w:rsidP="009F0062">
      <w:pPr>
        <w:pStyle w:val="ListParagraph"/>
        <w:ind w:left="0"/>
        <w:jc w:val="both"/>
        <w:rPr>
          <w:rFonts w:ascii="Verdana" w:hAnsi="Verdana" w:cs="Arial"/>
          <w:sz w:val="20"/>
          <w:szCs w:val="20"/>
        </w:rPr>
      </w:pPr>
    </w:p>
    <w:p w:rsidR="009F0062" w:rsidRPr="00097CFA" w:rsidRDefault="009F0062" w:rsidP="009F0062">
      <w:pPr>
        <w:pStyle w:val="ListParagraph"/>
        <w:ind w:left="0"/>
        <w:jc w:val="both"/>
        <w:rPr>
          <w:rFonts w:ascii="Verdana" w:hAnsi="Verdana" w:cs="Arial"/>
          <w:sz w:val="20"/>
          <w:szCs w:val="20"/>
        </w:rPr>
      </w:pPr>
      <w:r w:rsidRPr="00097CFA">
        <w:rPr>
          <w:rFonts w:ascii="Verdana" w:hAnsi="Verdana" w:cs="Arial"/>
          <w:sz w:val="20"/>
          <w:szCs w:val="20"/>
        </w:rPr>
        <w:t>All references pertaining to elements which were identified as being part of data governance, information governance, data management or information management programs have been categorized under the “Key process area” label. The “Source” label indicates the reference work. “Count” provides an aggregated count of the number of times a process has been mentioned by more than one source e.g : Compliance has been mentioned by 4 different sources, data access has been mentioned by 3 different sources</w:t>
      </w:r>
    </w:p>
    <w:tbl>
      <w:tblPr>
        <w:tblStyle w:val="LightShading-Accent2"/>
        <w:tblW w:w="5000" w:type="pct"/>
        <w:tblLook w:val="04A0" w:firstRow="1" w:lastRow="0" w:firstColumn="1" w:lastColumn="0" w:noHBand="0" w:noVBand="1"/>
      </w:tblPr>
      <w:tblGrid>
        <w:gridCol w:w="4663"/>
        <w:gridCol w:w="3638"/>
        <w:gridCol w:w="941"/>
      </w:tblGrid>
      <w:tr w:rsidR="009F0062" w:rsidRPr="00097CFA" w:rsidTr="00C147E1">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bCs w:val="0"/>
                <w:sz w:val="16"/>
                <w:szCs w:val="16"/>
                <w:lang w:eastAsia="nl-BE"/>
              </w:rPr>
            </w:pPr>
            <w:r w:rsidRPr="00097CFA">
              <w:rPr>
                <w:rFonts w:ascii="Verdana" w:eastAsia="Times New Roman" w:hAnsi="Verdana" w:cs="Times New Roman"/>
                <w:bCs w:val="0"/>
                <w:sz w:val="16"/>
                <w:szCs w:val="16"/>
                <w:lang w:eastAsia="nl-BE"/>
              </w:rPr>
              <w:t>KEY PROCESS AREA</w:t>
            </w:r>
          </w:p>
        </w:tc>
        <w:tc>
          <w:tcPr>
            <w:tcW w:w="1968" w:type="pct"/>
            <w:noWrap/>
            <w:hideMark/>
          </w:tcPr>
          <w:p w:rsidR="009F0062" w:rsidRPr="00097CFA" w:rsidRDefault="009F0062" w:rsidP="00C147E1">
            <w:pPr>
              <w:ind w:firstLine="567"/>
              <w:jc w:val="both"/>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bCs w:val="0"/>
                <w:sz w:val="16"/>
                <w:szCs w:val="16"/>
                <w:lang w:eastAsia="nl-BE"/>
              </w:rPr>
            </w:pPr>
            <w:r w:rsidRPr="00097CFA">
              <w:rPr>
                <w:rFonts w:ascii="Verdana" w:eastAsia="Times New Roman" w:hAnsi="Verdana" w:cs="Times New Roman"/>
                <w:bCs w:val="0"/>
                <w:sz w:val="16"/>
                <w:szCs w:val="16"/>
                <w:lang w:eastAsia="nl-BE"/>
              </w:rPr>
              <w:t>SOURCE</w:t>
            </w:r>
          </w:p>
        </w:tc>
        <w:tc>
          <w:tcPr>
            <w:tcW w:w="509" w:type="pct"/>
            <w:noWrap/>
            <w:hideMark/>
          </w:tcPr>
          <w:p w:rsidR="009F0062" w:rsidRPr="00097CFA" w:rsidRDefault="009F0062" w:rsidP="00C147E1">
            <w:pPr>
              <w:ind w:firstLine="567"/>
              <w:jc w:val="both"/>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bCs w:val="0"/>
                <w:sz w:val="16"/>
                <w:szCs w:val="16"/>
                <w:lang w:eastAsia="nl-BE"/>
              </w:rPr>
            </w:pPr>
            <w:r w:rsidRPr="00097CFA">
              <w:rPr>
                <w:rFonts w:ascii="Verdana" w:eastAsia="Times New Roman" w:hAnsi="Verdana" w:cs="Times New Roman"/>
                <w:bCs w:val="0"/>
                <w:sz w:val="16"/>
                <w:szCs w:val="16"/>
                <w:lang w:eastAsia="nl-BE"/>
              </w:rPr>
              <w:t>COUNT</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Compliance</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IBM (2014)</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4</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Compliance</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Chapple (2013)</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4</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compliance</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Todd (2008)</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4</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Regulations &amp; Compliance</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IBM (2007)</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4</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access</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Khatri &amp; Brown (2010)</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p>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3</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access</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Todd (2008)</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3</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access</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Chapple (2013)</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3</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architecture</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Lucas (2011)</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7</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Architecture</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IBM (2014)</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7</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architecture</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Diché (2011)</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7</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architecture</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Griffin (2010)</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7</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architecture</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Hay (2014)</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7</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architecture management</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DAMA-DMBOK (2008)</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7</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Enterprise Architecture</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IBM (2007)</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7</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9F0062" w:rsidRDefault="009F0062" w:rsidP="00C147E1">
            <w:pPr>
              <w:ind w:firstLine="567"/>
              <w:jc w:val="both"/>
              <w:rPr>
                <w:rFonts w:ascii="Verdana" w:eastAsia="Times New Roman" w:hAnsi="Verdana" w:cs="Times New Roman"/>
                <w:sz w:val="16"/>
                <w:szCs w:val="16"/>
                <w:lang w:val="en-US" w:eastAsia="nl-BE"/>
              </w:rPr>
            </w:pPr>
            <w:r w:rsidRPr="009F0062">
              <w:rPr>
                <w:rFonts w:ascii="Verdana" w:eastAsia="Times New Roman" w:hAnsi="Verdana" w:cs="Times New Roman"/>
                <w:sz w:val="16"/>
                <w:szCs w:val="16"/>
                <w:lang w:val="en-US" w:eastAsia="nl-BE"/>
              </w:rPr>
              <w:t>Data cleansing (data cleansing tool)</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Cheong &amp; Chang (2007)</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2</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cleansing</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Todd (2008)</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2</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development</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DAMA-DMBOK (2008)</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2</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development</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Aiken et al.(2007)</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2</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integration</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Lucas (2011)</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2</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integration</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Aiken et al.(2007)</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2</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Management</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Demchenko, De Laat, Membrey (2014)</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14</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management</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Diché (2011)</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14</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Retention &amp; archiving</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Chapple (2013)</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14</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Document &amp; Content Management</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DAMA-DMBOK (2008)</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14</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taxonomy</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Todd (2008)</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14</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traceability</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Todd (2008)</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14</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requirements</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Dyché (2011)</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14</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 xml:space="preserve">Data content </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Hay (2014)</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14</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administration</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Dyché (2011)</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14</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archiving</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Todd (2008)</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14</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lastRenderedPageBreak/>
              <w:t>Data migration</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Todd (2008)</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14</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Audit Information Logging &amp; Reporting</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IBM (2014)</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14</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Information management &amp; usage</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IBM (2007)</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14</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Third Party Data extract</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Cheong &amp; Chang (2007)</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14</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 </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 </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policies</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Todd (2008)</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4</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policy</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Lucas (2011)</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4</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principles</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Khatri &amp; Brown (2010)</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4</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standards</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Todd (2008)</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4</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 </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 </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 </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profiling</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Cheong &amp; Chang (2007)</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3</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profiling</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Todd (2008)</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3</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profiling tool</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Cheong &amp; Chang (2007)</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3</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quality</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Khatri &amp; Brown (2010)</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9</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quality</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Diché (2011)</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9</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quality communication strategies</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Lucas (2011)</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9</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quality dimensions</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Lucas (2011)</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9</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Quality Management</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DAMA-DMBOK (2008)</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9</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Quality Management</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IBM (2014)</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9</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quality management</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Lucas (2011)</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9</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9F0062" w:rsidRDefault="009F0062" w:rsidP="00C147E1">
            <w:pPr>
              <w:ind w:firstLine="567"/>
              <w:jc w:val="both"/>
              <w:rPr>
                <w:rFonts w:ascii="Verdana" w:eastAsia="Times New Roman" w:hAnsi="Verdana" w:cs="Times New Roman"/>
                <w:sz w:val="16"/>
                <w:szCs w:val="16"/>
                <w:lang w:val="en-US" w:eastAsia="nl-BE"/>
              </w:rPr>
            </w:pPr>
            <w:r w:rsidRPr="009F0062">
              <w:rPr>
                <w:rFonts w:ascii="Verdana" w:eastAsia="Times New Roman" w:hAnsi="Verdana" w:cs="Times New Roman"/>
                <w:sz w:val="16"/>
                <w:szCs w:val="16"/>
                <w:lang w:val="en-US" w:eastAsia="nl-BE"/>
              </w:rPr>
              <w:t>Data quality methodologies, technologies &amp; tools</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Lucas (2011)</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9</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Quality &amp; consistency</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Chapple (2013)</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9</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 xml:space="preserve">Data Risk Management </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IBM (2014)</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2</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security management</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DAMA-DMBOK (2008)</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2</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Governance metrics</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Griffin (2010)</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4</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Metrics</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Griffin (2011)</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4</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Metrics development &amp; monitoring</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Cheong &amp; Chang (2007)</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4</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monitoring</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Todd (2008)</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4</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Information Life-cycle management</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IBM (2014)</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5</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Information lifecyle management</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IBM (2007)</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5</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retention</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Todd (2008)</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5</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retirement</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Todd (2008)</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5</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lifecycle</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Khatri &amp; Brown (2010)</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5</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Master data management</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DAMA-DMBOK (2008)</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8</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Master data management</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Todd (2008)</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8</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Reference data management</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Todd (2008)</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8</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 xml:space="preserve">Enterprise Data Model </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IBM (2007)</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8</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Enterprise Data Stores</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IBM (2007)</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8</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Warehousing</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DAMA-DMBOK (2008)</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8</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model/types</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Demchenko, De Laat, Membrey (2014)</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8</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lastRenderedPageBreak/>
              <w:t>Data modeling</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Todd (2008)</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8</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 </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 </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 </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Meta data management</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DAMA-DMBOK (2008)</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9</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Metadata</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IBM (2014)</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9</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Metadata</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Khatri &amp; Brown (2010)</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9</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Metadata Management</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Diché (2011)</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9</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Metadata management</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Cheong &amp; Chang (2007)</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9</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Metadata management</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Todd (2008)</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9</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Metadata repository</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Cheong &amp; Chang (2007)</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9</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Business metadata</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Hay (2014)</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9</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Definitions of business metadata</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Hay (2014)</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9</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Organisational bodies &amp; policies</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Cheong &amp; Chang (2007)</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23</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Organization&amp; policies</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Griffin (2010)</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23</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Organizational structures ( &amp; Culture)</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IBM (2007)</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23</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Organizational structures (&amp; awareness)</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IBM (2014)</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23</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People</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val="es-ES" w:eastAsia="nl-BE"/>
              </w:rPr>
            </w:pPr>
            <w:r w:rsidRPr="00097CFA">
              <w:rPr>
                <w:rFonts w:ascii="Verdana" w:eastAsia="Times New Roman" w:hAnsi="Verdana" w:cs="Times New Roman"/>
                <w:sz w:val="16"/>
                <w:szCs w:val="16"/>
                <w:lang w:val="es-ES" w:eastAsia="nl-BE"/>
              </w:rPr>
              <w:t>De Abreu Faria, Maçada, Kumar (2013)</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23</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Policies &amp; standards</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Chapple (2013)</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23</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Policies (&amp; practices)</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val="es-ES" w:eastAsia="nl-BE"/>
              </w:rPr>
            </w:pPr>
            <w:r w:rsidRPr="00097CFA">
              <w:rPr>
                <w:rFonts w:ascii="Verdana" w:eastAsia="Times New Roman" w:hAnsi="Verdana" w:cs="Times New Roman"/>
                <w:sz w:val="16"/>
                <w:szCs w:val="16"/>
                <w:lang w:val="es-ES" w:eastAsia="nl-BE"/>
              </w:rPr>
              <w:t>De Abreu Faria, Maçada, Kumar (2013)</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23</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Policy</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IBM (2014)</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23</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Principles &amp; standards</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Griffin (2010)</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23</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Processes&amp; practices</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Griffin (2010)</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23</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Sponsorship</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Lucas (2011)</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23</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Governance policies</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Diché (2011)</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23</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Governance Structure</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Cheong &amp; Chang (2007)</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23</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Roles, responsibilities &amp; requirements</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Griffin (2011)</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23</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Roadmap</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Griffin (2011)</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23</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Executive Sponsorship</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Diché (2011)</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23</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Decision rights</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Cheong &amp; Chang (2007)</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23</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program coordination</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Aiken et al.(2007)</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23</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governance structure</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Cheong &amp; Chang (2007)</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23</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asset use</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Aiken et al.(2007)</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23</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Business Model</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Mohanty, Jagadeesh, Srivatsa (2013)</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23</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Issue escalation process</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Cheong &amp; Chang (2007)</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23</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User group charter</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Cheong &amp; Chang (2007)</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23</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Stewardship</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Aiken et al.(2007)</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23</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stewardship</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Diché (2011)</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23</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stewardship</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Todd (2008)</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23</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Stewardship</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IBM (2014)</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2</w:t>
            </w:r>
            <w:r w:rsidRPr="00097CFA">
              <w:rPr>
                <w:rFonts w:ascii="Verdana" w:eastAsia="Times New Roman" w:hAnsi="Verdana" w:cs="Times New Roman"/>
                <w:sz w:val="16"/>
                <w:szCs w:val="16"/>
                <w:lang w:eastAsia="nl-BE"/>
              </w:rPr>
              <w:lastRenderedPageBreak/>
              <w:t>3</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lastRenderedPageBreak/>
              <w:t>Data ownership</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Todd (2008)</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23</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custodianship</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Cheong &amp; Chang (2007)</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23</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Security</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Demchenko, De Laat, Membrey (2014)</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5</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Security</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IBM (2014)</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5</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Security &amp; Access rights</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Diché (2011)</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5</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Security &amp; Privacy</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Chapple (2013)</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5</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 xml:space="preserve">Data privacy </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Todd (2008)</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5</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Technology</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IBM (2007)</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7</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Technology</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Cheong &amp; Chang (2007)</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7</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Technology</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val="es-ES" w:eastAsia="nl-BE"/>
              </w:rPr>
            </w:pPr>
            <w:r w:rsidRPr="00097CFA">
              <w:rPr>
                <w:rFonts w:ascii="Verdana" w:eastAsia="Times New Roman" w:hAnsi="Verdana" w:cs="Times New Roman"/>
                <w:sz w:val="16"/>
                <w:szCs w:val="16"/>
                <w:lang w:val="es-ES" w:eastAsia="nl-BE"/>
              </w:rPr>
              <w:t>De Abreu Faria, Maçada, Kumar (2013)</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7</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Technology</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Griffin (2010)</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7</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Technology</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Chapple (2013)</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7</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Data storage</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Todd (2008)</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7</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Infrastructure</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Demchenko, De Laat, Membrey (2014)</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7</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6"/>
                <w:szCs w:val="16"/>
                <w:lang w:eastAsia="nl-BE"/>
              </w:rPr>
            </w:pPr>
            <w:r w:rsidRPr="00097CFA">
              <w:rPr>
                <w:rFonts w:ascii="Verdana" w:eastAsia="Times New Roman" w:hAnsi="Verdana" w:cs="Times New Roman"/>
                <w:color w:val="000000"/>
                <w:sz w:val="16"/>
                <w:szCs w:val="16"/>
                <w:lang w:eastAsia="nl-BE"/>
              </w:rPr>
              <w:t> </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 xml:space="preserve">Analytics </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Demchenko, De Laat, Membrey (2014)</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3</w:t>
            </w:r>
          </w:p>
        </w:tc>
      </w:tr>
      <w:tr w:rsidR="009F0062" w:rsidRPr="00097CFA" w:rsidTr="00C147E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Benefits management &amp; reporting</w:t>
            </w:r>
          </w:p>
        </w:tc>
        <w:tc>
          <w:tcPr>
            <w:tcW w:w="1968"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De Haes &amp; Van Grembergen (2005)</w:t>
            </w:r>
          </w:p>
        </w:tc>
        <w:tc>
          <w:tcPr>
            <w:tcW w:w="509" w:type="pct"/>
            <w:noWrap/>
            <w:hideMark/>
          </w:tcPr>
          <w:p w:rsidR="009F0062" w:rsidRPr="00097CFA" w:rsidRDefault="009F0062" w:rsidP="00C147E1">
            <w:pPr>
              <w:ind w:firstLine="567"/>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3</w:t>
            </w:r>
          </w:p>
        </w:tc>
      </w:tr>
      <w:tr w:rsidR="009F0062" w:rsidRPr="00097CFA" w:rsidTr="00C147E1">
        <w:trPr>
          <w:trHeight w:val="285"/>
        </w:trPr>
        <w:tc>
          <w:tcPr>
            <w:cnfStyle w:val="001000000000" w:firstRow="0" w:lastRow="0" w:firstColumn="1" w:lastColumn="0" w:oddVBand="0" w:evenVBand="0" w:oddHBand="0" w:evenHBand="0" w:firstRowFirstColumn="0" w:firstRowLastColumn="0" w:lastRowFirstColumn="0" w:lastRowLastColumn="0"/>
            <w:tcW w:w="2522" w:type="pct"/>
            <w:noWrap/>
            <w:hideMark/>
          </w:tcPr>
          <w:p w:rsidR="009F0062" w:rsidRPr="00097CFA" w:rsidRDefault="009F0062" w:rsidP="00C147E1">
            <w:pPr>
              <w:ind w:firstLine="567"/>
              <w:jc w:val="both"/>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Value Creation</w:t>
            </w:r>
          </w:p>
        </w:tc>
        <w:tc>
          <w:tcPr>
            <w:tcW w:w="1968"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IBM (2014)</w:t>
            </w:r>
          </w:p>
        </w:tc>
        <w:tc>
          <w:tcPr>
            <w:tcW w:w="509" w:type="pct"/>
            <w:noWrap/>
            <w:hideMark/>
          </w:tcPr>
          <w:p w:rsidR="009F0062" w:rsidRPr="00097CFA" w:rsidRDefault="009F0062" w:rsidP="00C147E1">
            <w:pPr>
              <w:ind w:firstLine="567"/>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6"/>
                <w:szCs w:val="16"/>
                <w:lang w:eastAsia="nl-BE"/>
              </w:rPr>
            </w:pPr>
            <w:r w:rsidRPr="00097CFA">
              <w:rPr>
                <w:rFonts w:ascii="Verdana" w:eastAsia="Times New Roman" w:hAnsi="Verdana" w:cs="Times New Roman"/>
                <w:sz w:val="16"/>
                <w:szCs w:val="16"/>
                <w:lang w:eastAsia="nl-BE"/>
              </w:rPr>
              <w:t>3</w:t>
            </w:r>
          </w:p>
        </w:tc>
      </w:tr>
    </w:tbl>
    <w:p w:rsidR="009F0062" w:rsidRPr="00190305" w:rsidRDefault="009F0062" w:rsidP="009F0062">
      <w:pPr>
        <w:pStyle w:val="ListParagraph"/>
        <w:ind w:left="0" w:firstLine="567"/>
        <w:jc w:val="both"/>
        <w:rPr>
          <w:rFonts w:ascii="Times New Roman" w:hAnsi="Times New Roman" w:cs="Times New Roman"/>
          <w:sz w:val="24"/>
          <w:szCs w:val="24"/>
        </w:rPr>
      </w:pPr>
    </w:p>
    <w:p w:rsidR="009F0062" w:rsidRPr="00190305" w:rsidRDefault="009F0062" w:rsidP="009F0062">
      <w:pPr>
        <w:pStyle w:val="ListParagraph"/>
        <w:ind w:left="0" w:firstLine="567"/>
        <w:jc w:val="both"/>
        <w:rPr>
          <w:rFonts w:ascii="Times New Roman" w:hAnsi="Times New Roman" w:cs="Times New Roman"/>
          <w:sz w:val="24"/>
          <w:szCs w:val="24"/>
        </w:rPr>
      </w:pPr>
    </w:p>
    <w:p w:rsidR="009F0062" w:rsidRPr="00190305" w:rsidRDefault="009F0062" w:rsidP="009F0062">
      <w:pPr>
        <w:pStyle w:val="ListParagraph"/>
        <w:ind w:left="0" w:firstLine="567"/>
        <w:jc w:val="both"/>
        <w:rPr>
          <w:rFonts w:ascii="Times New Roman" w:hAnsi="Times New Roman" w:cs="Times New Roman"/>
          <w:sz w:val="24"/>
          <w:szCs w:val="24"/>
        </w:rPr>
      </w:pPr>
    </w:p>
    <w:p w:rsidR="009F0062" w:rsidRPr="00190305" w:rsidRDefault="009F0062" w:rsidP="009F0062">
      <w:pPr>
        <w:pStyle w:val="ListParagraph"/>
        <w:ind w:left="0" w:firstLine="567"/>
        <w:jc w:val="both"/>
        <w:rPr>
          <w:rFonts w:ascii="Times New Roman" w:hAnsi="Times New Roman" w:cs="Times New Roman"/>
          <w:sz w:val="24"/>
          <w:szCs w:val="24"/>
        </w:rPr>
      </w:pPr>
    </w:p>
    <w:p w:rsidR="009F0062" w:rsidRPr="00190305" w:rsidRDefault="009F0062" w:rsidP="009F0062">
      <w:pPr>
        <w:pStyle w:val="ListParagraph"/>
        <w:ind w:left="0" w:firstLine="567"/>
        <w:jc w:val="both"/>
        <w:rPr>
          <w:rFonts w:ascii="Times New Roman" w:hAnsi="Times New Roman" w:cs="Times New Roman"/>
          <w:sz w:val="24"/>
          <w:szCs w:val="24"/>
        </w:rPr>
      </w:pPr>
    </w:p>
    <w:p w:rsidR="009F0062" w:rsidRPr="00190305" w:rsidRDefault="009F0062" w:rsidP="009F0062">
      <w:pPr>
        <w:pStyle w:val="ListParagraph"/>
        <w:ind w:left="0" w:firstLine="567"/>
        <w:jc w:val="both"/>
        <w:rPr>
          <w:rFonts w:ascii="Times New Roman" w:hAnsi="Times New Roman" w:cs="Times New Roman"/>
          <w:sz w:val="24"/>
          <w:szCs w:val="24"/>
        </w:rPr>
      </w:pPr>
    </w:p>
    <w:p w:rsidR="009F0062" w:rsidRPr="00E71D56" w:rsidRDefault="009F0062" w:rsidP="009F0062">
      <w:pPr>
        <w:pStyle w:val="ListParagraph"/>
        <w:ind w:left="0"/>
        <w:jc w:val="both"/>
        <w:rPr>
          <w:rFonts w:ascii="Verdana" w:hAnsi="Verdana" w:cs="Times New Roman"/>
          <w:b/>
          <w:sz w:val="20"/>
          <w:szCs w:val="20"/>
        </w:rPr>
      </w:pPr>
      <w:r w:rsidRPr="00E71D56">
        <w:rPr>
          <w:rFonts w:ascii="Verdana" w:hAnsi="Verdana" w:cs="Times New Roman"/>
          <w:b/>
          <w:sz w:val="20"/>
          <w:szCs w:val="20"/>
        </w:rPr>
        <w:t>Appendix D</w:t>
      </w:r>
    </w:p>
    <w:p w:rsidR="009F0062" w:rsidRPr="00190305" w:rsidRDefault="009F0062" w:rsidP="009F0062">
      <w:pPr>
        <w:pStyle w:val="ListParagraph"/>
        <w:ind w:left="0" w:firstLine="567"/>
        <w:jc w:val="both"/>
        <w:rPr>
          <w:rFonts w:ascii="Times New Roman" w:hAnsi="Times New Roman" w:cs="Times New Roman"/>
          <w:sz w:val="24"/>
          <w:szCs w:val="24"/>
        </w:rPr>
      </w:pPr>
    </w:p>
    <w:p w:rsidR="009F0062" w:rsidRPr="009F0062" w:rsidRDefault="009F0062" w:rsidP="009F0062">
      <w:pPr>
        <w:rPr>
          <w:rFonts w:ascii="Verdana" w:hAnsi="Verdana"/>
          <w:sz w:val="20"/>
          <w:szCs w:val="20"/>
          <w:lang w:val="en-US"/>
        </w:rPr>
      </w:pPr>
      <w:r w:rsidRPr="009F0062">
        <w:rPr>
          <w:rFonts w:ascii="Verdana" w:hAnsi="Verdana"/>
          <w:sz w:val="20"/>
          <w:szCs w:val="20"/>
          <w:lang w:val="en-US"/>
        </w:rPr>
        <w:t xml:space="preserve">Teradata New Regulations Outlined in “Principles for Effective Risk Data Aggregation and Risk Reporting” and Derived Platform Requirements (Kindler, 2013, pp.5) </w:t>
      </w:r>
    </w:p>
    <w:p w:rsidR="009F0062" w:rsidRDefault="009F0062" w:rsidP="009F0062">
      <w:pPr>
        <w:rPr>
          <w:rFonts w:ascii="Verdana" w:hAnsi="Verdana"/>
          <w:sz w:val="20"/>
          <w:szCs w:val="20"/>
        </w:rPr>
      </w:pPr>
      <w:r>
        <w:rPr>
          <w:noProof/>
          <w:lang w:val="en-GB" w:eastAsia="en-GB"/>
        </w:rPr>
        <w:lastRenderedPageBreak/>
        <w:drawing>
          <wp:inline distT="0" distB="0" distL="0" distR="0" wp14:anchorId="28D0940E" wp14:editId="64CCB6A0">
            <wp:extent cx="5731510" cy="4118571"/>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31510" cy="4118571"/>
                    </a:xfrm>
                    <a:prstGeom prst="rect">
                      <a:avLst/>
                    </a:prstGeom>
                  </pic:spPr>
                </pic:pic>
              </a:graphicData>
            </a:graphic>
          </wp:inline>
        </w:drawing>
      </w:r>
    </w:p>
    <w:p w:rsidR="009F0062" w:rsidRDefault="009F0062" w:rsidP="009F0062">
      <w:pPr>
        <w:rPr>
          <w:rFonts w:ascii="Verdana" w:hAnsi="Verdana"/>
          <w:sz w:val="20"/>
          <w:szCs w:val="20"/>
        </w:rPr>
      </w:pPr>
      <w:r>
        <w:rPr>
          <w:noProof/>
          <w:lang w:val="en-GB" w:eastAsia="en-GB"/>
        </w:rPr>
        <w:lastRenderedPageBreak/>
        <w:drawing>
          <wp:inline distT="0" distB="0" distL="0" distR="0" wp14:anchorId="1C86F44A" wp14:editId="00567E66">
            <wp:extent cx="5731510" cy="5672403"/>
            <wp:effectExtent l="0" t="0" r="254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31510" cy="5672403"/>
                    </a:xfrm>
                    <a:prstGeom prst="rect">
                      <a:avLst/>
                    </a:prstGeom>
                  </pic:spPr>
                </pic:pic>
              </a:graphicData>
            </a:graphic>
          </wp:inline>
        </w:drawing>
      </w:r>
    </w:p>
    <w:p w:rsidR="009F0062" w:rsidRDefault="009F0062" w:rsidP="009F0062">
      <w:pPr>
        <w:rPr>
          <w:rFonts w:ascii="Verdana" w:hAnsi="Verdana"/>
          <w:sz w:val="20"/>
          <w:szCs w:val="20"/>
        </w:rPr>
      </w:pPr>
      <w:r>
        <w:rPr>
          <w:noProof/>
          <w:lang w:val="en-GB" w:eastAsia="en-GB"/>
        </w:rPr>
        <w:lastRenderedPageBreak/>
        <w:drawing>
          <wp:inline distT="0" distB="0" distL="0" distR="0" wp14:anchorId="113BB56C" wp14:editId="3AABA3B6">
            <wp:extent cx="5731510" cy="6194004"/>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31510" cy="6194004"/>
                    </a:xfrm>
                    <a:prstGeom prst="rect">
                      <a:avLst/>
                    </a:prstGeom>
                  </pic:spPr>
                </pic:pic>
              </a:graphicData>
            </a:graphic>
          </wp:inline>
        </w:drawing>
      </w:r>
    </w:p>
    <w:p w:rsidR="009F0062" w:rsidRDefault="009F0062" w:rsidP="009F0062">
      <w:pPr>
        <w:rPr>
          <w:rFonts w:ascii="Verdana" w:hAnsi="Verdana"/>
          <w:sz w:val="20"/>
          <w:szCs w:val="20"/>
        </w:rPr>
      </w:pPr>
      <w:r>
        <w:rPr>
          <w:noProof/>
          <w:lang w:val="en-GB" w:eastAsia="en-GB"/>
        </w:rPr>
        <w:drawing>
          <wp:inline distT="0" distB="0" distL="0" distR="0" wp14:anchorId="65B45D28" wp14:editId="5366A3FE">
            <wp:extent cx="5731510" cy="2294188"/>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31510" cy="2294188"/>
                    </a:xfrm>
                    <a:prstGeom prst="rect">
                      <a:avLst/>
                    </a:prstGeom>
                  </pic:spPr>
                </pic:pic>
              </a:graphicData>
            </a:graphic>
          </wp:inline>
        </w:drawing>
      </w:r>
    </w:p>
    <w:p w:rsidR="009F0062" w:rsidRPr="009F0062" w:rsidRDefault="009F0062" w:rsidP="009F0062">
      <w:pPr>
        <w:rPr>
          <w:rFonts w:ascii="Verdana" w:hAnsi="Verdana"/>
          <w:b/>
          <w:sz w:val="20"/>
          <w:szCs w:val="20"/>
          <w:lang w:val="en-US"/>
        </w:rPr>
      </w:pPr>
      <w:r w:rsidRPr="009F0062">
        <w:rPr>
          <w:rFonts w:ascii="Verdana" w:hAnsi="Verdana"/>
          <w:b/>
          <w:sz w:val="20"/>
          <w:szCs w:val="20"/>
          <w:lang w:val="en-US"/>
        </w:rPr>
        <w:lastRenderedPageBreak/>
        <w:t>Appendix E</w:t>
      </w:r>
    </w:p>
    <w:p w:rsidR="009F0062" w:rsidRPr="009F0062" w:rsidRDefault="009F0062" w:rsidP="009F0062">
      <w:pPr>
        <w:rPr>
          <w:rFonts w:ascii="Verdana" w:hAnsi="Verdana"/>
          <w:sz w:val="20"/>
          <w:szCs w:val="20"/>
          <w:lang w:val="en-US"/>
        </w:rPr>
      </w:pPr>
      <w:r w:rsidRPr="009F0062">
        <w:rPr>
          <w:rFonts w:ascii="Verdana" w:hAnsi="Verdana"/>
          <w:sz w:val="20"/>
          <w:szCs w:val="20"/>
          <w:lang w:val="en-US"/>
        </w:rPr>
        <w:t>Ranking of data governance elements based on the Basel III framework</w:t>
      </w:r>
    </w:p>
    <w:tbl>
      <w:tblPr>
        <w:tblStyle w:val="LightShading-Accent2"/>
        <w:tblW w:w="0" w:type="auto"/>
        <w:tblLook w:val="04A0" w:firstRow="1" w:lastRow="0" w:firstColumn="1" w:lastColumn="0" w:noHBand="0" w:noVBand="1"/>
      </w:tblPr>
      <w:tblGrid>
        <w:gridCol w:w="2903"/>
        <w:gridCol w:w="3704"/>
        <w:gridCol w:w="2635"/>
      </w:tblGrid>
      <w:tr w:rsidR="009F0062" w:rsidRPr="00C40D1D" w:rsidTr="00C147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dxa"/>
          </w:tcPr>
          <w:p w:rsidR="009F0062" w:rsidRPr="00BD7E43" w:rsidRDefault="009F0062" w:rsidP="00C147E1">
            <w:pPr>
              <w:pStyle w:val="ListParagraph"/>
              <w:ind w:left="0"/>
              <w:jc w:val="center"/>
              <w:rPr>
                <w:rFonts w:ascii="Verdana" w:hAnsi="Verdana" w:cs="Times New Roman"/>
                <w:b w:val="0"/>
                <w:sz w:val="16"/>
                <w:szCs w:val="16"/>
              </w:rPr>
            </w:pPr>
            <w:r w:rsidRPr="00BD7E43">
              <w:rPr>
                <w:rFonts w:ascii="Verdana" w:hAnsi="Verdana" w:cs="Times New Roman"/>
                <w:sz w:val="16"/>
                <w:szCs w:val="16"/>
              </w:rPr>
              <w:t>Process</w:t>
            </w:r>
          </w:p>
        </w:tc>
        <w:tc>
          <w:tcPr>
            <w:tcW w:w="3704" w:type="dxa"/>
          </w:tcPr>
          <w:p w:rsidR="009F0062" w:rsidRPr="00BD7E43" w:rsidRDefault="009F0062" w:rsidP="00C147E1">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Verdana" w:hAnsi="Verdana" w:cs="Times New Roman"/>
                <w:b w:val="0"/>
                <w:sz w:val="16"/>
                <w:szCs w:val="16"/>
              </w:rPr>
            </w:pPr>
            <w:r w:rsidRPr="00BD7E43">
              <w:rPr>
                <w:rFonts w:ascii="Verdana" w:hAnsi="Verdana" w:cs="Times New Roman"/>
                <w:sz w:val="16"/>
                <w:szCs w:val="16"/>
              </w:rPr>
              <w:t>Sub-process</w:t>
            </w:r>
          </w:p>
        </w:tc>
        <w:tc>
          <w:tcPr>
            <w:tcW w:w="2635" w:type="dxa"/>
          </w:tcPr>
          <w:p w:rsidR="009F0062" w:rsidRPr="00BD7E43" w:rsidRDefault="009F0062" w:rsidP="00C147E1">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Verdana" w:hAnsi="Verdana" w:cs="Times New Roman"/>
                <w:sz w:val="16"/>
                <w:szCs w:val="16"/>
              </w:rPr>
            </w:pPr>
            <w:r w:rsidRPr="00BD7E43">
              <w:rPr>
                <w:rFonts w:ascii="Verdana" w:hAnsi="Verdana" w:cs="Times New Roman"/>
                <w:sz w:val="16"/>
                <w:szCs w:val="16"/>
              </w:rPr>
              <w:t>Frequency in Basel III principles &amp; guidelines</w:t>
            </w:r>
          </w:p>
        </w:tc>
      </w:tr>
      <w:tr w:rsidR="009F0062" w:rsidRPr="00BD7E43" w:rsidTr="00C147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dxa"/>
          </w:tcPr>
          <w:p w:rsidR="009F0062" w:rsidRPr="00BD7E43" w:rsidRDefault="009F0062" w:rsidP="00C147E1">
            <w:pPr>
              <w:pStyle w:val="ListParagraph"/>
              <w:ind w:left="0"/>
              <w:jc w:val="center"/>
              <w:rPr>
                <w:rFonts w:ascii="Verdana" w:hAnsi="Verdana" w:cs="Times New Roman"/>
                <w:sz w:val="16"/>
                <w:szCs w:val="16"/>
              </w:rPr>
            </w:pPr>
            <w:r w:rsidRPr="00BD7E43">
              <w:rPr>
                <w:rFonts w:ascii="Verdana" w:hAnsi="Verdana" w:cs="Times New Roman"/>
                <w:sz w:val="16"/>
                <w:szCs w:val="16"/>
              </w:rPr>
              <w:t>Roles, structures &amp; policies</w:t>
            </w:r>
          </w:p>
        </w:tc>
        <w:tc>
          <w:tcPr>
            <w:tcW w:w="3704" w:type="dxa"/>
          </w:tcPr>
          <w:p w:rsidR="009F0062" w:rsidRPr="00BD7E43" w:rsidRDefault="009F0062" w:rsidP="009F0062">
            <w:pPr>
              <w:pStyle w:val="ListParagraph"/>
              <w:numPr>
                <w:ilvl w:val="0"/>
                <w:numId w:val="10"/>
              </w:numPr>
              <w:spacing w:after="0" w:line="240" w:lineRule="auto"/>
              <w:ind w:left="499" w:hanging="283"/>
              <w:cnfStyle w:val="000000100000" w:firstRow="0" w:lastRow="0" w:firstColumn="0" w:lastColumn="0" w:oddVBand="0" w:evenVBand="0" w:oddHBand="1" w:evenHBand="0" w:firstRowFirstColumn="0" w:firstRowLastColumn="0" w:lastRowFirstColumn="0" w:lastRowLastColumn="0"/>
              <w:rPr>
                <w:rFonts w:ascii="Verdana" w:hAnsi="Verdana" w:cs="Times New Roman"/>
                <w:color w:val="auto"/>
                <w:sz w:val="16"/>
                <w:szCs w:val="16"/>
              </w:rPr>
            </w:pPr>
            <w:r w:rsidRPr="00BD7E43">
              <w:rPr>
                <w:rFonts w:ascii="Verdana" w:hAnsi="Verdana" w:cs="Times New Roman"/>
                <w:color w:val="auto"/>
                <w:sz w:val="16"/>
                <w:szCs w:val="16"/>
              </w:rPr>
              <w:t>Culture and awareness</w:t>
            </w:r>
          </w:p>
          <w:p w:rsidR="009F0062" w:rsidRPr="00BD7E43" w:rsidRDefault="009F0062" w:rsidP="009F0062">
            <w:pPr>
              <w:pStyle w:val="ListParagraph"/>
              <w:numPr>
                <w:ilvl w:val="0"/>
                <w:numId w:val="10"/>
              </w:numPr>
              <w:spacing w:after="0" w:line="240" w:lineRule="auto"/>
              <w:ind w:left="499" w:hanging="283"/>
              <w:cnfStyle w:val="000000100000" w:firstRow="0" w:lastRow="0" w:firstColumn="0" w:lastColumn="0" w:oddVBand="0" w:evenVBand="0" w:oddHBand="1" w:evenHBand="0" w:firstRowFirstColumn="0" w:firstRowLastColumn="0" w:lastRowFirstColumn="0" w:lastRowLastColumn="0"/>
              <w:rPr>
                <w:rFonts w:ascii="Verdana" w:hAnsi="Verdana" w:cs="Times New Roman"/>
                <w:color w:val="auto"/>
                <w:sz w:val="16"/>
                <w:szCs w:val="16"/>
              </w:rPr>
            </w:pPr>
            <w:r w:rsidRPr="00BD7E43">
              <w:rPr>
                <w:rFonts w:ascii="Verdana" w:hAnsi="Verdana" w:cs="Times New Roman"/>
                <w:color w:val="auto"/>
                <w:sz w:val="16"/>
                <w:szCs w:val="16"/>
              </w:rPr>
              <w:t>People</w:t>
            </w:r>
          </w:p>
          <w:p w:rsidR="009F0062" w:rsidRPr="00BD7E43" w:rsidRDefault="009F0062" w:rsidP="009F0062">
            <w:pPr>
              <w:pStyle w:val="ListParagraph"/>
              <w:numPr>
                <w:ilvl w:val="0"/>
                <w:numId w:val="10"/>
              </w:numPr>
              <w:spacing w:after="0" w:line="240" w:lineRule="auto"/>
              <w:ind w:left="499" w:hanging="283"/>
              <w:cnfStyle w:val="000000100000" w:firstRow="0" w:lastRow="0" w:firstColumn="0" w:lastColumn="0" w:oddVBand="0" w:evenVBand="0" w:oddHBand="1" w:evenHBand="0" w:firstRowFirstColumn="0" w:firstRowLastColumn="0" w:lastRowFirstColumn="0" w:lastRowLastColumn="0"/>
              <w:rPr>
                <w:rFonts w:ascii="Verdana" w:hAnsi="Verdana" w:cs="Times New Roman"/>
                <w:color w:val="auto"/>
                <w:sz w:val="16"/>
                <w:szCs w:val="16"/>
              </w:rPr>
            </w:pPr>
            <w:r w:rsidRPr="00BD7E43">
              <w:rPr>
                <w:rFonts w:ascii="Verdana" w:hAnsi="Verdana" w:cs="Times New Roman"/>
                <w:color w:val="auto"/>
                <w:sz w:val="16"/>
                <w:szCs w:val="16"/>
              </w:rPr>
              <w:t>Policies and standards</w:t>
            </w:r>
          </w:p>
          <w:p w:rsidR="009F0062" w:rsidRPr="00BD7E43" w:rsidRDefault="009F0062" w:rsidP="009F0062">
            <w:pPr>
              <w:pStyle w:val="ListParagraph"/>
              <w:numPr>
                <w:ilvl w:val="0"/>
                <w:numId w:val="10"/>
              </w:numPr>
              <w:spacing w:after="0" w:line="240" w:lineRule="auto"/>
              <w:ind w:left="499" w:hanging="283"/>
              <w:cnfStyle w:val="000000100000" w:firstRow="0" w:lastRow="0" w:firstColumn="0" w:lastColumn="0" w:oddVBand="0" w:evenVBand="0" w:oddHBand="1" w:evenHBand="0" w:firstRowFirstColumn="0" w:firstRowLastColumn="0" w:lastRowFirstColumn="0" w:lastRowLastColumn="0"/>
              <w:rPr>
                <w:rFonts w:ascii="Verdana" w:hAnsi="Verdana" w:cs="Times New Roman"/>
                <w:color w:val="auto"/>
                <w:sz w:val="16"/>
                <w:szCs w:val="16"/>
              </w:rPr>
            </w:pPr>
            <w:r w:rsidRPr="00BD7E43">
              <w:rPr>
                <w:rFonts w:ascii="Verdana" w:hAnsi="Verdana" w:cs="Times New Roman"/>
                <w:color w:val="auto"/>
                <w:sz w:val="16"/>
                <w:szCs w:val="16"/>
              </w:rPr>
              <w:t>Business model</w:t>
            </w:r>
          </w:p>
          <w:p w:rsidR="009F0062" w:rsidRPr="00BD7E43" w:rsidRDefault="009F0062" w:rsidP="009F0062">
            <w:pPr>
              <w:pStyle w:val="ListParagraph"/>
              <w:numPr>
                <w:ilvl w:val="0"/>
                <w:numId w:val="10"/>
              </w:numPr>
              <w:spacing w:after="0" w:line="240" w:lineRule="auto"/>
              <w:ind w:left="499" w:hanging="283"/>
              <w:cnfStyle w:val="000000100000" w:firstRow="0" w:lastRow="0" w:firstColumn="0" w:lastColumn="0" w:oddVBand="0" w:evenVBand="0" w:oddHBand="1" w:evenHBand="0" w:firstRowFirstColumn="0" w:firstRowLastColumn="0" w:lastRowFirstColumn="0" w:lastRowLastColumn="0"/>
              <w:rPr>
                <w:rFonts w:ascii="Verdana" w:hAnsi="Verdana" w:cs="Times New Roman"/>
                <w:color w:val="auto"/>
                <w:sz w:val="16"/>
                <w:szCs w:val="16"/>
              </w:rPr>
            </w:pPr>
            <w:r w:rsidRPr="00BD7E43">
              <w:rPr>
                <w:rFonts w:ascii="Verdana" w:hAnsi="Verdana" w:cs="Times New Roman"/>
                <w:color w:val="auto"/>
                <w:sz w:val="16"/>
                <w:szCs w:val="16"/>
              </w:rPr>
              <w:t>Processes &amp; practices</w:t>
            </w:r>
          </w:p>
          <w:p w:rsidR="009F0062" w:rsidRPr="00BD7E43" w:rsidRDefault="009F0062" w:rsidP="009F0062">
            <w:pPr>
              <w:pStyle w:val="ListParagraph"/>
              <w:numPr>
                <w:ilvl w:val="0"/>
                <w:numId w:val="10"/>
              </w:numPr>
              <w:spacing w:after="0" w:line="240" w:lineRule="auto"/>
              <w:ind w:left="499" w:hanging="283"/>
              <w:cnfStyle w:val="000000100000" w:firstRow="0" w:lastRow="0" w:firstColumn="0" w:lastColumn="0" w:oddVBand="0" w:evenVBand="0" w:oddHBand="1" w:evenHBand="0" w:firstRowFirstColumn="0" w:firstRowLastColumn="0" w:lastRowFirstColumn="0" w:lastRowLastColumn="0"/>
              <w:rPr>
                <w:rFonts w:ascii="Verdana" w:hAnsi="Verdana" w:cs="Times New Roman"/>
                <w:color w:val="auto"/>
                <w:sz w:val="16"/>
                <w:szCs w:val="16"/>
              </w:rPr>
            </w:pPr>
            <w:r w:rsidRPr="00BD7E43">
              <w:rPr>
                <w:rFonts w:ascii="Verdana" w:hAnsi="Verdana" w:cs="Times New Roman"/>
                <w:color w:val="auto"/>
                <w:sz w:val="16"/>
                <w:szCs w:val="16"/>
              </w:rPr>
              <w:t>Data stewardship</w:t>
            </w:r>
          </w:p>
        </w:tc>
        <w:tc>
          <w:tcPr>
            <w:tcW w:w="2635" w:type="dxa"/>
          </w:tcPr>
          <w:p w:rsidR="009F0062" w:rsidRPr="00BD7E43" w:rsidRDefault="009F0062" w:rsidP="00C147E1">
            <w:pPr>
              <w:pStyle w:val="ListParagraph"/>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D7E43">
              <w:rPr>
                <w:rFonts w:ascii="Verdana" w:hAnsi="Verdana" w:cs="Times New Roman"/>
                <w:sz w:val="16"/>
                <w:szCs w:val="16"/>
              </w:rPr>
              <w:t>0</w:t>
            </w:r>
          </w:p>
          <w:p w:rsidR="009F0062" w:rsidRPr="00BD7E43" w:rsidRDefault="009F0062" w:rsidP="00C147E1">
            <w:pPr>
              <w:pStyle w:val="ListParagraph"/>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D7E43">
              <w:rPr>
                <w:rFonts w:ascii="Verdana" w:hAnsi="Verdana" w:cs="Times New Roman"/>
                <w:sz w:val="16"/>
                <w:szCs w:val="16"/>
              </w:rPr>
              <w:t>0</w:t>
            </w:r>
          </w:p>
          <w:p w:rsidR="009F0062" w:rsidRPr="00BD7E43" w:rsidRDefault="009F0062" w:rsidP="00C147E1">
            <w:pPr>
              <w:pStyle w:val="ListParagraph"/>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D7E43">
              <w:rPr>
                <w:rFonts w:ascii="Verdana" w:hAnsi="Verdana" w:cs="Times New Roman"/>
                <w:sz w:val="16"/>
                <w:szCs w:val="16"/>
              </w:rPr>
              <w:t>1</w:t>
            </w:r>
          </w:p>
          <w:p w:rsidR="009F0062" w:rsidRPr="00BD7E43" w:rsidRDefault="009F0062" w:rsidP="00C147E1">
            <w:pPr>
              <w:pStyle w:val="ListParagraph"/>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D7E43">
              <w:rPr>
                <w:rFonts w:ascii="Verdana" w:hAnsi="Verdana" w:cs="Times New Roman"/>
                <w:sz w:val="16"/>
                <w:szCs w:val="16"/>
              </w:rPr>
              <w:t>0</w:t>
            </w:r>
          </w:p>
          <w:p w:rsidR="009F0062" w:rsidRPr="00BD7E43" w:rsidRDefault="009F0062" w:rsidP="00C147E1">
            <w:pPr>
              <w:pStyle w:val="ListParagraph"/>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D7E43">
              <w:rPr>
                <w:rFonts w:ascii="Verdana" w:hAnsi="Verdana" w:cs="Times New Roman"/>
                <w:sz w:val="16"/>
                <w:szCs w:val="16"/>
              </w:rPr>
              <w:t>1</w:t>
            </w:r>
          </w:p>
          <w:p w:rsidR="009F0062" w:rsidRPr="00BD7E43" w:rsidRDefault="009F0062" w:rsidP="00C147E1">
            <w:pPr>
              <w:pStyle w:val="ListParagraph"/>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D7E43">
              <w:rPr>
                <w:rFonts w:ascii="Verdana" w:hAnsi="Verdana" w:cs="Times New Roman"/>
                <w:sz w:val="16"/>
                <w:szCs w:val="16"/>
              </w:rPr>
              <w:t>0</w:t>
            </w:r>
          </w:p>
        </w:tc>
      </w:tr>
      <w:tr w:rsidR="009F0062" w:rsidRPr="00BD7E43" w:rsidTr="00C147E1">
        <w:tc>
          <w:tcPr>
            <w:cnfStyle w:val="001000000000" w:firstRow="0" w:lastRow="0" w:firstColumn="1" w:lastColumn="0" w:oddVBand="0" w:evenVBand="0" w:oddHBand="0" w:evenHBand="0" w:firstRowFirstColumn="0" w:firstRowLastColumn="0" w:lastRowFirstColumn="0" w:lastRowLastColumn="0"/>
            <w:tcW w:w="2903" w:type="dxa"/>
          </w:tcPr>
          <w:p w:rsidR="009F0062" w:rsidRPr="00BD7E43" w:rsidRDefault="009F0062" w:rsidP="00C147E1">
            <w:pPr>
              <w:pStyle w:val="ListParagraph"/>
              <w:ind w:left="0"/>
              <w:jc w:val="center"/>
              <w:rPr>
                <w:rFonts w:ascii="Verdana" w:hAnsi="Verdana" w:cs="Times New Roman"/>
                <w:sz w:val="16"/>
                <w:szCs w:val="16"/>
              </w:rPr>
            </w:pPr>
            <w:r w:rsidRPr="00BD7E43">
              <w:rPr>
                <w:rFonts w:ascii="Verdana" w:hAnsi="Verdana" w:cs="Times New Roman"/>
                <w:sz w:val="16"/>
                <w:szCs w:val="16"/>
              </w:rPr>
              <w:t>Data management</w:t>
            </w:r>
          </w:p>
        </w:tc>
        <w:tc>
          <w:tcPr>
            <w:tcW w:w="3704" w:type="dxa"/>
          </w:tcPr>
          <w:p w:rsidR="009F0062" w:rsidRPr="00BD7E43" w:rsidRDefault="009F0062" w:rsidP="009F0062">
            <w:pPr>
              <w:pStyle w:val="ListParagraph"/>
              <w:numPr>
                <w:ilvl w:val="0"/>
                <w:numId w:val="11"/>
              </w:numPr>
              <w:spacing w:after="0" w:line="240" w:lineRule="auto"/>
              <w:ind w:left="499" w:hanging="283"/>
              <w:cnfStyle w:val="000000000000" w:firstRow="0" w:lastRow="0" w:firstColumn="0" w:lastColumn="0" w:oddVBand="0" w:evenVBand="0" w:oddHBand="0" w:evenHBand="0" w:firstRowFirstColumn="0" w:firstRowLastColumn="0" w:lastRowFirstColumn="0" w:lastRowLastColumn="0"/>
              <w:rPr>
                <w:rFonts w:ascii="Verdana" w:hAnsi="Verdana" w:cs="Times New Roman"/>
                <w:color w:val="auto"/>
                <w:sz w:val="16"/>
                <w:szCs w:val="16"/>
              </w:rPr>
            </w:pPr>
            <w:r w:rsidRPr="00BD7E43">
              <w:rPr>
                <w:rFonts w:ascii="Verdana" w:hAnsi="Verdana" w:cs="Times New Roman"/>
                <w:color w:val="auto"/>
                <w:sz w:val="16"/>
                <w:szCs w:val="16"/>
              </w:rPr>
              <w:t>Document and content management</w:t>
            </w:r>
          </w:p>
          <w:p w:rsidR="009F0062" w:rsidRPr="00BD7E43" w:rsidRDefault="009F0062" w:rsidP="009F0062">
            <w:pPr>
              <w:pStyle w:val="ListParagraph"/>
              <w:numPr>
                <w:ilvl w:val="0"/>
                <w:numId w:val="11"/>
              </w:numPr>
              <w:spacing w:after="0" w:line="240" w:lineRule="auto"/>
              <w:ind w:left="499" w:hanging="283"/>
              <w:cnfStyle w:val="000000000000" w:firstRow="0" w:lastRow="0" w:firstColumn="0" w:lastColumn="0" w:oddVBand="0" w:evenVBand="0" w:oddHBand="0" w:evenHBand="0" w:firstRowFirstColumn="0" w:firstRowLastColumn="0" w:lastRowFirstColumn="0" w:lastRowLastColumn="0"/>
              <w:rPr>
                <w:rFonts w:ascii="Verdana" w:hAnsi="Verdana" w:cs="Times New Roman"/>
                <w:color w:val="auto"/>
                <w:sz w:val="16"/>
                <w:szCs w:val="16"/>
              </w:rPr>
            </w:pPr>
            <w:r w:rsidRPr="00BD7E43">
              <w:rPr>
                <w:rFonts w:ascii="Verdana" w:hAnsi="Verdana" w:cs="Times New Roman"/>
                <w:color w:val="auto"/>
                <w:sz w:val="16"/>
                <w:szCs w:val="16"/>
              </w:rPr>
              <w:t>Retention and archiving management</w:t>
            </w:r>
          </w:p>
          <w:p w:rsidR="009F0062" w:rsidRPr="00BD7E43" w:rsidRDefault="009F0062" w:rsidP="009F0062">
            <w:pPr>
              <w:pStyle w:val="ListParagraph"/>
              <w:numPr>
                <w:ilvl w:val="0"/>
                <w:numId w:val="11"/>
              </w:numPr>
              <w:spacing w:after="0" w:line="240" w:lineRule="auto"/>
              <w:ind w:left="499" w:hanging="283"/>
              <w:cnfStyle w:val="000000000000" w:firstRow="0" w:lastRow="0" w:firstColumn="0" w:lastColumn="0" w:oddVBand="0" w:evenVBand="0" w:oddHBand="0" w:evenHBand="0" w:firstRowFirstColumn="0" w:firstRowLastColumn="0" w:lastRowFirstColumn="0" w:lastRowLastColumn="0"/>
              <w:rPr>
                <w:rFonts w:ascii="Verdana" w:hAnsi="Verdana" w:cs="Times New Roman"/>
                <w:color w:val="auto"/>
                <w:sz w:val="16"/>
                <w:szCs w:val="16"/>
              </w:rPr>
            </w:pPr>
            <w:r w:rsidRPr="00BD7E43">
              <w:rPr>
                <w:rFonts w:ascii="Verdana" w:hAnsi="Verdana" w:cs="Times New Roman"/>
                <w:color w:val="auto"/>
                <w:sz w:val="16"/>
                <w:szCs w:val="16"/>
              </w:rPr>
              <w:t>Data traceability</w:t>
            </w:r>
          </w:p>
          <w:p w:rsidR="009F0062" w:rsidRPr="00BD7E43" w:rsidRDefault="009F0062" w:rsidP="009F0062">
            <w:pPr>
              <w:pStyle w:val="ListParagraph"/>
              <w:numPr>
                <w:ilvl w:val="0"/>
                <w:numId w:val="11"/>
              </w:numPr>
              <w:spacing w:after="0" w:line="240" w:lineRule="auto"/>
              <w:ind w:left="499" w:hanging="283"/>
              <w:cnfStyle w:val="000000000000" w:firstRow="0" w:lastRow="0" w:firstColumn="0" w:lastColumn="0" w:oddVBand="0" w:evenVBand="0" w:oddHBand="0" w:evenHBand="0" w:firstRowFirstColumn="0" w:firstRowLastColumn="0" w:lastRowFirstColumn="0" w:lastRowLastColumn="0"/>
              <w:rPr>
                <w:rFonts w:ascii="Verdana" w:hAnsi="Verdana" w:cs="Times New Roman"/>
                <w:color w:val="auto"/>
                <w:sz w:val="16"/>
                <w:szCs w:val="16"/>
              </w:rPr>
            </w:pPr>
            <w:r w:rsidRPr="00BD7E43">
              <w:rPr>
                <w:rFonts w:ascii="Verdana" w:hAnsi="Verdana" w:cs="Times New Roman"/>
                <w:color w:val="auto"/>
                <w:sz w:val="16"/>
                <w:szCs w:val="16"/>
              </w:rPr>
              <w:t>Data taxonomy</w:t>
            </w:r>
          </w:p>
          <w:p w:rsidR="009F0062" w:rsidRPr="00BD7E43" w:rsidRDefault="009F0062" w:rsidP="009F0062">
            <w:pPr>
              <w:pStyle w:val="ListParagraph"/>
              <w:numPr>
                <w:ilvl w:val="0"/>
                <w:numId w:val="11"/>
              </w:numPr>
              <w:spacing w:after="0" w:line="240" w:lineRule="auto"/>
              <w:ind w:left="499" w:hanging="283"/>
              <w:cnfStyle w:val="000000000000" w:firstRow="0" w:lastRow="0" w:firstColumn="0" w:lastColumn="0" w:oddVBand="0" w:evenVBand="0" w:oddHBand="0" w:evenHBand="0" w:firstRowFirstColumn="0" w:firstRowLastColumn="0" w:lastRowFirstColumn="0" w:lastRowLastColumn="0"/>
              <w:rPr>
                <w:rFonts w:ascii="Verdana" w:hAnsi="Verdana" w:cs="Times New Roman"/>
                <w:color w:val="auto"/>
                <w:sz w:val="16"/>
                <w:szCs w:val="16"/>
              </w:rPr>
            </w:pPr>
            <w:r w:rsidRPr="00BD7E43">
              <w:rPr>
                <w:rFonts w:ascii="Verdana" w:hAnsi="Verdana" w:cs="Times New Roman"/>
                <w:color w:val="auto"/>
                <w:sz w:val="16"/>
                <w:szCs w:val="16"/>
              </w:rPr>
              <w:t>Data migration</w:t>
            </w:r>
          </w:p>
          <w:p w:rsidR="009F0062" w:rsidRPr="00BD7E43" w:rsidRDefault="009F0062" w:rsidP="009F0062">
            <w:pPr>
              <w:pStyle w:val="ListParagraph"/>
              <w:numPr>
                <w:ilvl w:val="0"/>
                <w:numId w:val="11"/>
              </w:numPr>
              <w:spacing w:after="0" w:line="240" w:lineRule="auto"/>
              <w:ind w:left="499" w:hanging="283"/>
              <w:cnfStyle w:val="000000000000" w:firstRow="0" w:lastRow="0" w:firstColumn="0" w:lastColumn="0" w:oddVBand="0" w:evenVBand="0" w:oddHBand="0" w:evenHBand="0" w:firstRowFirstColumn="0" w:firstRowLastColumn="0" w:lastRowFirstColumn="0" w:lastRowLastColumn="0"/>
              <w:rPr>
                <w:rFonts w:ascii="Verdana" w:hAnsi="Verdana" w:cs="Times New Roman"/>
                <w:color w:val="auto"/>
                <w:sz w:val="16"/>
                <w:szCs w:val="16"/>
              </w:rPr>
            </w:pPr>
            <w:r w:rsidRPr="00BD7E43">
              <w:rPr>
                <w:rFonts w:ascii="Verdana" w:hAnsi="Verdana" w:cs="Times New Roman"/>
                <w:color w:val="auto"/>
                <w:sz w:val="16"/>
                <w:szCs w:val="16"/>
              </w:rPr>
              <w:t>Third party data extract</w:t>
            </w:r>
          </w:p>
          <w:p w:rsidR="009F0062" w:rsidRPr="00BD7E43" w:rsidRDefault="009F0062" w:rsidP="009F0062">
            <w:pPr>
              <w:pStyle w:val="ListParagraph"/>
              <w:numPr>
                <w:ilvl w:val="0"/>
                <w:numId w:val="11"/>
              </w:numPr>
              <w:spacing w:after="0" w:line="240" w:lineRule="auto"/>
              <w:ind w:left="499" w:hanging="283"/>
              <w:cnfStyle w:val="000000000000" w:firstRow="0" w:lastRow="0" w:firstColumn="0" w:lastColumn="0" w:oddVBand="0" w:evenVBand="0" w:oddHBand="0" w:evenHBand="0" w:firstRowFirstColumn="0" w:firstRowLastColumn="0" w:lastRowFirstColumn="0" w:lastRowLastColumn="0"/>
              <w:rPr>
                <w:rFonts w:ascii="Verdana" w:hAnsi="Verdana" w:cs="Times New Roman"/>
                <w:color w:val="auto"/>
                <w:sz w:val="16"/>
                <w:szCs w:val="16"/>
              </w:rPr>
            </w:pPr>
            <w:r w:rsidRPr="00BD7E43">
              <w:rPr>
                <w:rFonts w:ascii="Verdana" w:hAnsi="Verdana" w:cs="Times New Roman"/>
                <w:color w:val="auto"/>
                <w:sz w:val="16"/>
                <w:szCs w:val="16"/>
              </w:rPr>
              <w:t>Data storage</w:t>
            </w:r>
          </w:p>
        </w:tc>
        <w:tc>
          <w:tcPr>
            <w:tcW w:w="2635" w:type="dxa"/>
          </w:tcPr>
          <w:p w:rsidR="009F0062" w:rsidRPr="00BD7E43" w:rsidRDefault="009F0062" w:rsidP="00C147E1">
            <w:pPr>
              <w:pStyle w:val="ListParagraph"/>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BD7E43">
              <w:rPr>
                <w:rFonts w:ascii="Verdana" w:hAnsi="Verdana" w:cs="Times New Roman"/>
                <w:sz w:val="16"/>
                <w:szCs w:val="16"/>
              </w:rPr>
              <w:t>2</w:t>
            </w:r>
          </w:p>
          <w:p w:rsidR="009F0062" w:rsidRPr="00BD7E43" w:rsidRDefault="009F0062" w:rsidP="00C147E1">
            <w:pPr>
              <w:pStyle w:val="ListParagraph"/>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BD7E43">
              <w:rPr>
                <w:rFonts w:ascii="Verdana" w:hAnsi="Verdana" w:cs="Times New Roman"/>
                <w:sz w:val="16"/>
                <w:szCs w:val="16"/>
              </w:rPr>
              <w:t>2</w:t>
            </w:r>
          </w:p>
          <w:p w:rsidR="009F0062" w:rsidRPr="00BD7E43" w:rsidRDefault="009F0062" w:rsidP="00C147E1">
            <w:pPr>
              <w:pStyle w:val="ListParagraph"/>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p>
          <w:p w:rsidR="009F0062" w:rsidRPr="00BD7E43" w:rsidRDefault="009F0062" w:rsidP="00C147E1">
            <w:pPr>
              <w:pStyle w:val="ListParagraph"/>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BD7E43">
              <w:rPr>
                <w:rFonts w:ascii="Verdana" w:hAnsi="Verdana" w:cs="Times New Roman"/>
                <w:sz w:val="16"/>
                <w:szCs w:val="16"/>
              </w:rPr>
              <w:t>2</w:t>
            </w:r>
          </w:p>
          <w:p w:rsidR="009F0062" w:rsidRPr="00BD7E43" w:rsidRDefault="009F0062" w:rsidP="00C147E1">
            <w:pPr>
              <w:pStyle w:val="ListParagraph"/>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BD7E43">
              <w:rPr>
                <w:rFonts w:ascii="Verdana" w:hAnsi="Verdana" w:cs="Times New Roman"/>
                <w:sz w:val="16"/>
                <w:szCs w:val="16"/>
              </w:rPr>
              <w:t>2</w:t>
            </w:r>
          </w:p>
          <w:p w:rsidR="009F0062" w:rsidRPr="00BD7E43" w:rsidRDefault="009F0062" w:rsidP="00C147E1">
            <w:pPr>
              <w:pStyle w:val="ListParagraph"/>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BD7E43">
              <w:rPr>
                <w:rFonts w:ascii="Verdana" w:hAnsi="Verdana" w:cs="Times New Roman"/>
                <w:sz w:val="16"/>
                <w:szCs w:val="16"/>
              </w:rPr>
              <w:t>2</w:t>
            </w:r>
          </w:p>
          <w:p w:rsidR="009F0062" w:rsidRPr="00BD7E43" w:rsidRDefault="009F0062" w:rsidP="00C147E1">
            <w:pPr>
              <w:pStyle w:val="ListParagraph"/>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BD7E43">
              <w:rPr>
                <w:rFonts w:ascii="Verdana" w:hAnsi="Verdana" w:cs="Times New Roman"/>
                <w:sz w:val="16"/>
                <w:szCs w:val="16"/>
              </w:rPr>
              <w:t>2</w:t>
            </w:r>
          </w:p>
          <w:p w:rsidR="009F0062" w:rsidRPr="00BD7E43" w:rsidRDefault="009F0062" w:rsidP="00C147E1">
            <w:pPr>
              <w:pStyle w:val="ListParagraph"/>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BD7E43">
              <w:rPr>
                <w:rFonts w:ascii="Verdana" w:hAnsi="Verdana" w:cs="Times New Roman"/>
                <w:sz w:val="16"/>
                <w:szCs w:val="16"/>
              </w:rPr>
              <w:t>2</w:t>
            </w:r>
          </w:p>
        </w:tc>
      </w:tr>
      <w:tr w:rsidR="009F0062" w:rsidRPr="00BD7E43" w:rsidTr="00C147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dxa"/>
          </w:tcPr>
          <w:p w:rsidR="009F0062" w:rsidRPr="00BD7E43" w:rsidRDefault="009F0062" w:rsidP="00C147E1">
            <w:pPr>
              <w:pStyle w:val="ListParagraph"/>
              <w:ind w:left="0"/>
              <w:jc w:val="center"/>
              <w:rPr>
                <w:rFonts w:ascii="Verdana" w:hAnsi="Verdana" w:cs="Times New Roman"/>
                <w:sz w:val="16"/>
                <w:szCs w:val="16"/>
              </w:rPr>
            </w:pPr>
            <w:r w:rsidRPr="00BD7E43">
              <w:rPr>
                <w:rFonts w:ascii="Verdana" w:hAnsi="Verdana" w:cs="Times New Roman"/>
                <w:sz w:val="16"/>
                <w:szCs w:val="16"/>
              </w:rPr>
              <w:t>Data quality management</w:t>
            </w:r>
          </w:p>
        </w:tc>
        <w:tc>
          <w:tcPr>
            <w:tcW w:w="3704" w:type="dxa"/>
          </w:tcPr>
          <w:p w:rsidR="009F0062" w:rsidRPr="00BD7E43" w:rsidRDefault="009F0062" w:rsidP="009F0062">
            <w:pPr>
              <w:pStyle w:val="ListParagraph"/>
              <w:numPr>
                <w:ilvl w:val="0"/>
                <w:numId w:val="12"/>
              </w:numPr>
              <w:spacing w:after="0" w:line="240" w:lineRule="auto"/>
              <w:ind w:left="499" w:hanging="283"/>
              <w:cnfStyle w:val="000000100000" w:firstRow="0" w:lastRow="0" w:firstColumn="0" w:lastColumn="0" w:oddVBand="0" w:evenVBand="0" w:oddHBand="1" w:evenHBand="0" w:firstRowFirstColumn="0" w:firstRowLastColumn="0" w:lastRowFirstColumn="0" w:lastRowLastColumn="0"/>
              <w:rPr>
                <w:rFonts w:ascii="Verdana" w:hAnsi="Verdana" w:cs="Times New Roman"/>
                <w:color w:val="auto"/>
                <w:sz w:val="16"/>
                <w:szCs w:val="16"/>
              </w:rPr>
            </w:pPr>
            <w:r w:rsidRPr="00BD7E43">
              <w:rPr>
                <w:rFonts w:ascii="Verdana" w:hAnsi="Verdana" w:cs="Times New Roman"/>
                <w:color w:val="auto"/>
                <w:sz w:val="16"/>
                <w:szCs w:val="16"/>
              </w:rPr>
              <w:t>Quality methodologies and tools definition</w:t>
            </w:r>
          </w:p>
          <w:p w:rsidR="009F0062" w:rsidRPr="00BD7E43" w:rsidRDefault="009F0062" w:rsidP="009F0062">
            <w:pPr>
              <w:pStyle w:val="ListParagraph"/>
              <w:numPr>
                <w:ilvl w:val="0"/>
                <w:numId w:val="12"/>
              </w:numPr>
              <w:spacing w:after="0" w:line="240" w:lineRule="auto"/>
              <w:ind w:left="499" w:hanging="283"/>
              <w:cnfStyle w:val="000000100000" w:firstRow="0" w:lastRow="0" w:firstColumn="0" w:lastColumn="0" w:oddVBand="0" w:evenVBand="0" w:oddHBand="1" w:evenHBand="0" w:firstRowFirstColumn="0" w:firstRowLastColumn="0" w:lastRowFirstColumn="0" w:lastRowLastColumn="0"/>
              <w:rPr>
                <w:rFonts w:ascii="Verdana" w:hAnsi="Verdana" w:cs="Times New Roman"/>
                <w:color w:val="auto"/>
                <w:sz w:val="16"/>
                <w:szCs w:val="16"/>
              </w:rPr>
            </w:pPr>
            <w:r w:rsidRPr="00BD7E43">
              <w:rPr>
                <w:rFonts w:ascii="Verdana" w:hAnsi="Verdana" w:cs="Times New Roman"/>
                <w:color w:val="auto"/>
                <w:sz w:val="16"/>
                <w:szCs w:val="16"/>
              </w:rPr>
              <w:t>Quality dimensions</w:t>
            </w:r>
          </w:p>
          <w:p w:rsidR="009F0062" w:rsidRPr="00BD7E43" w:rsidRDefault="009F0062" w:rsidP="009F0062">
            <w:pPr>
              <w:pStyle w:val="ListParagraph"/>
              <w:numPr>
                <w:ilvl w:val="0"/>
                <w:numId w:val="12"/>
              </w:numPr>
              <w:spacing w:after="0" w:line="240" w:lineRule="auto"/>
              <w:ind w:left="499" w:hanging="283"/>
              <w:cnfStyle w:val="000000100000" w:firstRow="0" w:lastRow="0" w:firstColumn="0" w:lastColumn="0" w:oddVBand="0" w:evenVBand="0" w:oddHBand="1" w:evenHBand="0" w:firstRowFirstColumn="0" w:firstRowLastColumn="0" w:lastRowFirstColumn="0" w:lastRowLastColumn="0"/>
              <w:rPr>
                <w:rFonts w:ascii="Verdana" w:hAnsi="Verdana" w:cs="Times New Roman"/>
                <w:color w:val="auto"/>
                <w:sz w:val="16"/>
                <w:szCs w:val="16"/>
              </w:rPr>
            </w:pPr>
            <w:r w:rsidRPr="00BD7E43">
              <w:rPr>
                <w:rFonts w:ascii="Verdana" w:hAnsi="Verdana" w:cs="Times New Roman"/>
                <w:color w:val="auto"/>
                <w:sz w:val="16"/>
                <w:szCs w:val="16"/>
              </w:rPr>
              <w:t>Quality communication strategies</w:t>
            </w:r>
          </w:p>
        </w:tc>
        <w:tc>
          <w:tcPr>
            <w:tcW w:w="2635" w:type="dxa"/>
          </w:tcPr>
          <w:p w:rsidR="009F0062" w:rsidRPr="00BD7E43" w:rsidRDefault="009F0062" w:rsidP="00C147E1">
            <w:pPr>
              <w:pStyle w:val="ListParagraph"/>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D7E43">
              <w:rPr>
                <w:rFonts w:ascii="Verdana" w:hAnsi="Verdana" w:cs="Times New Roman"/>
                <w:sz w:val="16"/>
                <w:szCs w:val="16"/>
              </w:rPr>
              <w:t>2</w:t>
            </w:r>
          </w:p>
          <w:p w:rsidR="009F0062" w:rsidRPr="00BD7E43" w:rsidRDefault="009F0062" w:rsidP="00C147E1">
            <w:pPr>
              <w:pStyle w:val="ListParagraph"/>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p>
          <w:p w:rsidR="009F0062" w:rsidRPr="00BD7E43" w:rsidRDefault="009F0062" w:rsidP="00C147E1">
            <w:pPr>
              <w:pStyle w:val="ListParagraph"/>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D7E43">
              <w:rPr>
                <w:rFonts w:ascii="Verdana" w:hAnsi="Verdana" w:cs="Times New Roman"/>
                <w:sz w:val="16"/>
                <w:szCs w:val="16"/>
              </w:rPr>
              <w:t>2</w:t>
            </w:r>
          </w:p>
          <w:p w:rsidR="009F0062" w:rsidRPr="00BD7E43" w:rsidRDefault="009F0062" w:rsidP="00C147E1">
            <w:pPr>
              <w:pStyle w:val="ListParagraph"/>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D7E43">
              <w:rPr>
                <w:rFonts w:ascii="Verdana" w:hAnsi="Verdana" w:cs="Times New Roman"/>
                <w:sz w:val="16"/>
                <w:szCs w:val="16"/>
              </w:rPr>
              <w:t>2</w:t>
            </w:r>
          </w:p>
        </w:tc>
      </w:tr>
      <w:tr w:rsidR="009F0062" w:rsidRPr="00BD7E43" w:rsidTr="00C147E1">
        <w:tc>
          <w:tcPr>
            <w:cnfStyle w:val="001000000000" w:firstRow="0" w:lastRow="0" w:firstColumn="1" w:lastColumn="0" w:oddVBand="0" w:evenVBand="0" w:oddHBand="0" w:evenHBand="0" w:firstRowFirstColumn="0" w:firstRowLastColumn="0" w:lastRowFirstColumn="0" w:lastRowLastColumn="0"/>
            <w:tcW w:w="2903" w:type="dxa"/>
          </w:tcPr>
          <w:p w:rsidR="009F0062" w:rsidRPr="00BD7E43" w:rsidRDefault="009F0062" w:rsidP="00C147E1">
            <w:pPr>
              <w:pStyle w:val="ListParagraph"/>
              <w:ind w:left="0"/>
              <w:jc w:val="center"/>
              <w:rPr>
                <w:rFonts w:ascii="Verdana" w:hAnsi="Verdana" w:cs="Times New Roman"/>
                <w:sz w:val="16"/>
                <w:szCs w:val="16"/>
              </w:rPr>
            </w:pPr>
            <w:r w:rsidRPr="00BD7E43">
              <w:rPr>
                <w:rFonts w:ascii="Verdana" w:hAnsi="Verdana" w:cs="Times New Roman"/>
                <w:sz w:val="16"/>
                <w:szCs w:val="16"/>
              </w:rPr>
              <w:t>Metadata management</w:t>
            </w:r>
          </w:p>
        </w:tc>
        <w:tc>
          <w:tcPr>
            <w:tcW w:w="3704" w:type="dxa"/>
          </w:tcPr>
          <w:p w:rsidR="009F0062" w:rsidRPr="00BD7E43" w:rsidRDefault="009F0062" w:rsidP="009F0062">
            <w:pPr>
              <w:pStyle w:val="ListParagraph"/>
              <w:numPr>
                <w:ilvl w:val="0"/>
                <w:numId w:val="13"/>
              </w:numPr>
              <w:spacing w:after="0" w:line="240" w:lineRule="auto"/>
              <w:ind w:left="499" w:hanging="283"/>
              <w:cnfStyle w:val="000000000000" w:firstRow="0" w:lastRow="0" w:firstColumn="0" w:lastColumn="0" w:oddVBand="0" w:evenVBand="0" w:oddHBand="0" w:evenHBand="0" w:firstRowFirstColumn="0" w:firstRowLastColumn="0" w:lastRowFirstColumn="0" w:lastRowLastColumn="0"/>
              <w:rPr>
                <w:rFonts w:ascii="Verdana" w:hAnsi="Verdana" w:cs="Times New Roman"/>
                <w:color w:val="auto"/>
                <w:sz w:val="16"/>
                <w:szCs w:val="16"/>
              </w:rPr>
            </w:pPr>
            <w:r w:rsidRPr="00BD7E43">
              <w:rPr>
                <w:rFonts w:ascii="Verdana" w:hAnsi="Verdana" w:cs="Times New Roman"/>
                <w:color w:val="auto"/>
                <w:sz w:val="16"/>
                <w:szCs w:val="16"/>
              </w:rPr>
              <w:t>Definitions of business metadata</w:t>
            </w:r>
          </w:p>
          <w:p w:rsidR="009F0062" w:rsidRPr="00BD7E43" w:rsidRDefault="009F0062" w:rsidP="009F0062">
            <w:pPr>
              <w:pStyle w:val="ListParagraph"/>
              <w:numPr>
                <w:ilvl w:val="0"/>
                <w:numId w:val="13"/>
              </w:numPr>
              <w:spacing w:after="0" w:line="240" w:lineRule="auto"/>
              <w:ind w:left="499" w:hanging="283"/>
              <w:cnfStyle w:val="000000000000" w:firstRow="0" w:lastRow="0" w:firstColumn="0" w:lastColumn="0" w:oddVBand="0" w:evenVBand="0" w:oddHBand="0" w:evenHBand="0" w:firstRowFirstColumn="0" w:firstRowLastColumn="0" w:lastRowFirstColumn="0" w:lastRowLastColumn="0"/>
              <w:rPr>
                <w:rFonts w:ascii="Verdana" w:hAnsi="Verdana" w:cs="Times New Roman"/>
                <w:color w:val="auto"/>
                <w:sz w:val="16"/>
                <w:szCs w:val="16"/>
              </w:rPr>
            </w:pPr>
            <w:r w:rsidRPr="00BD7E43">
              <w:rPr>
                <w:rFonts w:ascii="Verdana" w:hAnsi="Verdana" w:cs="Times New Roman"/>
                <w:color w:val="auto"/>
                <w:sz w:val="16"/>
                <w:szCs w:val="16"/>
              </w:rPr>
              <w:t>Metadata repository</w:t>
            </w:r>
          </w:p>
        </w:tc>
        <w:tc>
          <w:tcPr>
            <w:tcW w:w="2635" w:type="dxa"/>
          </w:tcPr>
          <w:p w:rsidR="009F0062" w:rsidRPr="00BD7E43" w:rsidRDefault="009F0062" w:rsidP="00C147E1">
            <w:pPr>
              <w:pStyle w:val="ListParagraph"/>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BD7E43">
              <w:rPr>
                <w:rFonts w:ascii="Verdana" w:hAnsi="Verdana" w:cs="Times New Roman"/>
                <w:sz w:val="16"/>
                <w:szCs w:val="16"/>
              </w:rPr>
              <w:t>1</w:t>
            </w:r>
          </w:p>
          <w:p w:rsidR="009F0062" w:rsidRPr="00BD7E43" w:rsidRDefault="009F0062" w:rsidP="00C147E1">
            <w:pPr>
              <w:pStyle w:val="ListParagraph"/>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BD7E43">
              <w:rPr>
                <w:rFonts w:ascii="Verdana" w:hAnsi="Verdana" w:cs="Times New Roman"/>
                <w:sz w:val="16"/>
                <w:szCs w:val="16"/>
              </w:rPr>
              <w:t>1</w:t>
            </w:r>
          </w:p>
        </w:tc>
      </w:tr>
      <w:tr w:rsidR="009F0062" w:rsidRPr="00BD7E43" w:rsidTr="00C147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dxa"/>
          </w:tcPr>
          <w:p w:rsidR="009F0062" w:rsidRPr="00BD7E43" w:rsidRDefault="009F0062" w:rsidP="00C147E1">
            <w:pPr>
              <w:pStyle w:val="ListParagraph"/>
              <w:ind w:left="0"/>
              <w:jc w:val="center"/>
              <w:rPr>
                <w:rFonts w:ascii="Verdana" w:hAnsi="Verdana" w:cs="Times New Roman"/>
                <w:sz w:val="16"/>
                <w:szCs w:val="16"/>
              </w:rPr>
            </w:pPr>
            <w:r w:rsidRPr="00BD7E43">
              <w:rPr>
                <w:rFonts w:ascii="Verdana" w:hAnsi="Verdana" w:cs="Times New Roman"/>
                <w:sz w:val="16"/>
                <w:szCs w:val="16"/>
              </w:rPr>
              <w:t>Master data management</w:t>
            </w:r>
          </w:p>
        </w:tc>
        <w:tc>
          <w:tcPr>
            <w:tcW w:w="3704" w:type="dxa"/>
          </w:tcPr>
          <w:p w:rsidR="009F0062" w:rsidRPr="00BD7E43" w:rsidRDefault="009F0062" w:rsidP="009F0062">
            <w:pPr>
              <w:pStyle w:val="ListParagraph"/>
              <w:numPr>
                <w:ilvl w:val="0"/>
                <w:numId w:val="14"/>
              </w:numPr>
              <w:spacing w:after="0" w:line="240" w:lineRule="auto"/>
              <w:ind w:left="499" w:hanging="283"/>
              <w:cnfStyle w:val="000000100000" w:firstRow="0" w:lastRow="0" w:firstColumn="0" w:lastColumn="0" w:oddVBand="0" w:evenVBand="0" w:oddHBand="1" w:evenHBand="0" w:firstRowFirstColumn="0" w:firstRowLastColumn="0" w:lastRowFirstColumn="0" w:lastRowLastColumn="0"/>
              <w:rPr>
                <w:rFonts w:ascii="Verdana" w:hAnsi="Verdana" w:cs="Times New Roman"/>
                <w:color w:val="auto"/>
                <w:sz w:val="16"/>
                <w:szCs w:val="16"/>
              </w:rPr>
            </w:pPr>
            <w:r w:rsidRPr="00BD7E43">
              <w:rPr>
                <w:rFonts w:ascii="Verdana" w:hAnsi="Verdana" w:cs="Times New Roman"/>
                <w:color w:val="auto"/>
                <w:sz w:val="16"/>
                <w:szCs w:val="16"/>
              </w:rPr>
              <w:t>Reference data management</w:t>
            </w:r>
          </w:p>
          <w:p w:rsidR="009F0062" w:rsidRPr="00BD7E43" w:rsidRDefault="009F0062" w:rsidP="009F0062">
            <w:pPr>
              <w:pStyle w:val="ListParagraph"/>
              <w:numPr>
                <w:ilvl w:val="0"/>
                <w:numId w:val="14"/>
              </w:numPr>
              <w:spacing w:after="0" w:line="240" w:lineRule="auto"/>
              <w:ind w:left="499" w:hanging="283"/>
              <w:cnfStyle w:val="000000100000" w:firstRow="0" w:lastRow="0" w:firstColumn="0" w:lastColumn="0" w:oddVBand="0" w:evenVBand="0" w:oddHBand="1" w:evenHBand="0" w:firstRowFirstColumn="0" w:firstRowLastColumn="0" w:lastRowFirstColumn="0" w:lastRowLastColumn="0"/>
              <w:rPr>
                <w:rFonts w:ascii="Verdana" w:hAnsi="Verdana" w:cs="Times New Roman"/>
                <w:color w:val="auto"/>
                <w:sz w:val="16"/>
                <w:szCs w:val="16"/>
              </w:rPr>
            </w:pPr>
            <w:r w:rsidRPr="00BD7E43">
              <w:rPr>
                <w:rFonts w:ascii="Verdana" w:hAnsi="Verdana" w:cs="Times New Roman"/>
                <w:color w:val="auto"/>
                <w:sz w:val="16"/>
                <w:szCs w:val="16"/>
              </w:rPr>
              <w:t>Data modeling</w:t>
            </w:r>
          </w:p>
          <w:p w:rsidR="009F0062" w:rsidRPr="00BD7E43" w:rsidRDefault="009F0062" w:rsidP="009F0062">
            <w:pPr>
              <w:pStyle w:val="ListParagraph"/>
              <w:numPr>
                <w:ilvl w:val="0"/>
                <w:numId w:val="14"/>
              </w:numPr>
              <w:spacing w:after="0" w:line="240" w:lineRule="auto"/>
              <w:ind w:left="499" w:hanging="283"/>
              <w:cnfStyle w:val="000000100000" w:firstRow="0" w:lastRow="0" w:firstColumn="0" w:lastColumn="0" w:oddVBand="0" w:evenVBand="0" w:oddHBand="1" w:evenHBand="0" w:firstRowFirstColumn="0" w:firstRowLastColumn="0" w:lastRowFirstColumn="0" w:lastRowLastColumn="0"/>
              <w:rPr>
                <w:rFonts w:ascii="Verdana" w:hAnsi="Verdana" w:cs="Times New Roman"/>
                <w:color w:val="auto"/>
                <w:sz w:val="16"/>
                <w:szCs w:val="16"/>
              </w:rPr>
            </w:pPr>
            <w:r w:rsidRPr="00BD7E43">
              <w:rPr>
                <w:rFonts w:ascii="Verdana" w:hAnsi="Verdana" w:cs="Times New Roman"/>
                <w:color w:val="auto"/>
                <w:sz w:val="16"/>
                <w:szCs w:val="16"/>
              </w:rPr>
              <w:t>Enterprise data model</w:t>
            </w:r>
          </w:p>
          <w:p w:rsidR="009F0062" w:rsidRPr="00BD7E43" w:rsidRDefault="009F0062" w:rsidP="009F0062">
            <w:pPr>
              <w:pStyle w:val="ListParagraph"/>
              <w:numPr>
                <w:ilvl w:val="0"/>
                <w:numId w:val="14"/>
              </w:numPr>
              <w:spacing w:after="0" w:line="240" w:lineRule="auto"/>
              <w:ind w:left="499" w:hanging="283"/>
              <w:cnfStyle w:val="000000100000" w:firstRow="0" w:lastRow="0" w:firstColumn="0" w:lastColumn="0" w:oddVBand="0" w:evenVBand="0" w:oddHBand="1" w:evenHBand="0" w:firstRowFirstColumn="0" w:firstRowLastColumn="0" w:lastRowFirstColumn="0" w:lastRowLastColumn="0"/>
              <w:rPr>
                <w:rFonts w:ascii="Verdana" w:hAnsi="Verdana" w:cs="Times New Roman"/>
                <w:color w:val="auto"/>
                <w:sz w:val="16"/>
                <w:szCs w:val="16"/>
              </w:rPr>
            </w:pPr>
            <w:r w:rsidRPr="00BD7E43">
              <w:rPr>
                <w:rFonts w:ascii="Verdana" w:hAnsi="Verdana" w:cs="Times New Roman"/>
                <w:color w:val="auto"/>
                <w:sz w:val="16"/>
                <w:szCs w:val="16"/>
              </w:rPr>
              <w:t>Data stores</w:t>
            </w:r>
          </w:p>
          <w:p w:rsidR="009F0062" w:rsidRPr="00BD7E43" w:rsidRDefault="009F0062" w:rsidP="009F0062">
            <w:pPr>
              <w:pStyle w:val="ListParagraph"/>
              <w:numPr>
                <w:ilvl w:val="0"/>
                <w:numId w:val="14"/>
              </w:numPr>
              <w:spacing w:after="0" w:line="240" w:lineRule="auto"/>
              <w:ind w:left="499" w:hanging="283"/>
              <w:cnfStyle w:val="000000100000" w:firstRow="0" w:lastRow="0" w:firstColumn="0" w:lastColumn="0" w:oddVBand="0" w:evenVBand="0" w:oddHBand="1" w:evenHBand="0" w:firstRowFirstColumn="0" w:firstRowLastColumn="0" w:lastRowFirstColumn="0" w:lastRowLastColumn="0"/>
              <w:rPr>
                <w:rFonts w:ascii="Verdana" w:hAnsi="Verdana" w:cs="Times New Roman"/>
                <w:color w:val="auto"/>
                <w:sz w:val="16"/>
                <w:szCs w:val="16"/>
              </w:rPr>
            </w:pPr>
            <w:r w:rsidRPr="00BD7E43">
              <w:rPr>
                <w:rFonts w:ascii="Verdana" w:hAnsi="Verdana" w:cs="Times New Roman"/>
                <w:color w:val="auto"/>
                <w:sz w:val="16"/>
                <w:szCs w:val="16"/>
              </w:rPr>
              <w:t>Data warehousing</w:t>
            </w:r>
          </w:p>
          <w:p w:rsidR="009F0062" w:rsidRPr="00BD7E43" w:rsidRDefault="009F0062" w:rsidP="009F0062">
            <w:pPr>
              <w:pStyle w:val="ListParagraph"/>
              <w:numPr>
                <w:ilvl w:val="0"/>
                <w:numId w:val="14"/>
              </w:numPr>
              <w:spacing w:after="0" w:line="240" w:lineRule="auto"/>
              <w:ind w:left="499" w:hanging="283"/>
              <w:cnfStyle w:val="000000100000" w:firstRow="0" w:lastRow="0" w:firstColumn="0" w:lastColumn="0" w:oddVBand="0" w:evenVBand="0" w:oddHBand="1" w:evenHBand="0" w:firstRowFirstColumn="0" w:firstRowLastColumn="0" w:lastRowFirstColumn="0" w:lastRowLastColumn="0"/>
              <w:rPr>
                <w:rFonts w:ascii="Verdana" w:hAnsi="Verdana" w:cs="Times New Roman"/>
                <w:color w:val="auto"/>
                <w:sz w:val="16"/>
                <w:szCs w:val="16"/>
              </w:rPr>
            </w:pPr>
            <w:r w:rsidRPr="00BD7E43">
              <w:rPr>
                <w:rFonts w:ascii="Verdana" w:hAnsi="Verdana" w:cs="Times New Roman"/>
                <w:color w:val="auto"/>
                <w:sz w:val="16"/>
                <w:szCs w:val="16"/>
              </w:rPr>
              <w:t>Data integration</w:t>
            </w:r>
          </w:p>
        </w:tc>
        <w:tc>
          <w:tcPr>
            <w:tcW w:w="2635" w:type="dxa"/>
          </w:tcPr>
          <w:p w:rsidR="009F0062" w:rsidRPr="00BD7E43" w:rsidRDefault="009F0062" w:rsidP="00C147E1">
            <w:pPr>
              <w:pStyle w:val="ListParagraph"/>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D7E43">
              <w:rPr>
                <w:rFonts w:ascii="Verdana" w:hAnsi="Verdana" w:cs="Times New Roman"/>
                <w:sz w:val="16"/>
                <w:szCs w:val="16"/>
              </w:rPr>
              <w:t>1</w:t>
            </w:r>
          </w:p>
          <w:p w:rsidR="009F0062" w:rsidRPr="00BD7E43" w:rsidRDefault="009F0062" w:rsidP="00C147E1">
            <w:pPr>
              <w:pStyle w:val="ListParagraph"/>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D7E43">
              <w:rPr>
                <w:rFonts w:ascii="Verdana" w:hAnsi="Verdana" w:cs="Times New Roman"/>
                <w:sz w:val="16"/>
                <w:szCs w:val="16"/>
              </w:rPr>
              <w:t>2</w:t>
            </w:r>
          </w:p>
          <w:p w:rsidR="009F0062" w:rsidRPr="00BD7E43" w:rsidRDefault="009F0062" w:rsidP="00C147E1">
            <w:pPr>
              <w:pStyle w:val="ListParagraph"/>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D7E43">
              <w:rPr>
                <w:rFonts w:ascii="Verdana" w:hAnsi="Verdana" w:cs="Times New Roman"/>
                <w:sz w:val="16"/>
                <w:szCs w:val="16"/>
              </w:rPr>
              <w:t>2</w:t>
            </w:r>
          </w:p>
          <w:p w:rsidR="009F0062" w:rsidRPr="00BD7E43" w:rsidRDefault="009F0062" w:rsidP="00C147E1">
            <w:pPr>
              <w:pStyle w:val="ListParagraph"/>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D7E43">
              <w:rPr>
                <w:rFonts w:ascii="Verdana" w:hAnsi="Verdana" w:cs="Times New Roman"/>
                <w:sz w:val="16"/>
                <w:szCs w:val="16"/>
              </w:rPr>
              <w:t>1</w:t>
            </w:r>
          </w:p>
          <w:p w:rsidR="009F0062" w:rsidRPr="00BD7E43" w:rsidRDefault="009F0062" w:rsidP="00C147E1">
            <w:pPr>
              <w:pStyle w:val="ListParagraph"/>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D7E43">
              <w:rPr>
                <w:rFonts w:ascii="Verdana" w:hAnsi="Verdana" w:cs="Times New Roman"/>
                <w:sz w:val="16"/>
                <w:szCs w:val="16"/>
              </w:rPr>
              <w:t>2</w:t>
            </w:r>
          </w:p>
          <w:p w:rsidR="009F0062" w:rsidRPr="00BD7E43" w:rsidRDefault="009F0062" w:rsidP="00C147E1">
            <w:pPr>
              <w:pStyle w:val="ListParagraph"/>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D7E43">
              <w:rPr>
                <w:rFonts w:ascii="Verdana" w:hAnsi="Verdana" w:cs="Times New Roman"/>
                <w:sz w:val="16"/>
                <w:szCs w:val="16"/>
              </w:rPr>
              <w:t>3</w:t>
            </w:r>
          </w:p>
        </w:tc>
      </w:tr>
      <w:tr w:rsidR="009F0062" w:rsidRPr="00BD7E43" w:rsidTr="00C147E1">
        <w:tc>
          <w:tcPr>
            <w:cnfStyle w:val="001000000000" w:firstRow="0" w:lastRow="0" w:firstColumn="1" w:lastColumn="0" w:oddVBand="0" w:evenVBand="0" w:oddHBand="0" w:evenHBand="0" w:firstRowFirstColumn="0" w:firstRowLastColumn="0" w:lastRowFirstColumn="0" w:lastRowLastColumn="0"/>
            <w:tcW w:w="2903" w:type="dxa"/>
          </w:tcPr>
          <w:p w:rsidR="009F0062" w:rsidRPr="00BD7E43" w:rsidRDefault="009F0062" w:rsidP="00C147E1">
            <w:pPr>
              <w:pStyle w:val="ListParagraph"/>
              <w:ind w:left="0"/>
              <w:jc w:val="center"/>
              <w:rPr>
                <w:rFonts w:ascii="Verdana" w:hAnsi="Verdana" w:cs="Times New Roman"/>
                <w:sz w:val="16"/>
                <w:szCs w:val="16"/>
              </w:rPr>
            </w:pPr>
            <w:r w:rsidRPr="00BD7E43">
              <w:rPr>
                <w:rFonts w:ascii="Verdana" w:hAnsi="Verdana" w:cs="Times New Roman"/>
                <w:sz w:val="16"/>
                <w:szCs w:val="16"/>
              </w:rPr>
              <w:t>Data architecture</w:t>
            </w:r>
          </w:p>
        </w:tc>
        <w:tc>
          <w:tcPr>
            <w:tcW w:w="3704" w:type="dxa"/>
          </w:tcPr>
          <w:p w:rsidR="009F0062" w:rsidRPr="00BD7E43" w:rsidRDefault="009F0062" w:rsidP="009F0062">
            <w:pPr>
              <w:pStyle w:val="ListParagraph"/>
              <w:numPr>
                <w:ilvl w:val="0"/>
                <w:numId w:val="20"/>
              </w:numPr>
              <w:spacing w:after="0" w:line="240" w:lineRule="auto"/>
              <w:ind w:left="499" w:hanging="283"/>
              <w:cnfStyle w:val="000000000000" w:firstRow="0" w:lastRow="0" w:firstColumn="0" w:lastColumn="0" w:oddVBand="0" w:evenVBand="0" w:oddHBand="0" w:evenHBand="0" w:firstRowFirstColumn="0" w:firstRowLastColumn="0" w:lastRowFirstColumn="0" w:lastRowLastColumn="0"/>
              <w:rPr>
                <w:rFonts w:ascii="Verdana" w:hAnsi="Verdana" w:cs="Times New Roman"/>
                <w:color w:val="auto"/>
                <w:sz w:val="16"/>
                <w:szCs w:val="16"/>
              </w:rPr>
            </w:pPr>
            <w:r w:rsidRPr="00BD7E43">
              <w:rPr>
                <w:rFonts w:ascii="Verdana" w:hAnsi="Verdana" w:cs="Times New Roman"/>
                <w:color w:val="auto"/>
                <w:sz w:val="16"/>
                <w:szCs w:val="16"/>
              </w:rPr>
              <w:t>Data entity/data component catalog</w:t>
            </w:r>
          </w:p>
          <w:p w:rsidR="009F0062" w:rsidRPr="00BD7E43" w:rsidRDefault="009F0062" w:rsidP="009F0062">
            <w:pPr>
              <w:pStyle w:val="ListParagraph"/>
              <w:numPr>
                <w:ilvl w:val="0"/>
                <w:numId w:val="20"/>
              </w:numPr>
              <w:spacing w:after="0" w:line="240" w:lineRule="auto"/>
              <w:ind w:left="499" w:hanging="283"/>
              <w:cnfStyle w:val="000000000000" w:firstRow="0" w:lastRow="0" w:firstColumn="0" w:lastColumn="0" w:oddVBand="0" w:evenVBand="0" w:oddHBand="0" w:evenHBand="0" w:firstRowFirstColumn="0" w:firstRowLastColumn="0" w:lastRowFirstColumn="0" w:lastRowLastColumn="0"/>
              <w:rPr>
                <w:rFonts w:ascii="Verdana" w:hAnsi="Verdana" w:cs="Times New Roman"/>
                <w:color w:val="auto"/>
                <w:sz w:val="16"/>
                <w:szCs w:val="16"/>
              </w:rPr>
            </w:pPr>
            <w:r w:rsidRPr="00BD7E43">
              <w:rPr>
                <w:rFonts w:ascii="Verdana" w:hAnsi="Verdana" w:cs="Times New Roman"/>
                <w:color w:val="auto"/>
                <w:sz w:val="16"/>
                <w:szCs w:val="16"/>
              </w:rPr>
              <w:t>Data entity/business function matrix</w:t>
            </w:r>
          </w:p>
          <w:p w:rsidR="009F0062" w:rsidRPr="00BD7E43" w:rsidRDefault="009F0062" w:rsidP="009F0062">
            <w:pPr>
              <w:pStyle w:val="ListParagraph"/>
              <w:numPr>
                <w:ilvl w:val="0"/>
                <w:numId w:val="20"/>
              </w:numPr>
              <w:spacing w:after="0" w:line="240" w:lineRule="auto"/>
              <w:ind w:left="499" w:hanging="283"/>
              <w:cnfStyle w:val="000000000000" w:firstRow="0" w:lastRow="0" w:firstColumn="0" w:lastColumn="0" w:oddVBand="0" w:evenVBand="0" w:oddHBand="0" w:evenHBand="0" w:firstRowFirstColumn="0" w:firstRowLastColumn="0" w:lastRowFirstColumn="0" w:lastRowLastColumn="0"/>
              <w:rPr>
                <w:rFonts w:ascii="Verdana" w:hAnsi="Verdana" w:cs="Times New Roman"/>
                <w:color w:val="auto"/>
                <w:sz w:val="16"/>
                <w:szCs w:val="16"/>
              </w:rPr>
            </w:pPr>
            <w:r w:rsidRPr="00BD7E43">
              <w:rPr>
                <w:rFonts w:ascii="Verdana" w:hAnsi="Verdana" w:cs="Times New Roman"/>
                <w:color w:val="auto"/>
                <w:sz w:val="16"/>
                <w:szCs w:val="16"/>
              </w:rPr>
              <w:t>Application/data matrix</w:t>
            </w:r>
          </w:p>
          <w:p w:rsidR="009F0062" w:rsidRPr="00BD7E43" w:rsidRDefault="009F0062" w:rsidP="009F0062">
            <w:pPr>
              <w:pStyle w:val="ListParagraph"/>
              <w:numPr>
                <w:ilvl w:val="0"/>
                <w:numId w:val="20"/>
              </w:numPr>
              <w:spacing w:after="0" w:line="240" w:lineRule="auto"/>
              <w:ind w:left="499" w:hanging="283"/>
              <w:cnfStyle w:val="000000000000" w:firstRow="0" w:lastRow="0" w:firstColumn="0" w:lastColumn="0" w:oddVBand="0" w:evenVBand="0" w:oddHBand="0" w:evenHBand="0" w:firstRowFirstColumn="0" w:firstRowLastColumn="0" w:lastRowFirstColumn="0" w:lastRowLastColumn="0"/>
              <w:rPr>
                <w:rFonts w:ascii="Verdana" w:hAnsi="Verdana" w:cs="Times New Roman"/>
                <w:color w:val="auto"/>
                <w:sz w:val="16"/>
                <w:szCs w:val="16"/>
              </w:rPr>
            </w:pPr>
            <w:r w:rsidRPr="00BD7E43">
              <w:rPr>
                <w:rFonts w:ascii="Verdana" w:hAnsi="Verdana" w:cs="Times New Roman"/>
                <w:color w:val="auto"/>
                <w:sz w:val="16"/>
                <w:szCs w:val="16"/>
              </w:rPr>
              <w:t>Data architecture definition</w:t>
            </w:r>
          </w:p>
        </w:tc>
        <w:tc>
          <w:tcPr>
            <w:tcW w:w="2635" w:type="dxa"/>
          </w:tcPr>
          <w:p w:rsidR="009F0062" w:rsidRPr="00BD7E43" w:rsidRDefault="009F0062" w:rsidP="00C147E1">
            <w:pPr>
              <w:pStyle w:val="ListParagraph"/>
              <w:spacing w:after="0" w:line="240" w:lineRule="auto"/>
              <w:ind w:left="714"/>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BD7E43">
              <w:rPr>
                <w:rFonts w:ascii="Verdana" w:hAnsi="Verdana" w:cs="Times New Roman"/>
                <w:sz w:val="16"/>
                <w:szCs w:val="16"/>
              </w:rPr>
              <w:t>1</w:t>
            </w:r>
          </w:p>
          <w:p w:rsidR="009F0062" w:rsidRPr="00BD7E43" w:rsidRDefault="009F0062" w:rsidP="00C147E1">
            <w:pPr>
              <w:pStyle w:val="ListParagraph"/>
              <w:spacing w:after="0" w:line="240" w:lineRule="auto"/>
              <w:ind w:left="714"/>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BD7E43">
              <w:rPr>
                <w:rFonts w:ascii="Verdana" w:hAnsi="Verdana" w:cs="Times New Roman"/>
                <w:sz w:val="16"/>
                <w:szCs w:val="16"/>
              </w:rPr>
              <w:t>1</w:t>
            </w:r>
          </w:p>
          <w:p w:rsidR="009F0062" w:rsidRPr="00BD7E43" w:rsidRDefault="009F0062" w:rsidP="00C147E1">
            <w:pPr>
              <w:pStyle w:val="ListParagraph"/>
              <w:spacing w:after="0" w:line="240" w:lineRule="auto"/>
              <w:ind w:left="714"/>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BD7E43">
              <w:rPr>
                <w:rFonts w:ascii="Verdana" w:hAnsi="Verdana" w:cs="Times New Roman"/>
                <w:sz w:val="16"/>
                <w:szCs w:val="16"/>
              </w:rPr>
              <w:t>1</w:t>
            </w:r>
          </w:p>
          <w:p w:rsidR="009F0062" w:rsidRPr="00BD7E43" w:rsidRDefault="009F0062" w:rsidP="00C147E1">
            <w:pPr>
              <w:pStyle w:val="ListParagraph"/>
              <w:spacing w:after="0" w:line="240" w:lineRule="auto"/>
              <w:ind w:left="714"/>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BD7E43">
              <w:rPr>
                <w:rFonts w:ascii="Verdana" w:hAnsi="Verdana" w:cs="Times New Roman"/>
                <w:sz w:val="16"/>
                <w:szCs w:val="16"/>
              </w:rPr>
              <w:t>1</w:t>
            </w:r>
          </w:p>
        </w:tc>
      </w:tr>
      <w:tr w:rsidR="009F0062" w:rsidRPr="00BD7E43" w:rsidTr="00C147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dxa"/>
          </w:tcPr>
          <w:p w:rsidR="009F0062" w:rsidRPr="00BD7E43" w:rsidRDefault="009F0062" w:rsidP="00C147E1">
            <w:pPr>
              <w:pStyle w:val="ListParagraph"/>
              <w:ind w:left="0"/>
              <w:jc w:val="center"/>
              <w:rPr>
                <w:rFonts w:ascii="Verdana" w:hAnsi="Verdana" w:cs="Times New Roman"/>
                <w:sz w:val="16"/>
                <w:szCs w:val="16"/>
              </w:rPr>
            </w:pPr>
            <w:r w:rsidRPr="00BD7E43">
              <w:rPr>
                <w:rFonts w:ascii="Verdana" w:hAnsi="Verdana" w:cs="Times New Roman"/>
                <w:sz w:val="16"/>
                <w:szCs w:val="16"/>
              </w:rPr>
              <w:t>Technology</w:t>
            </w:r>
          </w:p>
        </w:tc>
        <w:tc>
          <w:tcPr>
            <w:tcW w:w="3704" w:type="dxa"/>
          </w:tcPr>
          <w:p w:rsidR="009F0062" w:rsidRPr="00BD7E43" w:rsidRDefault="009F0062" w:rsidP="009F0062">
            <w:pPr>
              <w:pStyle w:val="ListParagraph"/>
              <w:numPr>
                <w:ilvl w:val="0"/>
                <w:numId w:val="15"/>
              </w:numPr>
              <w:spacing w:after="0" w:line="240" w:lineRule="auto"/>
              <w:ind w:left="499" w:hanging="283"/>
              <w:cnfStyle w:val="000000100000" w:firstRow="0" w:lastRow="0" w:firstColumn="0" w:lastColumn="0" w:oddVBand="0" w:evenVBand="0" w:oddHBand="1" w:evenHBand="0" w:firstRowFirstColumn="0" w:firstRowLastColumn="0" w:lastRowFirstColumn="0" w:lastRowLastColumn="0"/>
              <w:rPr>
                <w:rFonts w:ascii="Verdana" w:hAnsi="Verdana" w:cs="Times New Roman"/>
                <w:color w:val="auto"/>
                <w:sz w:val="16"/>
                <w:szCs w:val="16"/>
              </w:rPr>
            </w:pPr>
            <w:r w:rsidRPr="00BD7E43">
              <w:rPr>
                <w:rFonts w:ascii="Verdana" w:hAnsi="Verdana" w:cs="Times New Roman"/>
                <w:color w:val="auto"/>
                <w:sz w:val="16"/>
                <w:szCs w:val="16"/>
              </w:rPr>
              <w:t>Infrastructure</w:t>
            </w:r>
          </w:p>
          <w:p w:rsidR="009F0062" w:rsidRPr="00BD7E43" w:rsidRDefault="009F0062" w:rsidP="009F0062">
            <w:pPr>
              <w:pStyle w:val="ListParagraph"/>
              <w:numPr>
                <w:ilvl w:val="0"/>
                <w:numId w:val="15"/>
              </w:numPr>
              <w:spacing w:after="0" w:line="240" w:lineRule="auto"/>
              <w:ind w:left="499" w:hanging="283"/>
              <w:cnfStyle w:val="000000100000" w:firstRow="0" w:lastRow="0" w:firstColumn="0" w:lastColumn="0" w:oddVBand="0" w:evenVBand="0" w:oddHBand="1" w:evenHBand="0" w:firstRowFirstColumn="0" w:firstRowLastColumn="0" w:lastRowFirstColumn="0" w:lastRowLastColumn="0"/>
              <w:rPr>
                <w:rFonts w:ascii="Verdana" w:hAnsi="Verdana" w:cs="Times New Roman"/>
                <w:color w:val="auto"/>
                <w:sz w:val="16"/>
                <w:szCs w:val="16"/>
              </w:rPr>
            </w:pPr>
            <w:r w:rsidRPr="00BD7E43">
              <w:rPr>
                <w:rFonts w:ascii="Verdana" w:hAnsi="Verdana" w:cs="Times New Roman"/>
                <w:color w:val="auto"/>
                <w:sz w:val="16"/>
                <w:szCs w:val="16"/>
              </w:rPr>
              <w:t>Analytics</w:t>
            </w:r>
          </w:p>
          <w:p w:rsidR="009F0062" w:rsidRPr="00BD7E43" w:rsidRDefault="009F0062" w:rsidP="009F0062">
            <w:pPr>
              <w:pStyle w:val="ListParagraph"/>
              <w:numPr>
                <w:ilvl w:val="0"/>
                <w:numId w:val="15"/>
              </w:numPr>
              <w:spacing w:after="0" w:line="240" w:lineRule="auto"/>
              <w:ind w:left="499" w:hanging="283"/>
              <w:cnfStyle w:val="000000100000" w:firstRow="0" w:lastRow="0" w:firstColumn="0" w:lastColumn="0" w:oddVBand="0" w:evenVBand="0" w:oddHBand="1" w:evenHBand="0" w:firstRowFirstColumn="0" w:firstRowLastColumn="0" w:lastRowFirstColumn="0" w:lastRowLastColumn="0"/>
              <w:rPr>
                <w:rFonts w:ascii="Verdana" w:hAnsi="Verdana" w:cs="Times New Roman"/>
                <w:color w:val="auto"/>
                <w:sz w:val="16"/>
                <w:szCs w:val="16"/>
              </w:rPr>
            </w:pPr>
            <w:r w:rsidRPr="00BD7E43">
              <w:rPr>
                <w:rFonts w:ascii="Verdana" w:hAnsi="Verdana" w:cs="Times New Roman"/>
                <w:color w:val="auto"/>
                <w:sz w:val="16"/>
                <w:szCs w:val="16"/>
              </w:rPr>
              <w:t>Business applications</w:t>
            </w:r>
          </w:p>
        </w:tc>
        <w:tc>
          <w:tcPr>
            <w:tcW w:w="2635" w:type="dxa"/>
          </w:tcPr>
          <w:p w:rsidR="009F0062" w:rsidRPr="00BD7E43" w:rsidRDefault="009F0062" w:rsidP="00C147E1">
            <w:pPr>
              <w:pStyle w:val="ListParagraph"/>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D7E43">
              <w:rPr>
                <w:rFonts w:ascii="Verdana" w:hAnsi="Verdana" w:cs="Times New Roman"/>
                <w:sz w:val="16"/>
                <w:szCs w:val="16"/>
              </w:rPr>
              <w:t>2</w:t>
            </w:r>
          </w:p>
          <w:p w:rsidR="009F0062" w:rsidRPr="00BD7E43" w:rsidRDefault="009F0062" w:rsidP="00C147E1">
            <w:pPr>
              <w:pStyle w:val="ListParagraph"/>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D7E43">
              <w:rPr>
                <w:rFonts w:ascii="Verdana" w:hAnsi="Verdana" w:cs="Times New Roman"/>
                <w:sz w:val="16"/>
                <w:szCs w:val="16"/>
              </w:rPr>
              <w:t>5</w:t>
            </w:r>
          </w:p>
          <w:p w:rsidR="009F0062" w:rsidRPr="00BD7E43" w:rsidRDefault="009F0062" w:rsidP="00C147E1">
            <w:pPr>
              <w:pStyle w:val="ListParagraph"/>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D7E43">
              <w:rPr>
                <w:rFonts w:ascii="Verdana" w:hAnsi="Verdana" w:cs="Times New Roman"/>
                <w:sz w:val="16"/>
                <w:szCs w:val="16"/>
              </w:rPr>
              <w:t>1</w:t>
            </w:r>
          </w:p>
        </w:tc>
      </w:tr>
      <w:tr w:rsidR="009F0062" w:rsidRPr="00BD7E43" w:rsidTr="00C147E1">
        <w:tc>
          <w:tcPr>
            <w:cnfStyle w:val="001000000000" w:firstRow="0" w:lastRow="0" w:firstColumn="1" w:lastColumn="0" w:oddVBand="0" w:evenVBand="0" w:oddHBand="0" w:evenHBand="0" w:firstRowFirstColumn="0" w:firstRowLastColumn="0" w:lastRowFirstColumn="0" w:lastRowLastColumn="0"/>
            <w:tcW w:w="2903" w:type="dxa"/>
          </w:tcPr>
          <w:p w:rsidR="009F0062" w:rsidRPr="00BD7E43" w:rsidRDefault="009F0062" w:rsidP="00C147E1">
            <w:pPr>
              <w:pStyle w:val="ListParagraph"/>
              <w:ind w:left="0"/>
              <w:jc w:val="center"/>
              <w:rPr>
                <w:rFonts w:ascii="Verdana" w:hAnsi="Verdana" w:cs="Times New Roman"/>
                <w:sz w:val="16"/>
                <w:szCs w:val="16"/>
              </w:rPr>
            </w:pPr>
            <w:r w:rsidRPr="00BD7E43">
              <w:rPr>
                <w:rFonts w:ascii="Verdana" w:hAnsi="Verdana" w:cs="Times New Roman"/>
                <w:sz w:val="16"/>
                <w:szCs w:val="16"/>
              </w:rPr>
              <w:t>Security &amp; privacy</w:t>
            </w:r>
          </w:p>
        </w:tc>
        <w:tc>
          <w:tcPr>
            <w:tcW w:w="3704" w:type="dxa"/>
          </w:tcPr>
          <w:p w:rsidR="009F0062" w:rsidRPr="00BD7E43" w:rsidRDefault="009F0062" w:rsidP="009F0062">
            <w:pPr>
              <w:pStyle w:val="ListParagraph"/>
              <w:numPr>
                <w:ilvl w:val="0"/>
                <w:numId w:val="16"/>
              </w:numPr>
              <w:spacing w:after="0" w:line="240" w:lineRule="auto"/>
              <w:ind w:left="499" w:hanging="283"/>
              <w:cnfStyle w:val="000000000000" w:firstRow="0" w:lastRow="0" w:firstColumn="0" w:lastColumn="0" w:oddVBand="0" w:evenVBand="0" w:oddHBand="0" w:evenHBand="0" w:firstRowFirstColumn="0" w:firstRowLastColumn="0" w:lastRowFirstColumn="0" w:lastRowLastColumn="0"/>
              <w:rPr>
                <w:rFonts w:ascii="Verdana" w:hAnsi="Verdana" w:cs="Times New Roman"/>
                <w:color w:val="auto"/>
                <w:sz w:val="16"/>
                <w:szCs w:val="16"/>
              </w:rPr>
            </w:pPr>
            <w:r w:rsidRPr="00BD7E43">
              <w:rPr>
                <w:rFonts w:ascii="Verdana" w:hAnsi="Verdana" w:cs="Times New Roman"/>
                <w:color w:val="auto"/>
                <w:sz w:val="16"/>
                <w:szCs w:val="16"/>
              </w:rPr>
              <w:t>Data access rights</w:t>
            </w:r>
          </w:p>
          <w:p w:rsidR="009F0062" w:rsidRPr="00BD7E43" w:rsidRDefault="009F0062" w:rsidP="009F0062">
            <w:pPr>
              <w:pStyle w:val="ListParagraph"/>
              <w:numPr>
                <w:ilvl w:val="0"/>
                <w:numId w:val="16"/>
              </w:numPr>
              <w:spacing w:after="0" w:line="240" w:lineRule="auto"/>
              <w:ind w:left="499" w:hanging="283"/>
              <w:cnfStyle w:val="000000000000" w:firstRow="0" w:lastRow="0" w:firstColumn="0" w:lastColumn="0" w:oddVBand="0" w:evenVBand="0" w:oddHBand="0" w:evenHBand="0" w:firstRowFirstColumn="0" w:firstRowLastColumn="0" w:lastRowFirstColumn="0" w:lastRowLastColumn="0"/>
              <w:rPr>
                <w:rFonts w:ascii="Verdana" w:hAnsi="Verdana" w:cs="Times New Roman"/>
                <w:color w:val="auto"/>
                <w:sz w:val="16"/>
                <w:szCs w:val="16"/>
              </w:rPr>
            </w:pPr>
            <w:r w:rsidRPr="00BD7E43">
              <w:rPr>
                <w:rFonts w:ascii="Verdana" w:hAnsi="Verdana" w:cs="Times New Roman"/>
                <w:color w:val="auto"/>
                <w:sz w:val="16"/>
                <w:szCs w:val="16"/>
              </w:rPr>
              <w:t>Data risk management</w:t>
            </w:r>
          </w:p>
          <w:p w:rsidR="009F0062" w:rsidRPr="00BD7E43" w:rsidRDefault="009F0062" w:rsidP="009F0062">
            <w:pPr>
              <w:pStyle w:val="ListParagraph"/>
              <w:numPr>
                <w:ilvl w:val="0"/>
                <w:numId w:val="16"/>
              </w:numPr>
              <w:spacing w:after="0" w:line="240" w:lineRule="auto"/>
              <w:ind w:left="499" w:hanging="283"/>
              <w:cnfStyle w:val="000000000000" w:firstRow="0" w:lastRow="0" w:firstColumn="0" w:lastColumn="0" w:oddVBand="0" w:evenVBand="0" w:oddHBand="0" w:evenHBand="0" w:firstRowFirstColumn="0" w:firstRowLastColumn="0" w:lastRowFirstColumn="0" w:lastRowLastColumn="0"/>
              <w:rPr>
                <w:rFonts w:ascii="Verdana" w:hAnsi="Verdana" w:cs="Times New Roman"/>
                <w:color w:val="auto"/>
                <w:sz w:val="16"/>
                <w:szCs w:val="16"/>
              </w:rPr>
            </w:pPr>
            <w:r w:rsidRPr="00BD7E43">
              <w:rPr>
                <w:rFonts w:ascii="Verdana" w:hAnsi="Verdana" w:cs="Times New Roman"/>
                <w:color w:val="auto"/>
                <w:sz w:val="16"/>
                <w:szCs w:val="16"/>
              </w:rPr>
              <w:t xml:space="preserve">Data compliance </w:t>
            </w:r>
          </w:p>
        </w:tc>
        <w:tc>
          <w:tcPr>
            <w:tcW w:w="2635" w:type="dxa"/>
          </w:tcPr>
          <w:p w:rsidR="009F0062" w:rsidRPr="00BD7E43" w:rsidRDefault="009F0062" w:rsidP="00C147E1">
            <w:pPr>
              <w:pStyle w:val="ListParagraph"/>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BD7E43">
              <w:rPr>
                <w:rFonts w:ascii="Verdana" w:hAnsi="Verdana" w:cs="Times New Roman"/>
                <w:sz w:val="16"/>
                <w:szCs w:val="16"/>
              </w:rPr>
              <w:t>1</w:t>
            </w:r>
          </w:p>
          <w:p w:rsidR="009F0062" w:rsidRPr="00BD7E43" w:rsidRDefault="009F0062" w:rsidP="00C147E1">
            <w:pPr>
              <w:pStyle w:val="ListParagraph"/>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BD7E43">
              <w:rPr>
                <w:rFonts w:ascii="Verdana" w:hAnsi="Verdana" w:cs="Times New Roman"/>
                <w:sz w:val="16"/>
                <w:szCs w:val="16"/>
              </w:rPr>
              <w:t>1</w:t>
            </w:r>
          </w:p>
          <w:p w:rsidR="009F0062" w:rsidRPr="00BD7E43" w:rsidRDefault="009F0062" w:rsidP="00C147E1">
            <w:pPr>
              <w:pStyle w:val="ListParagraph"/>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Times New Roman"/>
                <w:sz w:val="16"/>
                <w:szCs w:val="16"/>
              </w:rPr>
            </w:pPr>
            <w:r w:rsidRPr="00BD7E43">
              <w:rPr>
                <w:rFonts w:ascii="Verdana" w:hAnsi="Verdana" w:cs="Times New Roman"/>
                <w:sz w:val="16"/>
                <w:szCs w:val="16"/>
              </w:rPr>
              <w:t>2</w:t>
            </w:r>
          </w:p>
        </w:tc>
      </w:tr>
      <w:tr w:rsidR="009F0062" w:rsidRPr="00BD7E43" w:rsidTr="00C147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dxa"/>
          </w:tcPr>
          <w:p w:rsidR="009F0062" w:rsidRPr="00BD7E43" w:rsidRDefault="009F0062" w:rsidP="00C147E1">
            <w:pPr>
              <w:pStyle w:val="ListParagraph"/>
              <w:ind w:left="0"/>
              <w:jc w:val="center"/>
              <w:rPr>
                <w:rFonts w:ascii="Verdana" w:hAnsi="Verdana" w:cs="Times New Roman"/>
                <w:sz w:val="16"/>
                <w:szCs w:val="16"/>
              </w:rPr>
            </w:pPr>
            <w:r w:rsidRPr="00BD7E43">
              <w:rPr>
                <w:rFonts w:ascii="Verdana" w:hAnsi="Verdana" w:cs="Times New Roman"/>
                <w:sz w:val="16"/>
                <w:szCs w:val="16"/>
              </w:rPr>
              <w:t>Metrics development and monitoring</w:t>
            </w:r>
          </w:p>
        </w:tc>
        <w:tc>
          <w:tcPr>
            <w:tcW w:w="3704" w:type="dxa"/>
          </w:tcPr>
          <w:p w:rsidR="009F0062" w:rsidRPr="00BD7E43" w:rsidRDefault="009F0062" w:rsidP="009F0062">
            <w:pPr>
              <w:pStyle w:val="ListParagraph"/>
              <w:numPr>
                <w:ilvl w:val="0"/>
                <w:numId w:val="17"/>
              </w:numPr>
              <w:spacing w:after="0" w:line="240" w:lineRule="auto"/>
              <w:ind w:left="499" w:hanging="283"/>
              <w:cnfStyle w:val="000000100000" w:firstRow="0" w:lastRow="0" w:firstColumn="0" w:lastColumn="0" w:oddVBand="0" w:evenVBand="0" w:oddHBand="1" w:evenHBand="0" w:firstRowFirstColumn="0" w:firstRowLastColumn="0" w:lastRowFirstColumn="0" w:lastRowLastColumn="0"/>
              <w:rPr>
                <w:rFonts w:ascii="Verdana" w:hAnsi="Verdana" w:cs="Times New Roman"/>
                <w:color w:val="auto"/>
                <w:sz w:val="16"/>
                <w:szCs w:val="16"/>
              </w:rPr>
            </w:pPr>
            <w:r w:rsidRPr="00BD7E43">
              <w:rPr>
                <w:rFonts w:ascii="Verdana" w:hAnsi="Verdana" w:cs="Times New Roman"/>
                <w:color w:val="auto"/>
                <w:sz w:val="16"/>
                <w:szCs w:val="16"/>
              </w:rPr>
              <w:t>Benefits management &amp; monitoring</w:t>
            </w:r>
          </w:p>
          <w:p w:rsidR="009F0062" w:rsidRPr="00BD7E43" w:rsidRDefault="009F0062" w:rsidP="009F0062">
            <w:pPr>
              <w:pStyle w:val="ListParagraph"/>
              <w:numPr>
                <w:ilvl w:val="0"/>
                <w:numId w:val="17"/>
              </w:numPr>
              <w:spacing w:after="0" w:line="240" w:lineRule="auto"/>
              <w:ind w:left="499" w:hanging="283"/>
              <w:cnfStyle w:val="000000100000" w:firstRow="0" w:lastRow="0" w:firstColumn="0" w:lastColumn="0" w:oddVBand="0" w:evenVBand="0" w:oddHBand="1" w:evenHBand="0" w:firstRowFirstColumn="0" w:firstRowLastColumn="0" w:lastRowFirstColumn="0" w:lastRowLastColumn="0"/>
              <w:rPr>
                <w:rFonts w:ascii="Verdana" w:hAnsi="Verdana" w:cs="Times New Roman"/>
                <w:color w:val="auto"/>
                <w:sz w:val="16"/>
                <w:szCs w:val="16"/>
              </w:rPr>
            </w:pPr>
            <w:r w:rsidRPr="00BD7E43">
              <w:rPr>
                <w:rFonts w:ascii="Verdana" w:hAnsi="Verdana" w:cs="Times New Roman"/>
                <w:color w:val="auto"/>
                <w:sz w:val="16"/>
                <w:szCs w:val="16"/>
              </w:rPr>
              <w:t>Value creation quantification</w:t>
            </w:r>
          </w:p>
        </w:tc>
        <w:tc>
          <w:tcPr>
            <w:tcW w:w="2635" w:type="dxa"/>
          </w:tcPr>
          <w:p w:rsidR="009F0062" w:rsidRPr="00BD7E43" w:rsidRDefault="009F0062" w:rsidP="00C147E1">
            <w:pPr>
              <w:pStyle w:val="ListParagraph"/>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D7E43">
              <w:rPr>
                <w:rFonts w:ascii="Verdana" w:hAnsi="Verdana" w:cs="Times New Roman"/>
                <w:sz w:val="16"/>
                <w:szCs w:val="16"/>
              </w:rPr>
              <w:t>1</w:t>
            </w:r>
          </w:p>
          <w:p w:rsidR="009F0062" w:rsidRPr="00BD7E43" w:rsidRDefault="009F0062" w:rsidP="00C147E1">
            <w:pPr>
              <w:pStyle w:val="ListParagraph"/>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Times New Roman"/>
                <w:sz w:val="16"/>
                <w:szCs w:val="16"/>
              </w:rPr>
            </w:pPr>
            <w:r w:rsidRPr="00BD7E43">
              <w:rPr>
                <w:rFonts w:ascii="Verdana" w:hAnsi="Verdana" w:cs="Times New Roman"/>
                <w:sz w:val="16"/>
                <w:szCs w:val="16"/>
              </w:rPr>
              <w:t>1</w:t>
            </w:r>
          </w:p>
        </w:tc>
      </w:tr>
    </w:tbl>
    <w:p w:rsidR="009F0062" w:rsidRDefault="009F0062" w:rsidP="009F0062">
      <w:pPr>
        <w:rPr>
          <w:rFonts w:ascii="Verdana" w:hAnsi="Verdana"/>
          <w:sz w:val="20"/>
          <w:szCs w:val="20"/>
        </w:rPr>
      </w:pPr>
    </w:p>
    <w:p w:rsidR="009F0062" w:rsidRDefault="009F0062" w:rsidP="009F0062">
      <w:pPr>
        <w:rPr>
          <w:rFonts w:ascii="Verdana" w:hAnsi="Verdana"/>
          <w:sz w:val="20"/>
          <w:szCs w:val="20"/>
        </w:rPr>
      </w:pPr>
    </w:p>
    <w:sectPr w:rsidR="009F0062" w:rsidSect="00066F9A">
      <w:pgSz w:w="11906" w:h="16838"/>
      <w:pgMar w:top="1440" w:right="1440" w:bottom="1440" w:left="1440" w:header="708" w:footer="708" w:gutter="0"/>
      <w:pgNumType w:fmt="lowerRoman" w:start="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5AC9" w:rsidRDefault="00905AC9" w:rsidP="00805AE7">
      <w:pPr>
        <w:spacing w:after="0" w:line="240" w:lineRule="auto"/>
      </w:pPr>
      <w:r>
        <w:separator/>
      </w:r>
    </w:p>
  </w:endnote>
  <w:endnote w:type="continuationSeparator" w:id="0">
    <w:p w:rsidR="00905AC9" w:rsidRDefault="00905AC9" w:rsidP="00805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895" w:rsidRDefault="00967895">
    <w:pPr>
      <w:pStyle w:val="Footer"/>
    </w:pPr>
    <w:r>
      <w:rPr>
        <w:noProof/>
        <w:lang w:val="en-GB" w:eastAsia="en-GB"/>
      </w:rPr>
      <mc:AlternateContent>
        <mc:Choice Requires="wps">
          <w:drawing>
            <wp:anchor distT="0" distB="0" distL="114300" distR="114300" simplePos="0" relativeHeight="251663360" behindDoc="0" locked="0" layoutInCell="1" allowOverlap="0" wp14:anchorId="68404DF3" wp14:editId="05FB5998">
              <wp:simplePos x="0" y="0"/>
              <wp:positionH relativeFrom="page">
                <wp:posOffset>307340</wp:posOffset>
              </wp:positionH>
              <wp:positionV relativeFrom="page">
                <wp:posOffset>10280650</wp:posOffset>
              </wp:positionV>
              <wp:extent cx="6984000" cy="72000"/>
              <wp:effectExtent l="0" t="0" r="7620" b="4445"/>
              <wp:wrapNone/>
              <wp:docPr id="31" name="Tekstvak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984000" cy="72000"/>
                      </a:xfrm>
                      <a:prstGeom prst="rect">
                        <a:avLst/>
                      </a:prstGeom>
                      <a:solidFill>
                        <a:srgbClr val="52BDE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895" w:rsidRPr="00456A6F" w:rsidRDefault="00967895" w:rsidP="00805AE7">
                          <w:pPr>
                            <w:pStyle w:val="Foo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8404DF3" id="_x0000_t202" coordsize="21600,21600" o:spt="202" path="m,l,21600r21600,l21600,xe">
              <v:stroke joinstyle="miter"/>
              <v:path gradientshapeok="t" o:connecttype="rect"/>
            </v:shapetype>
            <v:shape id="Tekstvak 31" o:spid="_x0000_s1031" type="#_x0000_t202" style="position:absolute;margin-left:24.2pt;margin-top:809.5pt;width:549.9pt;height:5.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" o:allowoverlap="f" fillcolor="#52bdec" stroked="f" strokeweight=".5pt">
              <v:path arrowok="t"/>
              <o:lock v:ext="edit" aspectratio="t"/>
              <v:textbox inset="0,0,0,0">
                <w:txbxContent>
                  <w:p w:rsidR="00967895" w:rsidRPr="00456A6F" w:rsidRDefault="00967895" w:rsidP="00805AE7">
                    <w:pPr>
                      <w:pStyle w:val="Pieddepage"/>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784178"/>
      <w:docPartObj>
        <w:docPartGallery w:val="Page Numbers (Bottom of Page)"/>
        <w:docPartUnique/>
      </w:docPartObj>
    </w:sdtPr>
    <w:sdtEndPr>
      <w:rPr>
        <w:noProof/>
      </w:rPr>
    </w:sdtEndPr>
    <w:sdtContent>
      <w:p w:rsidR="00967895" w:rsidRDefault="00967895">
        <w:pPr>
          <w:pStyle w:val="Footer"/>
          <w:jc w:val="center"/>
        </w:pPr>
        <w:r>
          <w:fldChar w:fldCharType="begin"/>
        </w:r>
        <w:r>
          <w:instrText xml:space="preserve"> PAGE   \* MERGEFORMAT </w:instrText>
        </w:r>
        <w:r>
          <w:fldChar w:fldCharType="separate"/>
        </w:r>
        <w:r w:rsidR="00647EEB">
          <w:rPr>
            <w:noProof/>
          </w:rPr>
          <w:t>iv</w:t>
        </w:r>
        <w:r>
          <w:rPr>
            <w:noProof/>
          </w:rPr>
          <w:fldChar w:fldCharType="end"/>
        </w:r>
      </w:p>
    </w:sdtContent>
  </w:sdt>
  <w:p w:rsidR="00967895" w:rsidRDefault="0096789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9773679"/>
      <w:docPartObj>
        <w:docPartGallery w:val="Page Numbers (Bottom of Page)"/>
        <w:docPartUnique/>
      </w:docPartObj>
    </w:sdtPr>
    <w:sdtEndPr>
      <w:rPr>
        <w:noProof/>
      </w:rPr>
    </w:sdtEndPr>
    <w:sdtContent>
      <w:p w:rsidR="00967895" w:rsidRDefault="00967895">
        <w:pPr>
          <w:pStyle w:val="Footer"/>
          <w:jc w:val="center"/>
        </w:pPr>
        <w:r>
          <w:fldChar w:fldCharType="begin"/>
        </w:r>
        <w:r>
          <w:instrText xml:space="preserve"> PAGE   \* MERGEFORMAT </w:instrText>
        </w:r>
        <w:r>
          <w:fldChar w:fldCharType="separate"/>
        </w:r>
        <w:r w:rsidR="00647EEB">
          <w:rPr>
            <w:noProof/>
          </w:rPr>
          <w:t>vii</w:t>
        </w:r>
        <w:r>
          <w:rPr>
            <w:noProof/>
          </w:rPr>
          <w:fldChar w:fldCharType="end"/>
        </w:r>
      </w:p>
    </w:sdtContent>
  </w:sdt>
  <w:p w:rsidR="00967895" w:rsidRDefault="0096789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2442261"/>
      <w:docPartObj>
        <w:docPartGallery w:val="Page Numbers (Bottom of Page)"/>
        <w:docPartUnique/>
      </w:docPartObj>
    </w:sdtPr>
    <w:sdtEndPr/>
    <w:sdtContent>
      <w:p w:rsidR="00820B38" w:rsidRDefault="00820B38">
        <w:pPr>
          <w:pStyle w:val="Footer"/>
          <w:jc w:val="center"/>
        </w:pPr>
        <w:r>
          <w:fldChar w:fldCharType="begin"/>
        </w:r>
        <w:r>
          <w:instrText>PAGE   \* MERGEFORMAT</w:instrText>
        </w:r>
        <w:r>
          <w:fldChar w:fldCharType="separate"/>
        </w:r>
        <w:r w:rsidR="00647EEB" w:rsidRPr="00647EEB">
          <w:rPr>
            <w:noProof/>
            <w:lang w:val="fr-FR"/>
          </w:rPr>
          <w:t>xix</w:t>
        </w:r>
        <w:r>
          <w:fldChar w:fldCharType="end"/>
        </w:r>
      </w:p>
    </w:sdtContent>
  </w:sdt>
  <w:p w:rsidR="00967895" w:rsidRDefault="009678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5AC9" w:rsidRDefault="00905AC9" w:rsidP="00805AE7">
      <w:pPr>
        <w:spacing w:after="0" w:line="240" w:lineRule="auto"/>
      </w:pPr>
      <w:r>
        <w:separator/>
      </w:r>
    </w:p>
  </w:footnote>
  <w:footnote w:type="continuationSeparator" w:id="0">
    <w:p w:rsidR="00905AC9" w:rsidRDefault="00905AC9" w:rsidP="00805AE7">
      <w:pPr>
        <w:spacing w:after="0" w:line="240" w:lineRule="auto"/>
      </w:pPr>
      <w:r>
        <w:continuationSeparator/>
      </w:r>
    </w:p>
  </w:footnote>
  <w:footnote w:id="1">
    <w:p w:rsidR="00967895" w:rsidRPr="004E613D" w:rsidRDefault="00967895">
      <w:pPr>
        <w:pStyle w:val="FootnoteText"/>
        <w:rPr>
          <w:lang w:val="en-GB"/>
        </w:rPr>
      </w:pPr>
      <w:r>
        <w:rPr>
          <w:rStyle w:val="FootnoteReference"/>
        </w:rPr>
        <w:footnoteRef/>
      </w:r>
      <w:r w:rsidRPr="00C40D1D">
        <w:rPr>
          <w:lang w:val="en-GB"/>
        </w:rPr>
        <w:t xml:space="preserve"> as specified in the original document issued by the Basel Committee on Banking Supervision (2013)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C0BA6"/>
    <w:multiLevelType w:val="hybridMultilevel"/>
    <w:tmpl w:val="57B0606C"/>
    <w:lvl w:ilvl="0" w:tplc="8C7881E2">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
    <w:nsid w:val="02883C33"/>
    <w:multiLevelType w:val="hybridMultilevel"/>
    <w:tmpl w:val="6D9C8C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6C151B6"/>
    <w:multiLevelType w:val="hybridMultilevel"/>
    <w:tmpl w:val="FE7EC3FA"/>
    <w:lvl w:ilvl="0" w:tplc="08130001">
      <w:start w:val="1"/>
      <w:numFmt w:val="bullet"/>
      <w:lvlText w:val=""/>
      <w:lvlJc w:val="left"/>
      <w:pPr>
        <w:ind w:left="1350" w:hanging="360"/>
      </w:pPr>
      <w:rPr>
        <w:rFonts w:ascii="Symbol" w:hAnsi="Symbol" w:hint="default"/>
      </w:rPr>
    </w:lvl>
    <w:lvl w:ilvl="1" w:tplc="08130003" w:tentative="1">
      <w:start w:val="1"/>
      <w:numFmt w:val="bullet"/>
      <w:lvlText w:val="o"/>
      <w:lvlJc w:val="left"/>
      <w:pPr>
        <w:ind w:left="2070" w:hanging="360"/>
      </w:pPr>
      <w:rPr>
        <w:rFonts w:ascii="Courier New" w:hAnsi="Courier New" w:cs="Courier New" w:hint="default"/>
      </w:rPr>
    </w:lvl>
    <w:lvl w:ilvl="2" w:tplc="08130005" w:tentative="1">
      <w:start w:val="1"/>
      <w:numFmt w:val="bullet"/>
      <w:lvlText w:val=""/>
      <w:lvlJc w:val="left"/>
      <w:pPr>
        <w:ind w:left="2790" w:hanging="360"/>
      </w:pPr>
      <w:rPr>
        <w:rFonts w:ascii="Wingdings" w:hAnsi="Wingdings" w:hint="default"/>
      </w:rPr>
    </w:lvl>
    <w:lvl w:ilvl="3" w:tplc="08130001" w:tentative="1">
      <w:start w:val="1"/>
      <w:numFmt w:val="bullet"/>
      <w:lvlText w:val=""/>
      <w:lvlJc w:val="left"/>
      <w:pPr>
        <w:ind w:left="3510" w:hanging="360"/>
      </w:pPr>
      <w:rPr>
        <w:rFonts w:ascii="Symbol" w:hAnsi="Symbol" w:hint="default"/>
      </w:rPr>
    </w:lvl>
    <w:lvl w:ilvl="4" w:tplc="08130003" w:tentative="1">
      <w:start w:val="1"/>
      <w:numFmt w:val="bullet"/>
      <w:lvlText w:val="o"/>
      <w:lvlJc w:val="left"/>
      <w:pPr>
        <w:ind w:left="4230" w:hanging="360"/>
      </w:pPr>
      <w:rPr>
        <w:rFonts w:ascii="Courier New" w:hAnsi="Courier New" w:cs="Courier New" w:hint="default"/>
      </w:rPr>
    </w:lvl>
    <w:lvl w:ilvl="5" w:tplc="08130005" w:tentative="1">
      <w:start w:val="1"/>
      <w:numFmt w:val="bullet"/>
      <w:lvlText w:val=""/>
      <w:lvlJc w:val="left"/>
      <w:pPr>
        <w:ind w:left="4950" w:hanging="360"/>
      </w:pPr>
      <w:rPr>
        <w:rFonts w:ascii="Wingdings" w:hAnsi="Wingdings" w:hint="default"/>
      </w:rPr>
    </w:lvl>
    <w:lvl w:ilvl="6" w:tplc="08130001" w:tentative="1">
      <w:start w:val="1"/>
      <w:numFmt w:val="bullet"/>
      <w:lvlText w:val=""/>
      <w:lvlJc w:val="left"/>
      <w:pPr>
        <w:ind w:left="5670" w:hanging="360"/>
      </w:pPr>
      <w:rPr>
        <w:rFonts w:ascii="Symbol" w:hAnsi="Symbol" w:hint="default"/>
      </w:rPr>
    </w:lvl>
    <w:lvl w:ilvl="7" w:tplc="08130003" w:tentative="1">
      <w:start w:val="1"/>
      <w:numFmt w:val="bullet"/>
      <w:lvlText w:val="o"/>
      <w:lvlJc w:val="left"/>
      <w:pPr>
        <w:ind w:left="6390" w:hanging="360"/>
      </w:pPr>
      <w:rPr>
        <w:rFonts w:ascii="Courier New" w:hAnsi="Courier New" w:cs="Courier New" w:hint="default"/>
      </w:rPr>
    </w:lvl>
    <w:lvl w:ilvl="8" w:tplc="08130005" w:tentative="1">
      <w:start w:val="1"/>
      <w:numFmt w:val="bullet"/>
      <w:lvlText w:val=""/>
      <w:lvlJc w:val="left"/>
      <w:pPr>
        <w:ind w:left="7110" w:hanging="360"/>
      </w:pPr>
      <w:rPr>
        <w:rFonts w:ascii="Wingdings" w:hAnsi="Wingdings" w:hint="default"/>
      </w:rPr>
    </w:lvl>
  </w:abstractNum>
  <w:abstractNum w:abstractNumId="3">
    <w:nsid w:val="08461529"/>
    <w:multiLevelType w:val="hybridMultilevel"/>
    <w:tmpl w:val="CBF898EA"/>
    <w:lvl w:ilvl="0" w:tplc="74CAD040">
      <w:start w:val="1"/>
      <w:numFmt w:val="lowerLetter"/>
      <w:lvlText w:val="%1."/>
      <w:lvlJc w:val="left"/>
      <w:pPr>
        <w:ind w:left="1996" w:hanging="360"/>
      </w:pPr>
      <w:rPr>
        <w:rFonts w:hint="default"/>
      </w:rPr>
    </w:lvl>
    <w:lvl w:ilvl="1" w:tplc="08130019" w:tentative="1">
      <w:start w:val="1"/>
      <w:numFmt w:val="lowerLetter"/>
      <w:lvlText w:val="%2."/>
      <w:lvlJc w:val="left"/>
      <w:pPr>
        <w:ind w:left="2716" w:hanging="360"/>
      </w:pPr>
    </w:lvl>
    <w:lvl w:ilvl="2" w:tplc="0813001B" w:tentative="1">
      <w:start w:val="1"/>
      <w:numFmt w:val="lowerRoman"/>
      <w:lvlText w:val="%3."/>
      <w:lvlJc w:val="right"/>
      <w:pPr>
        <w:ind w:left="3436" w:hanging="180"/>
      </w:pPr>
    </w:lvl>
    <w:lvl w:ilvl="3" w:tplc="0813000F" w:tentative="1">
      <w:start w:val="1"/>
      <w:numFmt w:val="decimal"/>
      <w:lvlText w:val="%4."/>
      <w:lvlJc w:val="left"/>
      <w:pPr>
        <w:ind w:left="4156" w:hanging="360"/>
      </w:pPr>
    </w:lvl>
    <w:lvl w:ilvl="4" w:tplc="08130019" w:tentative="1">
      <w:start w:val="1"/>
      <w:numFmt w:val="lowerLetter"/>
      <w:lvlText w:val="%5."/>
      <w:lvlJc w:val="left"/>
      <w:pPr>
        <w:ind w:left="4876" w:hanging="360"/>
      </w:pPr>
    </w:lvl>
    <w:lvl w:ilvl="5" w:tplc="0813001B" w:tentative="1">
      <w:start w:val="1"/>
      <w:numFmt w:val="lowerRoman"/>
      <w:lvlText w:val="%6."/>
      <w:lvlJc w:val="right"/>
      <w:pPr>
        <w:ind w:left="5596" w:hanging="180"/>
      </w:pPr>
    </w:lvl>
    <w:lvl w:ilvl="6" w:tplc="0813000F" w:tentative="1">
      <w:start w:val="1"/>
      <w:numFmt w:val="decimal"/>
      <w:lvlText w:val="%7."/>
      <w:lvlJc w:val="left"/>
      <w:pPr>
        <w:ind w:left="6316" w:hanging="360"/>
      </w:pPr>
    </w:lvl>
    <w:lvl w:ilvl="7" w:tplc="08130019" w:tentative="1">
      <w:start w:val="1"/>
      <w:numFmt w:val="lowerLetter"/>
      <w:lvlText w:val="%8."/>
      <w:lvlJc w:val="left"/>
      <w:pPr>
        <w:ind w:left="7036" w:hanging="360"/>
      </w:pPr>
    </w:lvl>
    <w:lvl w:ilvl="8" w:tplc="0813001B" w:tentative="1">
      <w:start w:val="1"/>
      <w:numFmt w:val="lowerRoman"/>
      <w:lvlText w:val="%9."/>
      <w:lvlJc w:val="right"/>
      <w:pPr>
        <w:ind w:left="7756" w:hanging="180"/>
      </w:pPr>
    </w:lvl>
  </w:abstractNum>
  <w:abstractNum w:abstractNumId="4">
    <w:nsid w:val="09216465"/>
    <w:multiLevelType w:val="hybridMultilevel"/>
    <w:tmpl w:val="88D620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DB05503"/>
    <w:multiLevelType w:val="hybridMultilevel"/>
    <w:tmpl w:val="245404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E8405D1"/>
    <w:multiLevelType w:val="hybridMultilevel"/>
    <w:tmpl w:val="BA5C0D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0F9F724D"/>
    <w:multiLevelType w:val="hybridMultilevel"/>
    <w:tmpl w:val="992A49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10511D13"/>
    <w:multiLevelType w:val="hybridMultilevel"/>
    <w:tmpl w:val="3C668A4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105415B7"/>
    <w:multiLevelType w:val="hybridMultilevel"/>
    <w:tmpl w:val="87FC60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12696CD8"/>
    <w:multiLevelType w:val="hybridMultilevel"/>
    <w:tmpl w:val="4B600FFA"/>
    <w:lvl w:ilvl="0" w:tplc="B8D69CBC">
      <w:numFmt w:val="bullet"/>
      <w:lvlText w:val="-"/>
      <w:lvlJc w:val="left"/>
      <w:pPr>
        <w:ind w:left="322" w:hanging="360"/>
      </w:pPr>
      <w:rPr>
        <w:rFonts w:ascii="Times New Roman" w:eastAsiaTheme="minorHAnsi" w:hAnsi="Times New Roman" w:cs="Times New Roman" w:hint="default"/>
      </w:rPr>
    </w:lvl>
    <w:lvl w:ilvl="1" w:tplc="08130003" w:tentative="1">
      <w:start w:val="1"/>
      <w:numFmt w:val="bullet"/>
      <w:lvlText w:val="o"/>
      <w:lvlJc w:val="left"/>
      <w:pPr>
        <w:ind w:left="1042" w:hanging="360"/>
      </w:pPr>
      <w:rPr>
        <w:rFonts w:ascii="Courier New" w:hAnsi="Courier New" w:cs="Courier New" w:hint="default"/>
      </w:rPr>
    </w:lvl>
    <w:lvl w:ilvl="2" w:tplc="08130005" w:tentative="1">
      <w:start w:val="1"/>
      <w:numFmt w:val="bullet"/>
      <w:lvlText w:val=""/>
      <w:lvlJc w:val="left"/>
      <w:pPr>
        <w:ind w:left="1762" w:hanging="360"/>
      </w:pPr>
      <w:rPr>
        <w:rFonts w:ascii="Wingdings" w:hAnsi="Wingdings" w:hint="default"/>
      </w:rPr>
    </w:lvl>
    <w:lvl w:ilvl="3" w:tplc="08130001" w:tentative="1">
      <w:start w:val="1"/>
      <w:numFmt w:val="bullet"/>
      <w:lvlText w:val=""/>
      <w:lvlJc w:val="left"/>
      <w:pPr>
        <w:ind w:left="2482" w:hanging="360"/>
      </w:pPr>
      <w:rPr>
        <w:rFonts w:ascii="Symbol" w:hAnsi="Symbol" w:hint="default"/>
      </w:rPr>
    </w:lvl>
    <w:lvl w:ilvl="4" w:tplc="08130003" w:tentative="1">
      <w:start w:val="1"/>
      <w:numFmt w:val="bullet"/>
      <w:lvlText w:val="o"/>
      <w:lvlJc w:val="left"/>
      <w:pPr>
        <w:ind w:left="3202" w:hanging="360"/>
      </w:pPr>
      <w:rPr>
        <w:rFonts w:ascii="Courier New" w:hAnsi="Courier New" w:cs="Courier New" w:hint="default"/>
      </w:rPr>
    </w:lvl>
    <w:lvl w:ilvl="5" w:tplc="08130005" w:tentative="1">
      <w:start w:val="1"/>
      <w:numFmt w:val="bullet"/>
      <w:lvlText w:val=""/>
      <w:lvlJc w:val="left"/>
      <w:pPr>
        <w:ind w:left="3922" w:hanging="360"/>
      </w:pPr>
      <w:rPr>
        <w:rFonts w:ascii="Wingdings" w:hAnsi="Wingdings" w:hint="default"/>
      </w:rPr>
    </w:lvl>
    <w:lvl w:ilvl="6" w:tplc="08130001" w:tentative="1">
      <w:start w:val="1"/>
      <w:numFmt w:val="bullet"/>
      <w:lvlText w:val=""/>
      <w:lvlJc w:val="left"/>
      <w:pPr>
        <w:ind w:left="4642" w:hanging="360"/>
      </w:pPr>
      <w:rPr>
        <w:rFonts w:ascii="Symbol" w:hAnsi="Symbol" w:hint="default"/>
      </w:rPr>
    </w:lvl>
    <w:lvl w:ilvl="7" w:tplc="08130003" w:tentative="1">
      <w:start w:val="1"/>
      <w:numFmt w:val="bullet"/>
      <w:lvlText w:val="o"/>
      <w:lvlJc w:val="left"/>
      <w:pPr>
        <w:ind w:left="5362" w:hanging="360"/>
      </w:pPr>
      <w:rPr>
        <w:rFonts w:ascii="Courier New" w:hAnsi="Courier New" w:cs="Courier New" w:hint="default"/>
      </w:rPr>
    </w:lvl>
    <w:lvl w:ilvl="8" w:tplc="08130005" w:tentative="1">
      <w:start w:val="1"/>
      <w:numFmt w:val="bullet"/>
      <w:lvlText w:val=""/>
      <w:lvlJc w:val="left"/>
      <w:pPr>
        <w:ind w:left="6082" w:hanging="360"/>
      </w:pPr>
      <w:rPr>
        <w:rFonts w:ascii="Wingdings" w:hAnsi="Wingdings" w:hint="default"/>
      </w:rPr>
    </w:lvl>
  </w:abstractNum>
  <w:abstractNum w:abstractNumId="11">
    <w:nsid w:val="13112ED4"/>
    <w:multiLevelType w:val="hybridMultilevel"/>
    <w:tmpl w:val="1BF62862"/>
    <w:lvl w:ilvl="0" w:tplc="08130001">
      <w:start w:val="1"/>
      <w:numFmt w:val="bullet"/>
      <w:lvlText w:val=""/>
      <w:lvlJc w:val="left"/>
      <w:pPr>
        <w:ind w:left="5464" w:hanging="360"/>
      </w:pPr>
      <w:rPr>
        <w:rFonts w:ascii="Symbol" w:hAnsi="Symbol" w:hint="default"/>
      </w:rPr>
    </w:lvl>
    <w:lvl w:ilvl="1" w:tplc="08130003" w:tentative="1">
      <w:start w:val="1"/>
      <w:numFmt w:val="bullet"/>
      <w:lvlText w:val="o"/>
      <w:lvlJc w:val="left"/>
      <w:pPr>
        <w:ind w:left="6184" w:hanging="360"/>
      </w:pPr>
      <w:rPr>
        <w:rFonts w:ascii="Courier New" w:hAnsi="Courier New" w:cs="Courier New" w:hint="default"/>
      </w:rPr>
    </w:lvl>
    <w:lvl w:ilvl="2" w:tplc="08130005" w:tentative="1">
      <w:start w:val="1"/>
      <w:numFmt w:val="bullet"/>
      <w:lvlText w:val=""/>
      <w:lvlJc w:val="left"/>
      <w:pPr>
        <w:ind w:left="6904" w:hanging="360"/>
      </w:pPr>
      <w:rPr>
        <w:rFonts w:ascii="Wingdings" w:hAnsi="Wingdings" w:hint="default"/>
      </w:rPr>
    </w:lvl>
    <w:lvl w:ilvl="3" w:tplc="08130001" w:tentative="1">
      <w:start w:val="1"/>
      <w:numFmt w:val="bullet"/>
      <w:lvlText w:val=""/>
      <w:lvlJc w:val="left"/>
      <w:pPr>
        <w:ind w:left="7624" w:hanging="360"/>
      </w:pPr>
      <w:rPr>
        <w:rFonts w:ascii="Symbol" w:hAnsi="Symbol" w:hint="default"/>
      </w:rPr>
    </w:lvl>
    <w:lvl w:ilvl="4" w:tplc="08130003" w:tentative="1">
      <w:start w:val="1"/>
      <w:numFmt w:val="bullet"/>
      <w:lvlText w:val="o"/>
      <w:lvlJc w:val="left"/>
      <w:pPr>
        <w:ind w:left="8344" w:hanging="360"/>
      </w:pPr>
      <w:rPr>
        <w:rFonts w:ascii="Courier New" w:hAnsi="Courier New" w:cs="Courier New" w:hint="default"/>
      </w:rPr>
    </w:lvl>
    <w:lvl w:ilvl="5" w:tplc="08130005" w:tentative="1">
      <w:start w:val="1"/>
      <w:numFmt w:val="bullet"/>
      <w:lvlText w:val=""/>
      <w:lvlJc w:val="left"/>
      <w:pPr>
        <w:ind w:left="9064" w:hanging="360"/>
      </w:pPr>
      <w:rPr>
        <w:rFonts w:ascii="Wingdings" w:hAnsi="Wingdings" w:hint="default"/>
      </w:rPr>
    </w:lvl>
    <w:lvl w:ilvl="6" w:tplc="08130001" w:tentative="1">
      <w:start w:val="1"/>
      <w:numFmt w:val="bullet"/>
      <w:lvlText w:val=""/>
      <w:lvlJc w:val="left"/>
      <w:pPr>
        <w:ind w:left="9784" w:hanging="360"/>
      </w:pPr>
      <w:rPr>
        <w:rFonts w:ascii="Symbol" w:hAnsi="Symbol" w:hint="default"/>
      </w:rPr>
    </w:lvl>
    <w:lvl w:ilvl="7" w:tplc="08130003" w:tentative="1">
      <w:start w:val="1"/>
      <w:numFmt w:val="bullet"/>
      <w:lvlText w:val="o"/>
      <w:lvlJc w:val="left"/>
      <w:pPr>
        <w:ind w:left="10504" w:hanging="360"/>
      </w:pPr>
      <w:rPr>
        <w:rFonts w:ascii="Courier New" w:hAnsi="Courier New" w:cs="Courier New" w:hint="default"/>
      </w:rPr>
    </w:lvl>
    <w:lvl w:ilvl="8" w:tplc="08130005" w:tentative="1">
      <w:start w:val="1"/>
      <w:numFmt w:val="bullet"/>
      <w:lvlText w:val=""/>
      <w:lvlJc w:val="left"/>
      <w:pPr>
        <w:ind w:left="11224" w:hanging="360"/>
      </w:pPr>
      <w:rPr>
        <w:rFonts w:ascii="Wingdings" w:hAnsi="Wingdings" w:hint="default"/>
      </w:rPr>
    </w:lvl>
  </w:abstractNum>
  <w:abstractNum w:abstractNumId="12">
    <w:nsid w:val="159D6B49"/>
    <w:multiLevelType w:val="hybridMultilevel"/>
    <w:tmpl w:val="7D5C9F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17973255"/>
    <w:multiLevelType w:val="hybridMultilevel"/>
    <w:tmpl w:val="55121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93077A"/>
    <w:multiLevelType w:val="hybridMultilevel"/>
    <w:tmpl w:val="116CCA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1AB308F7"/>
    <w:multiLevelType w:val="hybridMultilevel"/>
    <w:tmpl w:val="2864E208"/>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6">
    <w:nsid w:val="1B182649"/>
    <w:multiLevelType w:val="hybridMultilevel"/>
    <w:tmpl w:val="AD44785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1F716AFE"/>
    <w:multiLevelType w:val="hybridMultilevel"/>
    <w:tmpl w:val="DCD6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F7D3232"/>
    <w:multiLevelType w:val="hybridMultilevel"/>
    <w:tmpl w:val="D1309BC8"/>
    <w:lvl w:ilvl="0" w:tplc="08130001">
      <w:start w:val="1"/>
      <w:numFmt w:val="bullet"/>
      <w:lvlText w:val=""/>
      <w:lvlJc w:val="left"/>
      <w:pPr>
        <w:ind w:left="1287" w:hanging="360"/>
      </w:pPr>
      <w:rPr>
        <w:rFonts w:ascii="Symbol" w:hAnsi="Symbol" w:hint="default"/>
      </w:rPr>
    </w:lvl>
    <w:lvl w:ilvl="1" w:tplc="08130003" w:tentative="1">
      <w:start w:val="1"/>
      <w:numFmt w:val="bullet"/>
      <w:lvlText w:val="o"/>
      <w:lvlJc w:val="left"/>
      <w:pPr>
        <w:ind w:left="2007" w:hanging="360"/>
      </w:pPr>
      <w:rPr>
        <w:rFonts w:ascii="Courier New" w:hAnsi="Courier New" w:cs="Courier New" w:hint="default"/>
      </w:rPr>
    </w:lvl>
    <w:lvl w:ilvl="2" w:tplc="08130005" w:tentative="1">
      <w:start w:val="1"/>
      <w:numFmt w:val="bullet"/>
      <w:lvlText w:val=""/>
      <w:lvlJc w:val="left"/>
      <w:pPr>
        <w:ind w:left="2727" w:hanging="360"/>
      </w:pPr>
      <w:rPr>
        <w:rFonts w:ascii="Wingdings" w:hAnsi="Wingdings" w:hint="default"/>
      </w:rPr>
    </w:lvl>
    <w:lvl w:ilvl="3" w:tplc="08130001" w:tentative="1">
      <w:start w:val="1"/>
      <w:numFmt w:val="bullet"/>
      <w:lvlText w:val=""/>
      <w:lvlJc w:val="left"/>
      <w:pPr>
        <w:ind w:left="3447" w:hanging="360"/>
      </w:pPr>
      <w:rPr>
        <w:rFonts w:ascii="Symbol" w:hAnsi="Symbol" w:hint="default"/>
      </w:rPr>
    </w:lvl>
    <w:lvl w:ilvl="4" w:tplc="08130003" w:tentative="1">
      <w:start w:val="1"/>
      <w:numFmt w:val="bullet"/>
      <w:lvlText w:val="o"/>
      <w:lvlJc w:val="left"/>
      <w:pPr>
        <w:ind w:left="4167" w:hanging="360"/>
      </w:pPr>
      <w:rPr>
        <w:rFonts w:ascii="Courier New" w:hAnsi="Courier New" w:cs="Courier New" w:hint="default"/>
      </w:rPr>
    </w:lvl>
    <w:lvl w:ilvl="5" w:tplc="08130005" w:tentative="1">
      <w:start w:val="1"/>
      <w:numFmt w:val="bullet"/>
      <w:lvlText w:val=""/>
      <w:lvlJc w:val="left"/>
      <w:pPr>
        <w:ind w:left="4887" w:hanging="360"/>
      </w:pPr>
      <w:rPr>
        <w:rFonts w:ascii="Wingdings" w:hAnsi="Wingdings" w:hint="default"/>
      </w:rPr>
    </w:lvl>
    <w:lvl w:ilvl="6" w:tplc="08130001" w:tentative="1">
      <w:start w:val="1"/>
      <w:numFmt w:val="bullet"/>
      <w:lvlText w:val=""/>
      <w:lvlJc w:val="left"/>
      <w:pPr>
        <w:ind w:left="5607" w:hanging="360"/>
      </w:pPr>
      <w:rPr>
        <w:rFonts w:ascii="Symbol" w:hAnsi="Symbol" w:hint="default"/>
      </w:rPr>
    </w:lvl>
    <w:lvl w:ilvl="7" w:tplc="08130003" w:tentative="1">
      <w:start w:val="1"/>
      <w:numFmt w:val="bullet"/>
      <w:lvlText w:val="o"/>
      <w:lvlJc w:val="left"/>
      <w:pPr>
        <w:ind w:left="6327" w:hanging="360"/>
      </w:pPr>
      <w:rPr>
        <w:rFonts w:ascii="Courier New" w:hAnsi="Courier New" w:cs="Courier New" w:hint="default"/>
      </w:rPr>
    </w:lvl>
    <w:lvl w:ilvl="8" w:tplc="08130005" w:tentative="1">
      <w:start w:val="1"/>
      <w:numFmt w:val="bullet"/>
      <w:lvlText w:val=""/>
      <w:lvlJc w:val="left"/>
      <w:pPr>
        <w:ind w:left="7047" w:hanging="360"/>
      </w:pPr>
      <w:rPr>
        <w:rFonts w:ascii="Wingdings" w:hAnsi="Wingdings" w:hint="default"/>
      </w:rPr>
    </w:lvl>
  </w:abstractNum>
  <w:abstractNum w:abstractNumId="19">
    <w:nsid w:val="1FED769C"/>
    <w:multiLevelType w:val="hybridMultilevel"/>
    <w:tmpl w:val="DF8472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27187620"/>
    <w:multiLevelType w:val="hybridMultilevel"/>
    <w:tmpl w:val="D5DCD5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7663B56"/>
    <w:multiLevelType w:val="hybridMultilevel"/>
    <w:tmpl w:val="BE7E5E94"/>
    <w:lvl w:ilvl="0" w:tplc="533A6E80">
      <w:start w:val="1"/>
      <w:numFmt w:val="decimal"/>
      <w:lvlText w:val="%1."/>
      <w:lvlJc w:val="left"/>
      <w:pPr>
        <w:ind w:left="1287" w:hanging="360"/>
      </w:pPr>
      <w:rPr>
        <w:rFonts w:hint="default"/>
      </w:rPr>
    </w:lvl>
    <w:lvl w:ilvl="1" w:tplc="08130019" w:tentative="1">
      <w:start w:val="1"/>
      <w:numFmt w:val="lowerLetter"/>
      <w:lvlText w:val="%2."/>
      <w:lvlJc w:val="left"/>
      <w:pPr>
        <w:ind w:left="2007" w:hanging="360"/>
      </w:pPr>
    </w:lvl>
    <w:lvl w:ilvl="2" w:tplc="0813001B" w:tentative="1">
      <w:start w:val="1"/>
      <w:numFmt w:val="lowerRoman"/>
      <w:lvlText w:val="%3."/>
      <w:lvlJc w:val="right"/>
      <w:pPr>
        <w:ind w:left="2727" w:hanging="180"/>
      </w:pPr>
    </w:lvl>
    <w:lvl w:ilvl="3" w:tplc="0813000F" w:tentative="1">
      <w:start w:val="1"/>
      <w:numFmt w:val="decimal"/>
      <w:lvlText w:val="%4."/>
      <w:lvlJc w:val="left"/>
      <w:pPr>
        <w:ind w:left="3447" w:hanging="360"/>
      </w:pPr>
    </w:lvl>
    <w:lvl w:ilvl="4" w:tplc="08130019" w:tentative="1">
      <w:start w:val="1"/>
      <w:numFmt w:val="lowerLetter"/>
      <w:lvlText w:val="%5."/>
      <w:lvlJc w:val="left"/>
      <w:pPr>
        <w:ind w:left="4167" w:hanging="360"/>
      </w:pPr>
    </w:lvl>
    <w:lvl w:ilvl="5" w:tplc="0813001B" w:tentative="1">
      <w:start w:val="1"/>
      <w:numFmt w:val="lowerRoman"/>
      <w:lvlText w:val="%6."/>
      <w:lvlJc w:val="right"/>
      <w:pPr>
        <w:ind w:left="4887" w:hanging="180"/>
      </w:pPr>
    </w:lvl>
    <w:lvl w:ilvl="6" w:tplc="0813000F" w:tentative="1">
      <w:start w:val="1"/>
      <w:numFmt w:val="decimal"/>
      <w:lvlText w:val="%7."/>
      <w:lvlJc w:val="left"/>
      <w:pPr>
        <w:ind w:left="5607" w:hanging="360"/>
      </w:pPr>
    </w:lvl>
    <w:lvl w:ilvl="7" w:tplc="08130019" w:tentative="1">
      <w:start w:val="1"/>
      <w:numFmt w:val="lowerLetter"/>
      <w:lvlText w:val="%8."/>
      <w:lvlJc w:val="left"/>
      <w:pPr>
        <w:ind w:left="6327" w:hanging="360"/>
      </w:pPr>
    </w:lvl>
    <w:lvl w:ilvl="8" w:tplc="0813001B" w:tentative="1">
      <w:start w:val="1"/>
      <w:numFmt w:val="lowerRoman"/>
      <w:lvlText w:val="%9."/>
      <w:lvlJc w:val="right"/>
      <w:pPr>
        <w:ind w:left="7047" w:hanging="180"/>
      </w:pPr>
    </w:lvl>
  </w:abstractNum>
  <w:abstractNum w:abstractNumId="22">
    <w:nsid w:val="29C52025"/>
    <w:multiLevelType w:val="hybridMultilevel"/>
    <w:tmpl w:val="DD744662"/>
    <w:lvl w:ilvl="0" w:tplc="08130001">
      <w:start w:val="1"/>
      <w:numFmt w:val="bullet"/>
      <w:lvlText w:val=""/>
      <w:lvlJc w:val="left"/>
      <w:pPr>
        <w:ind w:left="1350" w:hanging="360"/>
      </w:pPr>
      <w:rPr>
        <w:rFonts w:ascii="Symbol" w:hAnsi="Symbol" w:hint="default"/>
      </w:rPr>
    </w:lvl>
    <w:lvl w:ilvl="1" w:tplc="08130003" w:tentative="1">
      <w:start w:val="1"/>
      <w:numFmt w:val="bullet"/>
      <w:lvlText w:val="o"/>
      <w:lvlJc w:val="left"/>
      <w:pPr>
        <w:ind w:left="2070" w:hanging="360"/>
      </w:pPr>
      <w:rPr>
        <w:rFonts w:ascii="Courier New" w:hAnsi="Courier New" w:cs="Courier New" w:hint="default"/>
      </w:rPr>
    </w:lvl>
    <w:lvl w:ilvl="2" w:tplc="08130005" w:tentative="1">
      <w:start w:val="1"/>
      <w:numFmt w:val="bullet"/>
      <w:lvlText w:val=""/>
      <w:lvlJc w:val="left"/>
      <w:pPr>
        <w:ind w:left="2790" w:hanging="360"/>
      </w:pPr>
      <w:rPr>
        <w:rFonts w:ascii="Wingdings" w:hAnsi="Wingdings" w:hint="default"/>
      </w:rPr>
    </w:lvl>
    <w:lvl w:ilvl="3" w:tplc="08130001" w:tentative="1">
      <w:start w:val="1"/>
      <w:numFmt w:val="bullet"/>
      <w:lvlText w:val=""/>
      <w:lvlJc w:val="left"/>
      <w:pPr>
        <w:ind w:left="3510" w:hanging="360"/>
      </w:pPr>
      <w:rPr>
        <w:rFonts w:ascii="Symbol" w:hAnsi="Symbol" w:hint="default"/>
      </w:rPr>
    </w:lvl>
    <w:lvl w:ilvl="4" w:tplc="08130003" w:tentative="1">
      <w:start w:val="1"/>
      <w:numFmt w:val="bullet"/>
      <w:lvlText w:val="o"/>
      <w:lvlJc w:val="left"/>
      <w:pPr>
        <w:ind w:left="4230" w:hanging="360"/>
      </w:pPr>
      <w:rPr>
        <w:rFonts w:ascii="Courier New" w:hAnsi="Courier New" w:cs="Courier New" w:hint="default"/>
      </w:rPr>
    </w:lvl>
    <w:lvl w:ilvl="5" w:tplc="08130005" w:tentative="1">
      <w:start w:val="1"/>
      <w:numFmt w:val="bullet"/>
      <w:lvlText w:val=""/>
      <w:lvlJc w:val="left"/>
      <w:pPr>
        <w:ind w:left="4950" w:hanging="360"/>
      </w:pPr>
      <w:rPr>
        <w:rFonts w:ascii="Wingdings" w:hAnsi="Wingdings" w:hint="default"/>
      </w:rPr>
    </w:lvl>
    <w:lvl w:ilvl="6" w:tplc="08130001" w:tentative="1">
      <w:start w:val="1"/>
      <w:numFmt w:val="bullet"/>
      <w:lvlText w:val=""/>
      <w:lvlJc w:val="left"/>
      <w:pPr>
        <w:ind w:left="5670" w:hanging="360"/>
      </w:pPr>
      <w:rPr>
        <w:rFonts w:ascii="Symbol" w:hAnsi="Symbol" w:hint="default"/>
      </w:rPr>
    </w:lvl>
    <w:lvl w:ilvl="7" w:tplc="08130003" w:tentative="1">
      <w:start w:val="1"/>
      <w:numFmt w:val="bullet"/>
      <w:lvlText w:val="o"/>
      <w:lvlJc w:val="left"/>
      <w:pPr>
        <w:ind w:left="6390" w:hanging="360"/>
      </w:pPr>
      <w:rPr>
        <w:rFonts w:ascii="Courier New" w:hAnsi="Courier New" w:cs="Courier New" w:hint="default"/>
      </w:rPr>
    </w:lvl>
    <w:lvl w:ilvl="8" w:tplc="08130005" w:tentative="1">
      <w:start w:val="1"/>
      <w:numFmt w:val="bullet"/>
      <w:lvlText w:val=""/>
      <w:lvlJc w:val="left"/>
      <w:pPr>
        <w:ind w:left="7110" w:hanging="360"/>
      </w:pPr>
      <w:rPr>
        <w:rFonts w:ascii="Wingdings" w:hAnsi="Wingdings" w:hint="default"/>
      </w:rPr>
    </w:lvl>
  </w:abstractNum>
  <w:abstractNum w:abstractNumId="23">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2AC45DB4"/>
    <w:multiLevelType w:val="hybridMultilevel"/>
    <w:tmpl w:val="2C38A8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31FB25FC"/>
    <w:multiLevelType w:val="hybridMultilevel"/>
    <w:tmpl w:val="CFD6D2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37446AB8"/>
    <w:multiLevelType w:val="hybridMultilevel"/>
    <w:tmpl w:val="DD5EDC22"/>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27">
    <w:nsid w:val="38780D82"/>
    <w:multiLevelType w:val="hybridMultilevel"/>
    <w:tmpl w:val="EDCEBD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nsid w:val="396463A1"/>
    <w:multiLevelType w:val="hybridMultilevel"/>
    <w:tmpl w:val="6E5C61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3990165B"/>
    <w:multiLevelType w:val="hybridMultilevel"/>
    <w:tmpl w:val="C442A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AA20943"/>
    <w:multiLevelType w:val="hybridMultilevel"/>
    <w:tmpl w:val="64DA9462"/>
    <w:lvl w:ilvl="0" w:tplc="6554B8EA">
      <w:start w:val="1"/>
      <w:numFmt w:val="lowerLetter"/>
      <w:lvlText w:val="%1."/>
      <w:lvlJc w:val="left"/>
      <w:pPr>
        <w:ind w:left="2029" w:hanging="360"/>
      </w:pPr>
      <w:rPr>
        <w:rFonts w:hint="default"/>
      </w:rPr>
    </w:lvl>
    <w:lvl w:ilvl="1" w:tplc="08130019" w:tentative="1">
      <w:start w:val="1"/>
      <w:numFmt w:val="lowerLetter"/>
      <w:lvlText w:val="%2."/>
      <w:lvlJc w:val="left"/>
      <w:pPr>
        <w:ind w:left="2749" w:hanging="360"/>
      </w:pPr>
    </w:lvl>
    <w:lvl w:ilvl="2" w:tplc="0813001B" w:tentative="1">
      <w:start w:val="1"/>
      <w:numFmt w:val="lowerRoman"/>
      <w:lvlText w:val="%3."/>
      <w:lvlJc w:val="right"/>
      <w:pPr>
        <w:ind w:left="3469" w:hanging="180"/>
      </w:pPr>
    </w:lvl>
    <w:lvl w:ilvl="3" w:tplc="0813000F" w:tentative="1">
      <w:start w:val="1"/>
      <w:numFmt w:val="decimal"/>
      <w:lvlText w:val="%4."/>
      <w:lvlJc w:val="left"/>
      <w:pPr>
        <w:ind w:left="4189" w:hanging="360"/>
      </w:pPr>
    </w:lvl>
    <w:lvl w:ilvl="4" w:tplc="08130019" w:tentative="1">
      <w:start w:val="1"/>
      <w:numFmt w:val="lowerLetter"/>
      <w:lvlText w:val="%5."/>
      <w:lvlJc w:val="left"/>
      <w:pPr>
        <w:ind w:left="4909" w:hanging="360"/>
      </w:pPr>
    </w:lvl>
    <w:lvl w:ilvl="5" w:tplc="0813001B" w:tentative="1">
      <w:start w:val="1"/>
      <w:numFmt w:val="lowerRoman"/>
      <w:lvlText w:val="%6."/>
      <w:lvlJc w:val="right"/>
      <w:pPr>
        <w:ind w:left="5629" w:hanging="180"/>
      </w:pPr>
    </w:lvl>
    <w:lvl w:ilvl="6" w:tplc="0813000F" w:tentative="1">
      <w:start w:val="1"/>
      <w:numFmt w:val="decimal"/>
      <w:lvlText w:val="%7."/>
      <w:lvlJc w:val="left"/>
      <w:pPr>
        <w:ind w:left="6349" w:hanging="360"/>
      </w:pPr>
    </w:lvl>
    <w:lvl w:ilvl="7" w:tplc="08130019" w:tentative="1">
      <w:start w:val="1"/>
      <w:numFmt w:val="lowerLetter"/>
      <w:lvlText w:val="%8."/>
      <w:lvlJc w:val="left"/>
      <w:pPr>
        <w:ind w:left="7069" w:hanging="360"/>
      </w:pPr>
    </w:lvl>
    <w:lvl w:ilvl="8" w:tplc="0813001B" w:tentative="1">
      <w:start w:val="1"/>
      <w:numFmt w:val="lowerRoman"/>
      <w:lvlText w:val="%9."/>
      <w:lvlJc w:val="right"/>
      <w:pPr>
        <w:ind w:left="7789" w:hanging="180"/>
      </w:pPr>
    </w:lvl>
  </w:abstractNum>
  <w:abstractNum w:abstractNumId="31">
    <w:nsid w:val="3BE871A0"/>
    <w:multiLevelType w:val="hybridMultilevel"/>
    <w:tmpl w:val="368028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nsid w:val="407A4A5E"/>
    <w:multiLevelType w:val="hybridMultilevel"/>
    <w:tmpl w:val="EAC4EE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nsid w:val="460560AF"/>
    <w:multiLevelType w:val="hybridMultilevel"/>
    <w:tmpl w:val="BFD269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nsid w:val="460D2FF3"/>
    <w:multiLevelType w:val="hybridMultilevel"/>
    <w:tmpl w:val="98767F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48F0643D"/>
    <w:multiLevelType w:val="hybridMultilevel"/>
    <w:tmpl w:val="882450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4A2233E9"/>
    <w:multiLevelType w:val="hybridMultilevel"/>
    <w:tmpl w:val="DF626C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4AAB4F0A"/>
    <w:multiLevelType w:val="hybridMultilevel"/>
    <w:tmpl w:val="D58A9BD0"/>
    <w:lvl w:ilvl="0" w:tplc="740A0D98">
      <w:start w:val="1"/>
      <w:numFmt w:val="lowerLetter"/>
      <w:lvlText w:val="%1."/>
      <w:lvlJc w:val="left"/>
      <w:pPr>
        <w:ind w:left="1996" w:hanging="360"/>
      </w:pPr>
      <w:rPr>
        <w:rFonts w:hint="default"/>
      </w:rPr>
    </w:lvl>
    <w:lvl w:ilvl="1" w:tplc="08130019" w:tentative="1">
      <w:start w:val="1"/>
      <w:numFmt w:val="lowerLetter"/>
      <w:lvlText w:val="%2."/>
      <w:lvlJc w:val="left"/>
      <w:pPr>
        <w:ind w:left="2716" w:hanging="360"/>
      </w:pPr>
    </w:lvl>
    <w:lvl w:ilvl="2" w:tplc="0813001B" w:tentative="1">
      <w:start w:val="1"/>
      <w:numFmt w:val="lowerRoman"/>
      <w:lvlText w:val="%3."/>
      <w:lvlJc w:val="right"/>
      <w:pPr>
        <w:ind w:left="3436" w:hanging="180"/>
      </w:pPr>
    </w:lvl>
    <w:lvl w:ilvl="3" w:tplc="0813000F" w:tentative="1">
      <w:start w:val="1"/>
      <w:numFmt w:val="decimal"/>
      <w:lvlText w:val="%4."/>
      <w:lvlJc w:val="left"/>
      <w:pPr>
        <w:ind w:left="4156" w:hanging="360"/>
      </w:pPr>
    </w:lvl>
    <w:lvl w:ilvl="4" w:tplc="08130019" w:tentative="1">
      <w:start w:val="1"/>
      <w:numFmt w:val="lowerLetter"/>
      <w:lvlText w:val="%5."/>
      <w:lvlJc w:val="left"/>
      <w:pPr>
        <w:ind w:left="4876" w:hanging="360"/>
      </w:pPr>
    </w:lvl>
    <w:lvl w:ilvl="5" w:tplc="0813001B" w:tentative="1">
      <w:start w:val="1"/>
      <w:numFmt w:val="lowerRoman"/>
      <w:lvlText w:val="%6."/>
      <w:lvlJc w:val="right"/>
      <w:pPr>
        <w:ind w:left="5596" w:hanging="180"/>
      </w:pPr>
    </w:lvl>
    <w:lvl w:ilvl="6" w:tplc="0813000F" w:tentative="1">
      <w:start w:val="1"/>
      <w:numFmt w:val="decimal"/>
      <w:lvlText w:val="%7."/>
      <w:lvlJc w:val="left"/>
      <w:pPr>
        <w:ind w:left="6316" w:hanging="360"/>
      </w:pPr>
    </w:lvl>
    <w:lvl w:ilvl="7" w:tplc="08130019" w:tentative="1">
      <w:start w:val="1"/>
      <w:numFmt w:val="lowerLetter"/>
      <w:lvlText w:val="%8."/>
      <w:lvlJc w:val="left"/>
      <w:pPr>
        <w:ind w:left="7036" w:hanging="360"/>
      </w:pPr>
    </w:lvl>
    <w:lvl w:ilvl="8" w:tplc="0813001B" w:tentative="1">
      <w:start w:val="1"/>
      <w:numFmt w:val="lowerRoman"/>
      <w:lvlText w:val="%9."/>
      <w:lvlJc w:val="right"/>
      <w:pPr>
        <w:ind w:left="7756" w:hanging="180"/>
      </w:pPr>
    </w:lvl>
  </w:abstractNum>
  <w:abstractNum w:abstractNumId="39">
    <w:nsid w:val="4AC94C01"/>
    <w:multiLevelType w:val="hybridMultilevel"/>
    <w:tmpl w:val="1C8EBB0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nsid w:val="4E8D3E5A"/>
    <w:multiLevelType w:val="hybridMultilevel"/>
    <w:tmpl w:val="664CE2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nsid w:val="4FF35AFB"/>
    <w:multiLevelType w:val="hybridMultilevel"/>
    <w:tmpl w:val="4D30BDF4"/>
    <w:lvl w:ilvl="0" w:tplc="1324CD58">
      <w:numFmt w:val="bullet"/>
      <w:lvlText w:val="-"/>
      <w:lvlJc w:val="left"/>
      <w:pPr>
        <w:ind w:left="1287" w:hanging="360"/>
      </w:pPr>
      <w:rPr>
        <w:rFonts w:ascii="Calibri" w:eastAsiaTheme="minorHAnsi" w:hAnsi="Calibri" w:cs="Calibri" w:hint="default"/>
      </w:rPr>
    </w:lvl>
    <w:lvl w:ilvl="1" w:tplc="08130003" w:tentative="1">
      <w:start w:val="1"/>
      <w:numFmt w:val="bullet"/>
      <w:lvlText w:val="o"/>
      <w:lvlJc w:val="left"/>
      <w:pPr>
        <w:ind w:left="2007" w:hanging="360"/>
      </w:pPr>
      <w:rPr>
        <w:rFonts w:ascii="Courier New" w:hAnsi="Courier New" w:cs="Courier New" w:hint="default"/>
      </w:rPr>
    </w:lvl>
    <w:lvl w:ilvl="2" w:tplc="08130005" w:tentative="1">
      <w:start w:val="1"/>
      <w:numFmt w:val="bullet"/>
      <w:lvlText w:val=""/>
      <w:lvlJc w:val="left"/>
      <w:pPr>
        <w:ind w:left="2727" w:hanging="360"/>
      </w:pPr>
      <w:rPr>
        <w:rFonts w:ascii="Wingdings" w:hAnsi="Wingdings" w:hint="default"/>
      </w:rPr>
    </w:lvl>
    <w:lvl w:ilvl="3" w:tplc="08130001" w:tentative="1">
      <w:start w:val="1"/>
      <w:numFmt w:val="bullet"/>
      <w:lvlText w:val=""/>
      <w:lvlJc w:val="left"/>
      <w:pPr>
        <w:ind w:left="3447" w:hanging="360"/>
      </w:pPr>
      <w:rPr>
        <w:rFonts w:ascii="Symbol" w:hAnsi="Symbol" w:hint="default"/>
      </w:rPr>
    </w:lvl>
    <w:lvl w:ilvl="4" w:tplc="08130003" w:tentative="1">
      <w:start w:val="1"/>
      <w:numFmt w:val="bullet"/>
      <w:lvlText w:val="o"/>
      <w:lvlJc w:val="left"/>
      <w:pPr>
        <w:ind w:left="4167" w:hanging="360"/>
      </w:pPr>
      <w:rPr>
        <w:rFonts w:ascii="Courier New" w:hAnsi="Courier New" w:cs="Courier New" w:hint="default"/>
      </w:rPr>
    </w:lvl>
    <w:lvl w:ilvl="5" w:tplc="08130005" w:tentative="1">
      <w:start w:val="1"/>
      <w:numFmt w:val="bullet"/>
      <w:lvlText w:val=""/>
      <w:lvlJc w:val="left"/>
      <w:pPr>
        <w:ind w:left="4887" w:hanging="360"/>
      </w:pPr>
      <w:rPr>
        <w:rFonts w:ascii="Wingdings" w:hAnsi="Wingdings" w:hint="default"/>
      </w:rPr>
    </w:lvl>
    <w:lvl w:ilvl="6" w:tplc="08130001" w:tentative="1">
      <w:start w:val="1"/>
      <w:numFmt w:val="bullet"/>
      <w:lvlText w:val=""/>
      <w:lvlJc w:val="left"/>
      <w:pPr>
        <w:ind w:left="5607" w:hanging="360"/>
      </w:pPr>
      <w:rPr>
        <w:rFonts w:ascii="Symbol" w:hAnsi="Symbol" w:hint="default"/>
      </w:rPr>
    </w:lvl>
    <w:lvl w:ilvl="7" w:tplc="08130003" w:tentative="1">
      <w:start w:val="1"/>
      <w:numFmt w:val="bullet"/>
      <w:lvlText w:val="o"/>
      <w:lvlJc w:val="left"/>
      <w:pPr>
        <w:ind w:left="6327" w:hanging="360"/>
      </w:pPr>
      <w:rPr>
        <w:rFonts w:ascii="Courier New" w:hAnsi="Courier New" w:cs="Courier New" w:hint="default"/>
      </w:rPr>
    </w:lvl>
    <w:lvl w:ilvl="8" w:tplc="08130005" w:tentative="1">
      <w:start w:val="1"/>
      <w:numFmt w:val="bullet"/>
      <w:lvlText w:val=""/>
      <w:lvlJc w:val="left"/>
      <w:pPr>
        <w:ind w:left="7047" w:hanging="360"/>
      </w:pPr>
      <w:rPr>
        <w:rFonts w:ascii="Wingdings" w:hAnsi="Wingdings" w:hint="default"/>
      </w:rPr>
    </w:lvl>
  </w:abstractNum>
  <w:abstractNum w:abstractNumId="42">
    <w:nsid w:val="534F3610"/>
    <w:multiLevelType w:val="hybridMultilevel"/>
    <w:tmpl w:val="6A666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42B451B"/>
    <w:multiLevelType w:val="hybridMultilevel"/>
    <w:tmpl w:val="A8041F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nsid w:val="56C21894"/>
    <w:multiLevelType w:val="hybridMultilevel"/>
    <w:tmpl w:val="57C488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5A7D4424"/>
    <w:multiLevelType w:val="hybridMultilevel"/>
    <w:tmpl w:val="A29A9A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5AC509D8"/>
    <w:multiLevelType w:val="hybridMultilevel"/>
    <w:tmpl w:val="4EB4C770"/>
    <w:lvl w:ilvl="0" w:tplc="6EA06C8A">
      <w:start w:val="1"/>
      <w:numFmt w:val="decimal"/>
      <w:lvlText w:val="%1."/>
      <w:lvlJc w:val="left"/>
      <w:pPr>
        <w:ind w:left="927" w:hanging="360"/>
      </w:pPr>
      <w:rPr>
        <w:rFonts w:hint="default"/>
      </w:rPr>
    </w:lvl>
    <w:lvl w:ilvl="1" w:tplc="08130019" w:tentative="1">
      <w:start w:val="1"/>
      <w:numFmt w:val="lowerLetter"/>
      <w:lvlText w:val="%2."/>
      <w:lvlJc w:val="left"/>
      <w:pPr>
        <w:ind w:left="1647" w:hanging="360"/>
      </w:pPr>
    </w:lvl>
    <w:lvl w:ilvl="2" w:tplc="0813001B" w:tentative="1">
      <w:start w:val="1"/>
      <w:numFmt w:val="lowerRoman"/>
      <w:lvlText w:val="%3."/>
      <w:lvlJc w:val="right"/>
      <w:pPr>
        <w:ind w:left="2367" w:hanging="180"/>
      </w:pPr>
    </w:lvl>
    <w:lvl w:ilvl="3" w:tplc="0813000F" w:tentative="1">
      <w:start w:val="1"/>
      <w:numFmt w:val="decimal"/>
      <w:lvlText w:val="%4."/>
      <w:lvlJc w:val="left"/>
      <w:pPr>
        <w:ind w:left="3087" w:hanging="360"/>
      </w:pPr>
    </w:lvl>
    <w:lvl w:ilvl="4" w:tplc="08130019" w:tentative="1">
      <w:start w:val="1"/>
      <w:numFmt w:val="lowerLetter"/>
      <w:lvlText w:val="%5."/>
      <w:lvlJc w:val="left"/>
      <w:pPr>
        <w:ind w:left="3807" w:hanging="360"/>
      </w:pPr>
    </w:lvl>
    <w:lvl w:ilvl="5" w:tplc="0813001B" w:tentative="1">
      <w:start w:val="1"/>
      <w:numFmt w:val="lowerRoman"/>
      <w:lvlText w:val="%6."/>
      <w:lvlJc w:val="right"/>
      <w:pPr>
        <w:ind w:left="4527" w:hanging="180"/>
      </w:pPr>
    </w:lvl>
    <w:lvl w:ilvl="6" w:tplc="0813000F" w:tentative="1">
      <w:start w:val="1"/>
      <w:numFmt w:val="decimal"/>
      <w:lvlText w:val="%7."/>
      <w:lvlJc w:val="left"/>
      <w:pPr>
        <w:ind w:left="5247" w:hanging="360"/>
      </w:pPr>
    </w:lvl>
    <w:lvl w:ilvl="7" w:tplc="08130019" w:tentative="1">
      <w:start w:val="1"/>
      <w:numFmt w:val="lowerLetter"/>
      <w:lvlText w:val="%8."/>
      <w:lvlJc w:val="left"/>
      <w:pPr>
        <w:ind w:left="5967" w:hanging="360"/>
      </w:pPr>
    </w:lvl>
    <w:lvl w:ilvl="8" w:tplc="0813001B" w:tentative="1">
      <w:start w:val="1"/>
      <w:numFmt w:val="lowerRoman"/>
      <w:lvlText w:val="%9."/>
      <w:lvlJc w:val="right"/>
      <w:pPr>
        <w:ind w:left="6687" w:hanging="180"/>
      </w:pPr>
    </w:lvl>
  </w:abstractNum>
  <w:abstractNum w:abstractNumId="47">
    <w:nsid w:val="5B7573D1"/>
    <w:multiLevelType w:val="hybridMultilevel"/>
    <w:tmpl w:val="FC42015A"/>
    <w:lvl w:ilvl="0" w:tplc="08130001">
      <w:start w:val="1"/>
      <w:numFmt w:val="bullet"/>
      <w:lvlText w:val=""/>
      <w:lvlJc w:val="left"/>
      <w:pPr>
        <w:ind w:left="1866" w:hanging="360"/>
      </w:pPr>
      <w:rPr>
        <w:rFonts w:ascii="Symbol" w:hAnsi="Symbol" w:hint="default"/>
      </w:rPr>
    </w:lvl>
    <w:lvl w:ilvl="1" w:tplc="08130003" w:tentative="1">
      <w:start w:val="1"/>
      <w:numFmt w:val="bullet"/>
      <w:lvlText w:val="o"/>
      <w:lvlJc w:val="left"/>
      <w:pPr>
        <w:ind w:left="2586" w:hanging="360"/>
      </w:pPr>
      <w:rPr>
        <w:rFonts w:ascii="Courier New" w:hAnsi="Courier New" w:cs="Courier New" w:hint="default"/>
      </w:rPr>
    </w:lvl>
    <w:lvl w:ilvl="2" w:tplc="08130005" w:tentative="1">
      <w:start w:val="1"/>
      <w:numFmt w:val="bullet"/>
      <w:lvlText w:val=""/>
      <w:lvlJc w:val="left"/>
      <w:pPr>
        <w:ind w:left="3306" w:hanging="360"/>
      </w:pPr>
      <w:rPr>
        <w:rFonts w:ascii="Wingdings" w:hAnsi="Wingdings" w:hint="default"/>
      </w:rPr>
    </w:lvl>
    <w:lvl w:ilvl="3" w:tplc="08130001" w:tentative="1">
      <w:start w:val="1"/>
      <w:numFmt w:val="bullet"/>
      <w:lvlText w:val=""/>
      <w:lvlJc w:val="left"/>
      <w:pPr>
        <w:ind w:left="4026" w:hanging="360"/>
      </w:pPr>
      <w:rPr>
        <w:rFonts w:ascii="Symbol" w:hAnsi="Symbol" w:hint="default"/>
      </w:rPr>
    </w:lvl>
    <w:lvl w:ilvl="4" w:tplc="08130003" w:tentative="1">
      <w:start w:val="1"/>
      <w:numFmt w:val="bullet"/>
      <w:lvlText w:val="o"/>
      <w:lvlJc w:val="left"/>
      <w:pPr>
        <w:ind w:left="4746" w:hanging="360"/>
      </w:pPr>
      <w:rPr>
        <w:rFonts w:ascii="Courier New" w:hAnsi="Courier New" w:cs="Courier New" w:hint="default"/>
      </w:rPr>
    </w:lvl>
    <w:lvl w:ilvl="5" w:tplc="08130005" w:tentative="1">
      <w:start w:val="1"/>
      <w:numFmt w:val="bullet"/>
      <w:lvlText w:val=""/>
      <w:lvlJc w:val="left"/>
      <w:pPr>
        <w:ind w:left="5466" w:hanging="360"/>
      </w:pPr>
      <w:rPr>
        <w:rFonts w:ascii="Wingdings" w:hAnsi="Wingdings" w:hint="default"/>
      </w:rPr>
    </w:lvl>
    <w:lvl w:ilvl="6" w:tplc="08130001" w:tentative="1">
      <w:start w:val="1"/>
      <w:numFmt w:val="bullet"/>
      <w:lvlText w:val=""/>
      <w:lvlJc w:val="left"/>
      <w:pPr>
        <w:ind w:left="6186" w:hanging="360"/>
      </w:pPr>
      <w:rPr>
        <w:rFonts w:ascii="Symbol" w:hAnsi="Symbol" w:hint="default"/>
      </w:rPr>
    </w:lvl>
    <w:lvl w:ilvl="7" w:tplc="08130003" w:tentative="1">
      <w:start w:val="1"/>
      <w:numFmt w:val="bullet"/>
      <w:lvlText w:val="o"/>
      <w:lvlJc w:val="left"/>
      <w:pPr>
        <w:ind w:left="6906" w:hanging="360"/>
      </w:pPr>
      <w:rPr>
        <w:rFonts w:ascii="Courier New" w:hAnsi="Courier New" w:cs="Courier New" w:hint="default"/>
      </w:rPr>
    </w:lvl>
    <w:lvl w:ilvl="8" w:tplc="08130005" w:tentative="1">
      <w:start w:val="1"/>
      <w:numFmt w:val="bullet"/>
      <w:lvlText w:val=""/>
      <w:lvlJc w:val="left"/>
      <w:pPr>
        <w:ind w:left="7626" w:hanging="360"/>
      </w:pPr>
      <w:rPr>
        <w:rFonts w:ascii="Wingdings" w:hAnsi="Wingdings" w:hint="default"/>
      </w:rPr>
    </w:lvl>
  </w:abstractNum>
  <w:abstractNum w:abstractNumId="48">
    <w:nsid w:val="5C4A4139"/>
    <w:multiLevelType w:val="hybridMultilevel"/>
    <w:tmpl w:val="BF9A2C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601F406E"/>
    <w:multiLevelType w:val="hybridMultilevel"/>
    <w:tmpl w:val="94F03ED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nsid w:val="60D64B47"/>
    <w:multiLevelType w:val="hybridMultilevel"/>
    <w:tmpl w:val="0E6A3D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nsid w:val="6101334E"/>
    <w:multiLevelType w:val="hybridMultilevel"/>
    <w:tmpl w:val="0846D6D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nsid w:val="67B301B5"/>
    <w:multiLevelType w:val="hybridMultilevel"/>
    <w:tmpl w:val="539635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nsid w:val="6B9F1325"/>
    <w:multiLevelType w:val="hybridMultilevel"/>
    <w:tmpl w:val="328A3F84"/>
    <w:lvl w:ilvl="0" w:tplc="08130001">
      <w:start w:val="1"/>
      <w:numFmt w:val="bullet"/>
      <w:lvlText w:val=""/>
      <w:lvlJc w:val="left"/>
      <w:pPr>
        <w:ind w:left="1287" w:hanging="360"/>
      </w:pPr>
      <w:rPr>
        <w:rFonts w:ascii="Symbol" w:hAnsi="Symbol" w:hint="default"/>
      </w:rPr>
    </w:lvl>
    <w:lvl w:ilvl="1" w:tplc="08130003" w:tentative="1">
      <w:start w:val="1"/>
      <w:numFmt w:val="bullet"/>
      <w:lvlText w:val="o"/>
      <w:lvlJc w:val="left"/>
      <w:pPr>
        <w:ind w:left="2007" w:hanging="360"/>
      </w:pPr>
      <w:rPr>
        <w:rFonts w:ascii="Courier New" w:hAnsi="Courier New" w:cs="Courier New" w:hint="default"/>
      </w:rPr>
    </w:lvl>
    <w:lvl w:ilvl="2" w:tplc="08130005" w:tentative="1">
      <w:start w:val="1"/>
      <w:numFmt w:val="bullet"/>
      <w:lvlText w:val=""/>
      <w:lvlJc w:val="left"/>
      <w:pPr>
        <w:ind w:left="2727" w:hanging="360"/>
      </w:pPr>
      <w:rPr>
        <w:rFonts w:ascii="Wingdings" w:hAnsi="Wingdings" w:hint="default"/>
      </w:rPr>
    </w:lvl>
    <w:lvl w:ilvl="3" w:tplc="08130001" w:tentative="1">
      <w:start w:val="1"/>
      <w:numFmt w:val="bullet"/>
      <w:lvlText w:val=""/>
      <w:lvlJc w:val="left"/>
      <w:pPr>
        <w:ind w:left="3447" w:hanging="360"/>
      </w:pPr>
      <w:rPr>
        <w:rFonts w:ascii="Symbol" w:hAnsi="Symbol" w:hint="default"/>
      </w:rPr>
    </w:lvl>
    <w:lvl w:ilvl="4" w:tplc="08130003" w:tentative="1">
      <w:start w:val="1"/>
      <w:numFmt w:val="bullet"/>
      <w:lvlText w:val="o"/>
      <w:lvlJc w:val="left"/>
      <w:pPr>
        <w:ind w:left="4167" w:hanging="360"/>
      </w:pPr>
      <w:rPr>
        <w:rFonts w:ascii="Courier New" w:hAnsi="Courier New" w:cs="Courier New" w:hint="default"/>
      </w:rPr>
    </w:lvl>
    <w:lvl w:ilvl="5" w:tplc="08130005" w:tentative="1">
      <w:start w:val="1"/>
      <w:numFmt w:val="bullet"/>
      <w:lvlText w:val=""/>
      <w:lvlJc w:val="left"/>
      <w:pPr>
        <w:ind w:left="4887" w:hanging="360"/>
      </w:pPr>
      <w:rPr>
        <w:rFonts w:ascii="Wingdings" w:hAnsi="Wingdings" w:hint="default"/>
      </w:rPr>
    </w:lvl>
    <w:lvl w:ilvl="6" w:tplc="08130001" w:tentative="1">
      <w:start w:val="1"/>
      <w:numFmt w:val="bullet"/>
      <w:lvlText w:val=""/>
      <w:lvlJc w:val="left"/>
      <w:pPr>
        <w:ind w:left="5607" w:hanging="360"/>
      </w:pPr>
      <w:rPr>
        <w:rFonts w:ascii="Symbol" w:hAnsi="Symbol" w:hint="default"/>
      </w:rPr>
    </w:lvl>
    <w:lvl w:ilvl="7" w:tplc="08130003" w:tentative="1">
      <w:start w:val="1"/>
      <w:numFmt w:val="bullet"/>
      <w:lvlText w:val="o"/>
      <w:lvlJc w:val="left"/>
      <w:pPr>
        <w:ind w:left="6327" w:hanging="360"/>
      </w:pPr>
      <w:rPr>
        <w:rFonts w:ascii="Courier New" w:hAnsi="Courier New" w:cs="Courier New" w:hint="default"/>
      </w:rPr>
    </w:lvl>
    <w:lvl w:ilvl="8" w:tplc="08130005" w:tentative="1">
      <w:start w:val="1"/>
      <w:numFmt w:val="bullet"/>
      <w:lvlText w:val=""/>
      <w:lvlJc w:val="left"/>
      <w:pPr>
        <w:ind w:left="7047" w:hanging="360"/>
      </w:pPr>
      <w:rPr>
        <w:rFonts w:ascii="Wingdings" w:hAnsi="Wingdings" w:hint="default"/>
      </w:rPr>
    </w:lvl>
  </w:abstractNum>
  <w:abstractNum w:abstractNumId="54">
    <w:nsid w:val="70A65305"/>
    <w:multiLevelType w:val="hybridMultilevel"/>
    <w:tmpl w:val="67FEF2AE"/>
    <w:lvl w:ilvl="0" w:tplc="08130001">
      <w:start w:val="1"/>
      <w:numFmt w:val="bullet"/>
      <w:lvlText w:val=""/>
      <w:lvlJc w:val="left"/>
      <w:pPr>
        <w:ind w:left="1287" w:hanging="360"/>
      </w:pPr>
      <w:rPr>
        <w:rFonts w:ascii="Symbol" w:hAnsi="Symbol" w:hint="default"/>
      </w:rPr>
    </w:lvl>
    <w:lvl w:ilvl="1" w:tplc="08130003" w:tentative="1">
      <w:start w:val="1"/>
      <w:numFmt w:val="bullet"/>
      <w:lvlText w:val="o"/>
      <w:lvlJc w:val="left"/>
      <w:pPr>
        <w:ind w:left="2007" w:hanging="360"/>
      </w:pPr>
      <w:rPr>
        <w:rFonts w:ascii="Courier New" w:hAnsi="Courier New" w:cs="Courier New" w:hint="default"/>
      </w:rPr>
    </w:lvl>
    <w:lvl w:ilvl="2" w:tplc="08130005" w:tentative="1">
      <w:start w:val="1"/>
      <w:numFmt w:val="bullet"/>
      <w:lvlText w:val=""/>
      <w:lvlJc w:val="left"/>
      <w:pPr>
        <w:ind w:left="2727" w:hanging="360"/>
      </w:pPr>
      <w:rPr>
        <w:rFonts w:ascii="Wingdings" w:hAnsi="Wingdings" w:hint="default"/>
      </w:rPr>
    </w:lvl>
    <w:lvl w:ilvl="3" w:tplc="08130001" w:tentative="1">
      <w:start w:val="1"/>
      <w:numFmt w:val="bullet"/>
      <w:lvlText w:val=""/>
      <w:lvlJc w:val="left"/>
      <w:pPr>
        <w:ind w:left="3447" w:hanging="360"/>
      </w:pPr>
      <w:rPr>
        <w:rFonts w:ascii="Symbol" w:hAnsi="Symbol" w:hint="default"/>
      </w:rPr>
    </w:lvl>
    <w:lvl w:ilvl="4" w:tplc="08130003" w:tentative="1">
      <w:start w:val="1"/>
      <w:numFmt w:val="bullet"/>
      <w:lvlText w:val="o"/>
      <w:lvlJc w:val="left"/>
      <w:pPr>
        <w:ind w:left="4167" w:hanging="360"/>
      </w:pPr>
      <w:rPr>
        <w:rFonts w:ascii="Courier New" w:hAnsi="Courier New" w:cs="Courier New" w:hint="default"/>
      </w:rPr>
    </w:lvl>
    <w:lvl w:ilvl="5" w:tplc="08130005" w:tentative="1">
      <w:start w:val="1"/>
      <w:numFmt w:val="bullet"/>
      <w:lvlText w:val=""/>
      <w:lvlJc w:val="left"/>
      <w:pPr>
        <w:ind w:left="4887" w:hanging="360"/>
      </w:pPr>
      <w:rPr>
        <w:rFonts w:ascii="Wingdings" w:hAnsi="Wingdings" w:hint="default"/>
      </w:rPr>
    </w:lvl>
    <w:lvl w:ilvl="6" w:tplc="08130001" w:tentative="1">
      <w:start w:val="1"/>
      <w:numFmt w:val="bullet"/>
      <w:lvlText w:val=""/>
      <w:lvlJc w:val="left"/>
      <w:pPr>
        <w:ind w:left="5607" w:hanging="360"/>
      </w:pPr>
      <w:rPr>
        <w:rFonts w:ascii="Symbol" w:hAnsi="Symbol" w:hint="default"/>
      </w:rPr>
    </w:lvl>
    <w:lvl w:ilvl="7" w:tplc="08130003" w:tentative="1">
      <w:start w:val="1"/>
      <w:numFmt w:val="bullet"/>
      <w:lvlText w:val="o"/>
      <w:lvlJc w:val="left"/>
      <w:pPr>
        <w:ind w:left="6327" w:hanging="360"/>
      </w:pPr>
      <w:rPr>
        <w:rFonts w:ascii="Courier New" w:hAnsi="Courier New" w:cs="Courier New" w:hint="default"/>
      </w:rPr>
    </w:lvl>
    <w:lvl w:ilvl="8" w:tplc="08130005" w:tentative="1">
      <w:start w:val="1"/>
      <w:numFmt w:val="bullet"/>
      <w:lvlText w:val=""/>
      <w:lvlJc w:val="left"/>
      <w:pPr>
        <w:ind w:left="7047" w:hanging="360"/>
      </w:pPr>
      <w:rPr>
        <w:rFonts w:ascii="Wingdings" w:hAnsi="Wingdings" w:hint="default"/>
      </w:rPr>
    </w:lvl>
  </w:abstractNum>
  <w:abstractNum w:abstractNumId="55">
    <w:nsid w:val="770A797C"/>
    <w:multiLevelType w:val="hybridMultilevel"/>
    <w:tmpl w:val="B358A6A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6">
    <w:nsid w:val="7D132375"/>
    <w:multiLevelType w:val="hybridMultilevel"/>
    <w:tmpl w:val="2B72FA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7">
    <w:nsid w:val="7ECF2BE4"/>
    <w:multiLevelType w:val="hybridMultilevel"/>
    <w:tmpl w:val="F75AC7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0"/>
  </w:num>
  <w:num w:numId="2">
    <w:abstractNumId w:val="38"/>
  </w:num>
  <w:num w:numId="3">
    <w:abstractNumId w:val="3"/>
  </w:num>
  <w:num w:numId="4">
    <w:abstractNumId w:val="46"/>
  </w:num>
  <w:num w:numId="5">
    <w:abstractNumId w:val="5"/>
  </w:num>
  <w:num w:numId="6">
    <w:abstractNumId w:val="4"/>
  </w:num>
  <w:num w:numId="7">
    <w:abstractNumId w:val="11"/>
  </w:num>
  <w:num w:numId="8">
    <w:abstractNumId w:val="41"/>
  </w:num>
  <w:num w:numId="9">
    <w:abstractNumId w:val="39"/>
  </w:num>
  <w:num w:numId="10">
    <w:abstractNumId w:val="55"/>
  </w:num>
  <w:num w:numId="11">
    <w:abstractNumId w:val="40"/>
  </w:num>
  <w:num w:numId="12">
    <w:abstractNumId w:val="7"/>
  </w:num>
  <w:num w:numId="13">
    <w:abstractNumId w:val="35"/>
  </w:num>
  <w:num w:numId="14">
    <w:abstractNumId w:val="43"/>
  </w:num>
  <w:num w:numId="15">
    <w:abstractNumId w:val="32"/>
  </w:num>
  <w:num w:numId="16">
    <w:abstractNumId w:val="8"/>
  </w:num>
  <w:num w:numId="17">
    <w:abstractNumId w:val="52"/>
  </w:num>
  <w:num w:numId="18">
    <w:abstractNumId w:val="47"/>
  </w:num>
  <w:num w:numId="19">
    <w:abstractNumId w:val="26"/>
  </w:num>
  <w:num w:numId="20">
    <w:abstractNumId w:val="15"/>
  </w:num>
  <w:num w:numId="21">
    <w:abstractNumId w:val="18"/>
  </w:num>
  <w:num w:numId="22">
    <w:abstractNumId w:val="2"/>
  </w:num>
  <w:num w:numId="23">
    <w:abstractNumId w:val="29"/>
  </w:num>
  <w:num w:numId="24">
    <w:abstractNumId w:val="45"/>
  </w:num>
  <w:num w:numId="25">
    <w:abstractNumId w:val="42"/>
  </w:num>
  <w:num w:numId="26">
    <w:abstractNumId w:val="13"/>
  </w:num>
  <w:num w:numId="27">
    <w:abstractNumId w:val="17"/>
  </w:num>
  <w:num w:numId="28">
    <w:abstractNumId w:val="20"/>
  </w:num>
  <w:num w:numId="29">
    <w:abstractNumId w:val="44"/>
  </w:num>
  <w:num w:numId="30">
    <w:abstractNumId w:val="34"/>
  </w:num>
  <w:num w:numId="31">
    <w:abstractNumId w:val="36"/>
  </w:num>
  <w:num w:numId="32">
    <w:abstractNumId w:val="48"/>
  </w:num>
  <w:num w:numId="33">
    <w:abstractNumId w:val="27"/>
  </w:num>
  <w:num w:numId="34">
    <w:abstractNumId w:val="19"/>
  </w:num>
  <w:num w:numId="35">
    <w:abstractNumId w:val="49"/>
  </w:num>
  <w:num w:numId="36">
    <w:abstractNumId w:val="22"/>
  </w:num>
  <w:num w:numId="37">
    <w:abstractNumId w:val="54"/>
  </w:num>
  <w:num w:numId="38">
    <w:abstractNumId w:val="53"/>
  </w:num>
  <w:num w:numId="39">
    <w:abstractNumId w:val="25"/>
  </w:num>
  <w:num w:numId="40">
    <w:abstractNumId w:val="56"/>
  </w:num>
  <w:num w:numId="41">
    <w:abstractNumId w:val="24"/>
  </w:num>
  <w:num w:numId="42">
    <w:abstractNumId w:val="9"/>
  </w:num>
  <w:num w:numId="43">
    <w:abstractNumId w:val="31"/>
  </w:num>
  <w:num w:numId="44">
    <w:abstractNumId w:val="14"/>
  </w:num>
  <w:num w:numId="45">
    <w:abstractNumId w:val="51"/>
  </w:num>
  <w:num w:numId="46">
    <w:abstractNumId w:val="33"/>
  </w:num>
  <w:num w:numId="47">
    <w:abstractNumId w:val="50"/>
  </w:num>
  <w:num w:numId="48">
    <w:abstractNumId w:val="12"/>
  </w:num>
  <w:num w:numId="49">
    <w:abstractNumId w:val="1"/>
  </w:num>
  <w:num w:numId="50">
    <w:abstractNumId w:val="6"/>
  </w:num>
  <w:num w:numId="51">
    <w:abstractNumId w:val="57"/>
  </w:num>
  <w:num w:numId="52">
    <w:abstractNumId w:val="28"/>
  </w:num>
  <w:num w:numId="53">
    <w:abstractNumId w:val="10"/>
  </w:num>
  <w:num w:numId="54">
    <w:abstractNumId w:val="21"/>
  </w:num>
  <w:num w:numId="55">
    <w:abstractNumId w:val="23"/>
  </w:num>
  <w:num w:numId="56">
    <w:abstractNumId w:val="37"/>
  </w:num>
  <w:num w:numId="57">
    <w:abstractNumId w:val="16"/>
  </w:num>
  <w:num w:numId="58">
    <w:abstractNumId w:val="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AE7"/>
    <w:rsid w:val="00015B16"/>
    <w:rsid w:val="00066F9A"/>
    <w:rsid w:val="000813C7"/>
    <w:rsid w:val="000824D2"/>
    <w:rsid w:val="00094C37"/>
    <w:rsid w:val="000B1D7B"/>
    <w:rsid w:val="000C3167"/>
    <w:rsid w:val="000E223B"/>
    <w:rsid w:val="00103E2B"/>
    <w:rsid w:val="001106BD"/>
    <w:rsid w:val="001331BA"/>
    <w:rsid w:val="001A0FAF"/>
    <w:rsid w:val="001B14C2"/>
    <w:rsid w:val="001C4701"/>
    <w:rsid w:val="001F379A"/>
    <w:rsid w:val="002862C6"/>
    <w:rsid w:val="002A6908"/>
    <w:rsid w:val="002B50DF"/>
    <w:rsid w:val="002C091D"/>
    <w:rsid w:val="002C60DC"/>
    <w:rsid w:val="00314626"/>
    <w:rsid w:val="0031591B"/>
    <w:rsid w:val="00327184"/>
    <w:rsid w:val="00345FC8"/>
    <w:rsid w:val="003646B4"/>
    <w:rsid w:val="00394DCF"/>
    <w:rsid w:val="003D5F4B"/>
    <w:rsid w:val="003E16EB"/>
    <w:rsid w:val="00415B66"/>
    <w:rsid w:val="004375EB"/>
    <w:rsid w:val="004578EE"/>
    <w:rsid w:val="00477511"/>
    <w:rsid w:val="00481419"/>
    <w:rsid w:val="0048442D"/>
    <w:rsid w:val="004E613D"/>
    <w:rsid w:val="00552A2A"/>
    <w:rsid w:val="00580C62"/>
    <w:rsid w:val="005F2DE8"/>
    <w:rsid w:val="00647EEB"/>
    <w:rsid w:val="00687A52"/>
    <w:rsid w:val="006971D4"/>
    <w:rsid w:val="006D18E7"/>
    <w:rsid w:val="006F5892"/>
    <w:rsid w:val="007149CF"/>
    <w:rsid w:val="00716C77"/>
    <w:rsid w:val="00716FA5"/>
    <w:rsid w:val="00734BBB"/>
    <w:rsid w:val="00753959"/>
    <w:rsid w:val="0075672B"/>
    <w:rsid w:val="007836C6"/>
    <w:rsid w:val="00785A0F"/>
    <w:rsid w:val="007921D8"/>
    <w:rsid w:val="007A238C"/>
    <w:rsid w:val="007B6022"/>
    <w:rsid w:val="007F35A0"/>
    <w:rsid w:val="00805AE7"/>
    <w:rsid w:val="00820B38"/>
    <w:rsid w:val="00840726"/>
    <w:rsid w:val="00864228"/>
    <w:rsid w:val="00865C4F"/>
    <w:rsid w:val="008768D5"/>
    <w:rsid w:val="008A1055"/>
    <w:rsid w:val="008B3B12"/>
    <w:rsid w:val="008B5812"/>
    <w:rsid w:val="00905AC9"/>
    <w:rsid w:val="00967895"/>
    <w:rsid w:val="009976B7"/>
    <w:rsid w:val="009C0A92"/>
    <w:rsid w:val="009E45F0"/>
    <w:rsid w:val="009F0062"/>
    <w:rsid w:val="00A33A48"/>
    <w:rsid w:val="00A361FC"/>
    <w:rsid w:val="00A834A4"/>
    <w:rsid w:val="00A966D7"/>
    <w:rsid w:val="00AC1BC4"/>
    <w:rsid w:val="00AD0EC7"/>
    <w:rsid w:val="00AE3E10"/>
    <w:rsid w:val="00B120CE"/>
    <w:rsid w:val="00B17C16"/>
    <w:rsid w:val="00B46F49"/>
    <w:rsid w:val="00B85CB8"/>
    <w:rsid w:val="00B9600E"/>
    <w:rsid w:val="00B975A1"/>
    <w:rsid w:val="00BC1F27"/>
    <w:rsid w:val="00BD1D11"/>
    <w:rsid w:val="00BE750C"/>
    <w:rsid w:val="00BF4ACB"/>
    <w:rsid w:val="00C12114"/>
    <w:rsid w:val="00C147E1"/>
    <w:rsid w:val="00C40D1D"/>
    <w:rsid w:val="00C54C94"/>
    <w:rsid w:val="00C60148"/>
    <w:rsid w:val="00CE070B"/>
    <w:rsid w:val="00D00FE6"/>
    <w:rsid w:val="00D06C2D"/>
    <w:rsid w:val="00D204D9"/>
    <w:rsid w:val="00D57C55"/>
    <w:rsid w:val="00DB02AD"/>
    <w:rsid w:val="00DE154C"/>
    <w:rsid w:val="00DE32A9"/>
    <w:rsid w:val="00EC3951"/>
    <w:rsid w:val="00F339CA"/>
    <w:rsid w:val="00FC6A6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B58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E223B"/>
    <w:pPr>
      <w:keepNext/>
      <w:keepLines/>
      <w:spacing w:before="200" w:after="0" w:line="259" w:lineRule="auto"/>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0E223B"/>
    <w:pPr>
      <w:keepNext/>
      <w:keepLines/>
      <w:spacing w:before="200" w:after="0" w:line="259" w:lineRule="auto"/>
      <w:outlineLvl w:val="2"/>
    </w:pPr>
    <w:rPr>
      <w:rFonts w:asciiTheme="majorHAnsi" w:eastAsiaTheme="majorEastAsia" w:hAnsiTheme="majorHAnsi" w:cstheme="majorBidi"/>
      <w:b/>
      <w:bCs/>
      <w:color w:val="4F81BD" w:themeColor="accent1"/>
      <w:lang w:val="en-US"/>
    </w:rPr>
  </w:style>
  <w:style w:type="paragraph" w:styleId="Heading4">
    <w:name w:val="heading 4"/>
    <w:basedOn w:val="Normal"/>
    <w:next w:val="Normal"/>
    <w:link w:val="Heading4Char"/>
    <w:uiPriority w:val="9"/>
    <w:unhideWhenUsed/>
    <w:qFormat/>
    <w:rsid w:val="000E223B"/>
    <w:pPr>
      <w:keepNext/>
      <w:keepLines/>
      <w:spacing w:before="200" w:after="0" w:line="259" w:lineRule="auto"/>
      <w:outlineLvl w:val="3"/>
    </w:pPr>
    <w:rPr>
      <w:rFonts w:asciiTheme="majorHAnsi" w:eastAsiaTheme="majorEastAsia" w:hAnsiTheme="majorHAnsi" w:cstheme="majorBidi"/>
      <w:b/>
      <w:bCs/>
      <w:i/>
      <w:i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Footer"/>
    <w:link w:val="HeaderChar"/>
    <w:uiPriority w:val="99"/>
    <w:rsid w:val="00805AE7"/>
    <w:pPr>
      <w:tabs>
        <w:tab w:val="clear" w:pos="4536"/>
        <w:tab w:val="clear" w:pos="9072"/>
        <w:tab w:val="center" w:pos="3969"/>
        <w:tab w:val="right" w:pos="7938"/>
      </w:tabs>
      <w:spacing w:before="240"/>
      <w:jc w:val="right"/>
    </w:pPr>
    <w:rPr>
      <w:rFonts w:ascii="Arial" w:eastAsiaTheme="minorEastAsia" w:hAnsi="Arial"/>
      <w:caps/>
      <w:sz w:val="14"/>
      <w:szCs w:val="20"/>
      <w:lang w:eastAsia="nl-BE"/>
    </w:rPr>
  </w:style>
  <w:style w:type="character" w:customStyle="1" w:styleId="HeaderChar">
    <w:name w:val="Header Char"/>
    <w:basedOn w:val="DefaultParagraphFont"/>
    <w:link w:val="Header"/>
    <w:uiPriority w:val="99"/>
    <w:rsid w:val="00805AE7"/>
    <w:rPr>
      <w:rFonts w:ascii="Arial" w:eastAsiaTheme="minorEastAsia" w:hAnsi="Arial"/>
      <w:caps/>
      <w:sz w:val="14"/>
      <w:szCs w:val="20"/>
      <w:lang w:eastAsia="nl-BE"/>
    </w:rPr>
  </w:style>
  <w:style w:type="paragraph" w:customStyle="1" w:styleId="CoverKoptekst">
    <w:name w:val="_CoverKoptekst"/>
    <w:basedOn w:val="Normal"/>
    <w:semiHidden/>
    <w:qFormat/>
    <w:rsid w:val="00805AE7"/>
    <w:pPr>
      <w:spacing w:before="240" w:after="0" w:line="240" w:lineRule="auto"/>
      <w:jc w:val="right"/>
    </w:pPr>
    <w:rPr>
      <w:rFonts w:ascii="Arial" w:eastAsiaTheme="minorEastAsia" w:hAnsi="Arial"/>
      <w:caps/>
      <w:color w:val="FFFFFF" w:themeColor="background1"/>
      <w:sz w:val="24"/>
      <w:szCs w:val="20"/>
      <w:lang w:eastAsia="nl-BE"/>
    </w:rPr>
  </w:style>
  <w:style w:type="paragraph" w:styleId="Footer">
    <w:name w:val="footer"/>
    <w:basedOn w:val="Normal"/>
    <w:link w:val="FooterChar"/>
    <w:uiPriority w:val="99"/>
    <w:unhideWhenUsed/>
    <w:rsid w:val="00805AE7"/>
    <w:pPr>
      <w:tabs>
        <w:tab w:val="center" w:pos="4536"/>
        <w:tab w:val="right" w:pos="9072"/>
      </w:tabs>
      <w:spacing w:after="0" w:line="240" w:lineRule="auto"/>
    </w:pPr>
  </w:style>
  <w:style w:type="character" w:customStyle="1" w:styleId="FooterChar">
    <w:name w:val="Footer Char"/>
    <w:basedOn w:val="DefaultParagraphFont"/>
    <w:link w:val="Footer"/>
    <w:uiPriority w:val="99"/>
    <w:rsid w:val="00805AE7"/>
  </w:style>
  <w:style w:type="paragraph" w:styleId="BalloonText">
    <w:name w:val="Balloon Text"/>
    <w:basedOn w:val="Normal"/>
    <w:link w:val="BalloonTextChar"/>
    <w:uiPriority w:val="99"/>
    <w:semiHidden/>
    <w:unhideWhenUsed/>
    <w:rsid w:val="00805A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AE7"/>
    <w:rPr>
      <w:rFonts w:ascii="Tahoma" w:hAnsi="Tahoma" w:cs="Tahoma"/>
      <w:sz w:val="16"/>
      <w:szCs w:val="16"/>
    </w:rPr>
  </w:style>
  <w:style w:type="paragraph" w:customStyle="1" w:styleId="CoverSubtekst">
    <w:name w:val="_CoverSubtekst"/>
    <w:basedOn w:val="Normal"/>
    <w:semiHidden/>
    <w:qFormat/>
    <w:rsid w:val="00805AE7"/>
    <w:pPr>
      <w:spacing w:after="0" w:line="240" w:lineRule="auto"/>
      <w:jc w:val="right"/>
    </w:pPr>
    <w:rPr>
      <w:rFonts w:ascii="Arial" w:eastAsiaTheme="minorEastAsia" w:hAnsi="Arial"/>
      <w:sz w:val="24"/>
      <w:szCs w:val="24"/>
      <w:lang w:eastAsia="nl-BE"/>
    </w:rPr>
  </w:style>
  <w:style w:type="paragraph" w:customStyle="1" w:styleId="CoverTitel">
    <w:name w:val="_CoverTitel"/>
    <w:basedOn w:val="Normal"/>
    <w:semiHidden/>
    <w:qFormat/>
    <w:rsid w:val="00805AE7"/>
    <w:pPr>
      <w:spacing w:after="0" w:line="240" w:lineRule="auto"/>
    </w:pPr>
    <w:rPr>
      <w:rFonts w:ascii="Arial" w:eastAsiaTheme="minorEastAsia" w:hAnsi="Arial"/>
      <w:color w:val="1D8DB0"/>
      <w:sz w:val="80"/>
      <w:szCs w:val="80"/>
      <w:lang w:eastAsia="nl-BE"/>
    </w:rPr>
  </w:style>
  <w:style w:type="character" w:styleId="PlaceholderText">
    <w:name w:val="Placeholder Text"/>
    <w:basedOn w:val="DefaultParagraphFont"/>
    <w:uiPriority w:val="99"/>
    <w:semiHidden/>
    <w:rsid w:val="00805AE7"/>
    <w:rPr>
      <w:color w:val="808080"/>
    </w:rPr>
  </w:style>
  <w:style w:type="paragraph" w:customStyle="1" w:styleId="CoverAuteur">
    <w:name w:val="_CoverAuteur"/>
    <w:basedOn w:val="Normal"/>
    <w:semiHidden/>
    <w:qFormat/>
    <w:rsid w:val="00805AE7"/>
    <w:pPr>
      <w:spacing w:after="0" w:line="240" w:lineRule="auto"/>
      <w:jc w:val="right"/>
    </w:pPr>
    <w:rPr>
      <w:rFonts w:ascii="Arial" w:eastAsia="Calibri" w:hAnsi="Arial" w:cs="Arial"/>
      <w:b/>
      <w:bCs/>
      <w:sz w:val="28"/>
      <w:szCs w:val="24"/>
    </w:rPr>
  </w:style>
  <w:style w:type="character" w:styleId="Hyperlink">
    <w:name w:val="Hyperlink"/>
    <w:basedOn w:val="DefaultParagraphFont"/>
    <w:uiPriority w:val="99"/>
    <w:unhideWhenUsed/>
    <w:rsid w:val="008B5812"/>
    <w:rPr>
      <w:color w:val="0000FF" w:themeColor="hyperlink"/>
      <w:u w:val="single"/>
    </w:rPr>
  </w:style>
  <w:style w:type="character" w:customStyle="1" w:styleId="Heading1Char">
    <w:name w:val="Heading 1 Char"/>
    <w:basedOn w:val="DefaultParagraphFont"/>
    <w:link w:val="Heading1"/>
    <w:uiPriority w:val="9"/>
    <w:rsid w:val="008B581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8B5812"/>
    <w:pPr>
      <w:outlineLvl w:val="9"/>
    </w:pPr>
    <w:rPr>
      <w:lang w:val="en-US" w:eastAsia="ja-JP"/>
    </w:rPr>
  </w:style>
  <w:style w:type="paragraph" w:styleId="TOC1">
    <w:name w:val="toc 1"/>
    <w:basedOn w:val="Normal"/>
    <w:next w:val="Normal"/>
    <w:autoRedefine/>
    <w:uiPriority w:val="39"/>
    <w:unhideWhenUsed/>
    <w:rsid w:val="008B5812"/>
    <w:pPr>
      <w:spacing w:after="100" w:line="259" w:lineRule="auto"/>
    </w:pPr>
    <w:rPr>
      <w:lang w:val="en-US"/>
    </w:rPr>
  </w:style>
  <w:style w:type="paragraph" w:styleId="TOC2">
    <w:name w:val="toc 2"/>
    <w:basedOn w:val="Normal"/>
    <w:next w:val="Normal"/>
    <w:autoRedefine/>
    <w:uiPriority w:val="39"/>
    <w:unhideWhenUsed/>
    <w:rsid w:val="008B5812"/>
    <w:pPr>
      <w:spacing w:after="100" w:line="259" w:lineRule="auto"/>
      <w:ind w:left="220"/>
    </w:pPr>
    <w:rPr>
      <w:lang w:val="en-US"/>
    </w:rPr>
  </w:style>
  <w:style w:type="paragraph" w:styleId="TOC3">
    <w:name w:val="toc 3"/>
    <w:basedOn w:val="Normal"/>
    <w:next w:val="Normal"/>
    <w:autoRedefine/>
    <w:uiPriority w:val="39"/>
    <w:unhideWhenUsed/>
    <w:rsid w:val="008B5812"/>
    <w:pPr>
      <w:spacing w:after="100" w:line="259" w:lineRule="auto"/>
      <w:ind w:left="440"/>
    </w:pPr>
    <w:rPr>
      <w:lang w:val="en-US"/>
    </w:rPr>
  </w:style>
  <w:style w:type="paragraph" w:styleId="NoSpacing">
    <w:name w:val="No Spacing"/>
    <w:link w:val="NoSpacingChar"/>
    <w:uiPriority w:val="1"/>
    <w:qFormat/>
    <w:rsid w:val="008B5812"/>
    <w:pPr>
      <w:spacing w:after="0" w:line="240" w:lineRule="auto"/>
    </w:pPr>
    <w:rPr>
      <w:lang w:val="en-US"/>
    </w:rPr>
  </w:style>
  <w:style w:type="paragraph" w:styleId="ListParagraph">
    <w:name w:val="List Paragraph"/>
    <w:basedOn w:val="Normal"/>
    <w:uiPriority w:val="34"/>
    <w:qFormat/>
    <w:rsid w:val="008B5812"/>
    <w:pPr>
      <w:spacing w:after="160" w:line="259" w:lineRule="auto"/>
      <w:ind w:left="720"/>
      <w:contextualSpacing/>
    </w:pPr>
    <w:rPr>
      <w:lang w:val="en-US"/>
    </w:rPr>
  </w:style>
  <w:style w:type="character" w:customStyle="1" w:styleId="Heading2Char">
    <w:name w:val="Heading 2 Char"/>
    <w:basedOn w:val="DefaultParagraphFont"/>
    <w:link w:val="Heading2"/>
    <w:uiPriority w:val="9"/>
    <w:rsid w:val="000E223B"/>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0E223B"/>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uiPriority w:val="9"/>
    <w:rsid w:val="000E223B"/>
    <w:rPr>
      <w:rFonts w:asciiTheme="majorHAnsi" w:eastAsiaTheme="majorEastAsia" w:hAnsiTheme="majorHAnsi" w:cstheme="majorBidi"/>
      <w:b/>
      <w:bCs/>
      <w:i/>
      <w:iCs/>
      <w:color w:val="4F81BD" w:themeColor="accent1"/>
      <w:lang w:val="en-US"/>
    </w:rPr>
  </w:style>
  <w:style w:type="character" w:customStyle="1" w:styleId="byline3">
    <w:name w:val="byline3"/>
    <w:basedOn w:val="DefaultParagraphFont"/>
    <w:rsid w:val="000E223B"/>
  </w:style>
  <w:style w:type="character" w:styleId="Strong">
    <w:name w:val="Strong"/>
    <w:basedOn w:val="DefaultParagraphFont"/>
    <w:uiPriority w:val="22"/>
    <w:qFormat/>
    <w:rsid w:val="000E223B"/>
    <w:rPr>
      <w:b/>
      <w:bCs/>
    </w:rPr>
  </w:style>
  <w:style w:type="paragraph" w:styleId="Title">
    <w:name w:val="Title"/>
    <w:basedOn w:val="Normal"/>
    <w:next w:val="Normal"/>
    <w:link w:val="TitleChar"/>
    <w:uiPriority w:val="10"/>
    <w:qFormat/>
    <w:rsid w:val="000E223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0E223B"/>
    <w:rPr>
      <w:rFonts w:asciiTheme="majorHAnsi" w:eastAsiaTheme="majorEastAsia" w:hAnsiTheme="majorHAnsi" w:cstheme="majorBidi"/>
      <w:color w:val="17365D" w:themeColor="text2" w:themeShade="BF"/>
      <w:spacing w:val="5"/>
      <w:kern w:val="28"/>
      <w:sz w:val="52"/>
      <w:szCs w:val="52"/>
      <w:lang w:val="en-US"/>
    </w:rPr>
  </w:style>
  <w:style w:type="character" w:customStyle="1" w:styleId="NoSpacingChar">
    <w:name w:val="No Spacing Char"/>
    <w:basedOn w:val="DefaultParagraphFont"/>
    <w:link w:val="NoSpacing"/>
    <w:uiPriority w:val="1"/>
    <w:rsid w:val="000E223B"/>
    <w:rPr>
      <w:lang w:val="en-US"/>
    </w:rPr>
  </w:style>
  <w:style w:type="character" w:customStyle="1" w:styleId="apple-converted-space">
    <w:name w:val="apple-converted-space"/>
    <w:basedOn w:val="DefaultParagraphFont"/>
    <w:rsid w:val="000E223B"/>
  </w:style>
  <w:style w:type="paragraph" w:styleId="IntenseQuote">
    <w:name w:val="Intense Quote"/>
    <w:basedOn w:val="Normal"/>
    <w:next w:val="Normal"/>
    <w:link w:val="IntenseQuoteChar"/>
    <w:uiPriority w:val="30"/>
    <w:qFormat/>
    <w:rsid w:val="000E223B"/>
    <w:pPr>
      <w:pBdr>
        <w:bottom w:val="single" w:sz="4" w:space="4" w:color="4F81BD" w:themeColor="accent1"/>
      </w:pBdr>
      <w:spacing w:before="200" w:after="280" w:line="259" w:lineRule="auto"/>
      <w:ind w:left="936" w:right="936"/>
    </w:pPr>
    <w:rPr>
      <w:b/>
      <w:bCs/>
      <w:i/>
      <w:iCs/>
      <w:color w:val="4F81BD" w:themeColor="accent1"/>
      <w:lang w:val="en-US"/>
    </w:rPr>
  </w:style>
  <w:style w:type="character" w:customStyle="1" w:styleId="IntenseQuoteChar">
    <w:name w:val="Intense Quote Char"/>
    <w:basedOn w:val="DefaultParagraphFont"/>
    <w:link w:val="IntenseQuote"/>
    <w:uiPriority w:val="30"/>
    <w:rsid w:val="000E223B"/>
    <w:rPr>
      <w:b/>
      <w:bCs/>
      <w:i/>
      <w:iCs/>
      <w:color w:val="4F81BD" w:themeColor="accent1"/>
      <w:lang w:val="en-US"/>
    </w:rPr>
  </w:style>
  <w:style w:type="table" w:styleId="TableGrid">
    <w:name w:val="Table Grid"/>
    <w:basedOn w:val="TableNormal"/>
    <w:uiPriority w:val="39"/>
    <w:rsid w:val="000E223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0E223B"/>
    <w:pPr>
      <w:spacing w:after="0" w:line="240" w:lineRule="auto"/>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Shading1-Accent4">
    <w:name w:val="Medium Shading 1 Accent 4"/>
    <w:basedOn w:val="TableNormal"/>
    <w:uiPriority w:val="63"/>
    <w:rsid w:val="000E223B"/>
    <w:pPr>
      <w:spacing w:after="0" w:line="240" w:lineRule="auto"/>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Caption">
    <w:name w:val="caption"/>
    <w:basedOn w:val="Normal"/>
    <w:next w:val="Normal"/>
    <w:uiPriority w:val="35"/>
    <w:unhideWhenUsed/>
    <w:qFormat/>
    <w:rsid w:val="000E223B"/>
    <w:pPr>
      <w:spacing w:line="240" w:lineRule="auto"/>
    </w:pPr>
    <w:rPr>
      <w:b/>
      <w:bCs/>
      <w:color w:val="4F81BD" w:themeColor="accent1"/>
      <w:sz w:val="18"/>
      <w:szCs w:val="18"/>
      <w:lang w:val="en-US"/>
    </w:rPr>
  </w:style>
  <w:style w:type="table" w:styleId="MediumShading1-Accent6">
    <w:name w:val="Medium Shading 1 Accent 6"/>
    <w:basedOn w:val="TableNormal"/>
    <w:uiPriority w:val="63"/>
    <w:rsid w:val="000E223B"/>
    <w:pPr>
      <w:spacing w:after="0" w:line="240" w:lineRule="auto"/>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ColorfulGrid-Accent4">
    <w:name w:val="Colorful Grid Accent 4"/>
    <w:basedOn w:val="TableNormal"/>
    <w:uiPriority w:val="73"/>
    <w:rsid w:val="000E223B"/>
    <w:pPr>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Shading-Accent2">
    <w:name w:val="Light Shading Accent 2"/>
    <w:basedOn w:val="TableNormal"/>
    <w:uiPriority w:val="60"/>
    <w:rsid w:val="000E223B"/>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Quote">
    <w:name w:val="Quote"/>
    <w:basedOn w:val="Normal"/>
    <w:next w:val="Normal"/>
    <w:link w:val="QuoteChar"/>
    <w:uiPriority w:val="29"/>
    <w:qFormat/>
    <w:rsid w:val="000E223B"/>
    <w:pPr>
      <w:spacing w:after="160" w:line="259" w:lineRule="auto"/>
    </w:pPr>
    <w:rPr>
      <w:i/>
      <w:iCs/>
      <w:color w:val="000000" w:themeColor="text1"/>
      <w:lang w:val="en-US"/>
    </w:rPr>
  </w:style>
  <w:style w:type="character" w:customStyle="1" w:styleId="QuoteChar">
    <w:name w:val="Quote Char"/>
    <w:basedOn w:val="DefaultParagraphFont"/>
    <w:link w:val="Quote"/>
    <w:uiPriority w:val="29"/>
    <w:rsid w:val="000E223B"/>
    <w:rPr>
      <w:i/>
      <w:iCs/>
      <w:color w:val="000000" w:themeColor="text1"/>
      <w:lang w:val="en-US"/>
    </w:rPr>
  </w:style>
  <w:style w:type="paragraph" w:styleId="TOC4">
    <w:name w:val="toc 4"/>
    <w:basedOn w:val="Normal"/>
    <w:next w:val="Normal"/>
    <w:autoRedefine/>
    <w:uiPriority w:val="39"/>
    <w:unhideWhenUsed/>
    <w:rsid w:val="000E223B"/>
    <w:pPr>
      <w:spacing w:after="100"/>
      <w:ind w:left="660"/>
    </w:pPr>
    <w:rPr>
      <w:rFonts w:eastAsiaTheme="minorEastAsia"/>
      <w:lang w:eastAsia="nl-BE"/>
    </w:rPr>
  </w:style>
  <w:style w:type="paragraph" w:styleId="TOC5">
    <w:name w:val="toc 5"/>
    <w:basedOn w:val="Normal"/>
    <w:next w:val="Normal"/>
    <w:autoRedefine/>
    <w:uiPriority w:val="39"/>
    <w:unhideWhenUsed/>
    <w:rsid w:val="000E223B"/>
    <w:pPr>
      <w:spacing w:after="100"/>
      <w:ind w:left="880"/>
    </w:pPr>
    <w:rPr>
      <w:rFonts w:eastAsiaTheme="minorEastAsia"/>
      <w:lang w:eastAsia="nl-BE"/>
    </w:rPr>
  </w:style>
  <w:style w:type="paragraph" w:styleId="TOC6">
    <w:name w:val="toc 6"/>
    <w:basedOn w:val="Normal"/>
    <w:next w:val="Normal"/>
    <w:autoRedefine/>
    <w:uiPriority w:val="39"/>
    <w:unhideWhenUsed/>
    <w:rsid w:val="000E223B"/>
    <w:pPr>
      <w:spacing w:after="100"/>
      <w:ind w:left="1100"/>
    </w:pPr>
    <w:rPr>
      <w:rFonts w:eastAsiaTheme="minorEastAsia"/>
      <w:lang w:eastAsia="nl-BE"/>
    </w:rPr>
  </w:style>
  <w:style w:type="paragraph" w:styleId="TOC7">
    <w:name w:val="toc 7"/>
    <w:basedOn w:val="Normal"/>
    <w:next w:val="Normal"/>
    <w:autoRedefine/>
    <w:uiPriority w:val="39"/>
    <w:unhideWhenUsed/>
    <w:rsid w:val="000E223B"/>
    <w:pPr>
      <w:spacing w:after="100"/>
      <w:ind w:left="1320"/>
    </w:pPr>
    <w:rPr>
      <w:rFonts w:eastAsiaTheme="minorEastAsia"/>
      <w:lang w:eastAsia="nl-BE"/>
    </w:rPr>
  </w:style>
  <w:style w:type="paragraph" w:styleId="TOC8">
    <w:name w:val="toc 8"/>
    <w:basedOn w:val="Normal"/>
    <w:next w:val="Normal"/>
    <w:autoRedefine/>
    <w:uiPriority w:val="39"/>
    <w:unhideWhenUsed/>
    <w:rsid w:val="000E223B"/>
    <w:pPr>
      <w:spacing w:after="100"/>
      <w:ind w:left="1540"/>
    </w:pPr>
    <w:rPr>
      <w:rFonts w:eastAsiaTheme="minorEastAsia"/>
      <w:lang w:eastAsia="nl-BE"/>
    </w:rPr>
  </w:style>
  <w:style w:type="paragraph" w:styleId="TOC9">
    <w:name w:val="toc 9"/>
    <w:basedOn w:val="Normal"/>
    <w:next w:val="Normal"/>
    <w:autoRedefine/>
    <w:uiPriority w:val="39"/>
    <w:unhideWhenUsed/>
    <w:rsid w:val="000E223B"/>
    <w:pPr>
      <w:spacing w:after="100"/>
      <w:ind w:left="1760"/>
    </w:pPr>
    <w:rPr>
      <w:rFonts w:eastAsiaTheme="minorEastAsia"/>
      <w:lang w:eastAsia="nl-BE"/>
    </w:rPr>
  </w:style>
  <w:style w:type="character" w:styleId="LineNumber">
    <w:name w:val="line number"/>
    <w:basedOn w:val="DefaultParagraphFont"/>
    <w:uiPriority w:val="99"/>
    <w:semiHidden/>
    <w:unhideWhenUsed/>
    <w:rsid w:val="000E223B"/>
  </w:style>
  <w:style w:type="character" w:styleId="FollowedHyperlink">
    <w:name w:val="FollowedHyperlink"/>
    <w:basedOn w:val="DefaultParagraphFont"/>
    <w:uiPriority w:val="99"/>
    <w:semiHidden/>
    <w:unhideWhenUsed/>
    <w:rsid w:val="009F0062"/>
    <w:rPr>
      <w:color w:val="800080" w:themeColor="followedHyperlink"/>
      <w:u w:val="single"/>
    </w:rPr>
  </w:style>
  <w:style w:type="table" w:customStyle="1" w:styleId="QTable">
    <w:name w:val="QTable"/>
    <w:uiPriority w:val="99"/>
    <w:qFormat/>
    <w:rsid w:val="009F0062"/>
    <w:pPr>
      <w:spacing w:after="0" w:line="240" w:lineRule="auto"/>
    </w:pPr>
    <w:rPr>
      <w:rFonts w:eastAsiaTheme="minorEastAsia"/>
      <w:lang w:val="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9F0062"/>
    <w:pPr>
      <w:spacing w:after="0" w:line="240" w:lineRule="auto"/>
      <w:jc w:val="center"/>
    </w:pPr>
    <w:rPr>
      <w:rFonts w:eastAsiaTheme="minorEastAsia"/>
      <w:sz w:val="20"/>
      <w:szCs w:val="20"/>
      <w:lang w:val="en-US" w:eastAsia="nl-BE"/>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QSummary">
    <w:name w:val="QSummary"/>
    <w:basedOn w:val="Normal"/>
    <w:qFormat/>
    <w:rsid w:val="009F0062"/>
    <w:pPr>
      <w:spacing w:after="0"/>
    </w:pPr>
    <w:rPr>
      <w:rFonts w:eastAsiaTheme="minorEastAsia"/>
      <w:b/>
      <w:lang w:val="en-US"/>
    </w:rPr>
  </w:style>
  <w:style w:type="paragraph" w:customStyle="1" w:styleId="QLabel">
    <w:name w:val="QLabel"/>
    <w:basedOn w:val="Normal"/>
    <w:qFormat/>
    <w:rsid w:val="009F0062"/>
    <w:pPr>
      <w:pBdr>
        <w:left w:val="single" w:sz="4" w:space="4" w:color="D9D9D9" w:themeColor="background1" w:themeShade="D9"/>
        <w:right w:val="single" w:sz="4" w:space="4" w:color="D9D9D9" w:themeColor="background1" w:themeShade="D9"/>
      </w:pBdr>
      <w:shd w:val="clear" w:color="auto" w:fill="D9D9D9" w:themeFill="background1" w:themeFillShade="D9"/>
      <w:spacing w:after="0"/>
    </w:pPr>
    <w:rPr>
      <w:rFonts w:eastAsiaTheme="minorEastAsia"/>
      <w:b/>
      <w:sz w:val="32"/>
      <w:lang w:val="en-US"/>
    </w:rPr>
  </w:style>
  <w:style w:type="table" w:customStyle="1" w:styleId="QBar">
    <w:name w:val="QBar"/>
    <w:uiPriority w:val="99"/>
    <w:qFormat/>
    <w:rsid w:val="009F0062"/>
    <w:pPr>
      <w:spacing w:after="0" w:line="240" w:lineRule="auto"/>
    </w:pPr>
    <w:rPr>
      <w:rFonts w:eastAsiaTheme="minorEastAsia"/>
      <w:sz w:val="18"/>
      <w:szCs w:val="20"/>
      <w:lang w:val="en-GB" w:eastAsia="nl-BE"/>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9F0062"/>
    <w:pPr>
      <w:spacing w:after="0" w:line="240" w:lineRule="auto"/>
    </w:pPr>
    <w:rPr>
      <w:rFonts w:eastAsiaTheme="minorEastAsia"/>
      <w:b/>
      <w:color w:val="FFFFFF" w:themeColor="background1"/>
      <w:sz w:val="20"/>
      <w:szCs w:val="20"/>
      <w:lang w:val="en-GB" w:eastAsia="nl-BE"/>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9F0062"/>
    <w:pPr>
      <w:spacing w:after="0" w:line="240" w:lineRule="auto"/>
    </w:pPr>
    <w:rPr>
      <w:rFonts w:eastAsiaTheme="minorEastAsia"/>
      <w:color w:val="FFFFFF" w:themeColor="background1"/>
      <w:lang w:val="en-US"/>
    </w:rPr>
  </w:style>
  <w:style w:type="paragraph" w:customStyle="1" w:styleId="WhiteCompositeLabel">
    <w:name w:val="WhiteCompositeLabel"/>
    <w:next w:val="Normal"/>
    <w:rsid w:val="009F0062"/>
    <w:pPr>
      <w:spacing w:before="43" w:after="43" w:line="240" w:lineRule="auto"/>
      <w:jc w:val="center"/>
    </w:pPr>
    <w:rPr>
      <w:rFonts w:ascii="Calibri" w:eastAsia="Times New Roman" w:hAnsi="Calibri" w:cs="Times New Roman"/>
      <w:b/>
      <w:color w:val="FFFFFF"/>
      <w:lang w:val="en-US"/>
    </w:rPr>
  </w:style>
  <w:style w:type="numbering" w:customStyle="1" w:styleId="Multipunch">
    <w:name w:val="Multi punch"/>
    <w:rsid w:val="009F0062"/>
    <w:pPr>
      <w:numPr>
        <w:numId w:val="55"/>
      </w:numPr>
    </w:pPr>
  </w:style>
  <w:style w:type="numbering" w:customStyle="1" w:styleId="Singlepunch">
    <w:name w:val="Single punch"/>
    <w:rsid w:val="009F0062"/>
    <w:pPr>
      <w:numPr>
        <w:numId w:val="56"/>
      </w:numPr>
    </w:pPr>
  </w:style>
  <w:style w:type="paragraph" w:customStyle="1" w:styleId="QDisplayLogic">
    <w:name w:val="QDisplayLogic"/>
    <w:basedOn w:val="Normal"/>
    <w:qFormat/>
    <w:rsid w:val="009F0062"/>
    <w:pPr>
      <w:shd w:val="clear" w:color="auto" w:fill="C5DCFF"/>
      <w:spacing w:after="0"/>
    </w:pPr>
    <w:rPr>
      <w:rFonts w:eastAsiaTheme="minorEastAsia"/>
      <w:lang w:val="en-US"/>
    </w:rPr>
  </w:style>
  <w:style w:type="paragraph" w:customStyle="1" w:styleId="QSkipLogic">
    <w:name w:val="QSkipLogic"/>
    <w:basedOn w:val="Normal"/>
    <w:qFormat/>
    <w:rsid w:val="009F0062"/>
    <w:pPr>
      <w:shd w:val="clear" w:color="auto" w:fill="D9D9D9"/>
      <w:spacing w:after="0"/>
    </w:pPr>
    <w:rPr>
      <w:rFonts w:eastAsiaTheme="minorEastAsia"/>
      <w:lang w:val="en-US"/>
    </w:rPr>
  </w:style>
  <w:style w:type="paragraph" w:customStyle="1" w:styleId="SingleLineText">
    <w:name w:val="SingleLineText"/>
    <w:next w:val="Normal"/>
    <w:rsid w:val="009F0062"/>
    <w:pPr>
      <w:spacing w:after="0" w:line="240" w:lineRule="auto"/>
    </w:pPr>
    <w:rPr>
      <w:rFonts w:eastAsiaTheme="minorEastAsia"/>
      <w:lang w:val="en-US"/>
    </w:rPr>
  </w:style>
  <w:style w:type="paragraph" w:styleId="FootnoteText">
    <w:name w:val="footnote text"/>
    <w:basedOn w:val="Normal"/>
    <w:link w:val="FootnoteTextChar"/>
    <w:uiPriority w:val="99"/>
    <w:semiHidden/>
    <w:unhideWhenUsed/>
    <w:rsid w:val="004E61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E613D"/>
    <w:rPr>
      <w:sz w:val="20"/>
      <w:szCs w:val="20"/>
    </w:rPr>
  </w:style>
  <w:style w:type="character" w:styleId="FootnoteReference">
    <w:name w:val="footnote reference"/>
    <w:basedOn w:val="DefaultParagraphFont"/>
    <w:uiPriority w:val="99"/>
    <w:semiHidden/>
    <w:unhideWhenUsed/>
    <w:rsid w:val="004E613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B58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E223B"/>
    <w:pPr>
      <w:keepNext/>
      <w:keepLines/>
      <w:spacing w:before="200" w:after="0" w:line="259" w:lineRule="auto"/>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0E223B"/>
    <w:pPr>
      <w:keepNext/>
      <w:keepLines/>
      <w:spacing w:before="200" w:after="0" w:line="259" w:lineRule="auto"/>
      <w:outlineLvl w:val="2"/>
    </w:pPr>
    <w:rPr>
      <w:rFonts w:asciiTheme="majorHAnsi" w:eastAsiaTheme="majorEastAsia" w:hAnsiTheme="majorHAnsi" w:cstheme="majorBidi"/>
      <w:b/>
      <w:bCs/>
      <w:color w:val="4F81BD" w:themeColor="accent1"/>
      <w:lang w:val="en-US"/>
    </w:rPr>
  </w:style>
  <w:style w:type="paragraph" w:styleId="Heading4">
    <w:name w:val="heading 4"/>
    <w:basedOn w:val="Normal"/>
    <w:next w:val="Normal"/>
    <w:link w:val="Heading4Char"/>
    <w:uiPriority w:val="9"/>
    <w:unhideWhenUsed/>
    <w:qFormat/>
    <w:rsid w:val="000E223B"/>
    <w:pPr>
      <w:keepNext/>
      <w:keepLines/>
      <w:spacing w:before="200" w:after="0" w:line="259" w:lineRule="auto"/>
      <w:outlineLvl w:val="3"/>
    </w:pPr>
    <w:rPr>
      <w:rFonts w:asciiTheme="majorHAnsi" w:eastAsiaTheme="majorEastAsia" w:hAnsiTheme="majorHAnsi" w:cstheme="majorBidi"/>
      <w:b/>
      <w:bCs/>
      <w:i/>
      <w:i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Footer"/>
    <w:link w:val="HeaderChar"/>
    <w:uiPriority w:val="99"/>
    <w:rsid w:val="00805AE7"/>
    <w:pPr>
      <w:tabs>
        <w:tab w:val="clear" w:pos="4536"/>
        <w:tab w:val="clear" w:pos="9072"/>
        <w:tab w:val="center" w:pos="3969"/>
        <w:tab w:val="right" w:pos="7938"/>
      </w:tabs>
      <w:spacing w:before="240"/>
      <w:jc w:val="right"/>
    </w:pPr>
    <w:rPr>
      <w:rFonts w:ascii="Arial" w:eastAsiaTheme="minorEastAsia" w:hAnsi="Arial"/>
      <w:caps/>
      <w:sz w:val="14"/>
      <w:szCs w:val="20"/>
      <w:lang w:eastAsia="nl-BE"/>
    </w:rPr>
  </w:style>
  <w:style w:type="character" w:customStyle="1" w:styleId="HeaderChar">
    <w:name w:val="Header Char"/>
    <w:basedOn w:val="DefaultParagraphFont"/>
    <w:link w:val="Header"/>
    <w:uiPriority w:val="99"/>
    <w:rsid w:val="00805AE7"/>
    <w:rPr>
      <w:rFonts w:ascii="Arial" w:eastAsiaTheme="minorEastAsia" w:hAnsi="Arial"/>
      <w:caps/>
      <w:sz w:val="14"/>
      <w:szCs w:val="20"/>
      <w:lang w:eastAsia="nl-BE"/>
    </w:rPr>
  </w:style>
  <w:style w:type="paragraph" w:customStyle="1" w:styleId="CoverKoptekst">
    <w:name w:val="_CoverKoptekst"/>
    <w:basedOn w:val="Normal"/>
    <w:semiHidden/>
    <w:qFormat/>
    <w:rsid w:val="00805AE7"/>
    <w:pPr>
      <w:spacing w:before="240" w:after="0" w:line="240" w:lineRule="auto"/>
      <w:jc w:val="right"/>
    </w:pPr>
    <w:rPr>
      <w:rFonts w:ascii="Arial" w:eastAsiaTheme="minorEastAsia" w:hAnsi="Arial"/>
      <w:caps/>
      <w:color w:val="FFFFFF" w:themeColor="background1"/>
      <w:sz w:val="24"/>
      <w:szCs w:val="20"/>
      <w:lang w:eastAsia="nl-BE"/>
    </w:rPr>
  </w:style>
  <w:style w:type="paragraph" w:styleId="Footer">
    <w:name w:val="footer"/>
    <w:basedOn w:val="Normal"/>
    <w:link w:val="FooterChar"/>
    <w:uiPriority w:val="99"/>
    <w:unhideWhenUsed/>
    <w:rsid w:val="00805AE7"/>
    <w:pPr>
      <w:tabs>
        <w:tab w:val="center" w:pos="4536"/>
        <w:tab w:val="right" w:pos="9072"/>
      </w:tabs>
      <w:spacing w:after="0" w:line="240" w:lineRule="auto"/>
    </w:pPr>
  </w:style>
  <w:style w:type="character" w:customStyle="1" w:styleId="FooterChar">
    <w:name w:val="Footer Char"/>
    <w:basedOn w:val="DefaultParagraphFont"/>
    <w:link w:val="Footer"/>
    <w:uiPriority w:val="99"/>
    <w:rsid w:val="00805AE7"/>
  </w:style>
  <w:style w:type="paragraph" w:styleId="BalloonText">
    <w:name w:val="Balloon Text"/>
    <w:basedOn w:val="Normal"/>
    <w:link w:val="BalloonTextChar"/>
    <w:uiPriority w:val="99"/>
    <w:semiHidden/>
    <w:unhideWhenUsed/>
    <w:rsid w:val="00805A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AE7"/>
    <w:rPr>
      <w:rFonts w:ascii="Tahoma" w:hAnsi="Tahoma" w:cs="Tahoma"/>
      <w:sz w:val="16"/>
      <w:szCs w:val="16"/>
    </w:rPr>
  </w:style>
  <w:style w:type="paragraph" w:customStyle="1" w:styleId="CoverSubtekst">
    <w:name w:val="_CoverSubtekst"/>
    <w:basedOn w:val="Normal"/>
    <w:semiHidden/>
    <w:qFormat/>
    <w:rsid w:val="00805AE7"/>
    <w:pPr>
      <w:spacing w:after="0" w:line="240" w:lineRule="auto"/>
      <w:jc w:val="right"/>
    </w:pPr>
    <w:rPr>
      <w:rFonts w:ascii="Arial" w:eastAsiaTheme="minorEastAsia" w:hAnsi="Arial"/>
      <w:sz w:val="24"/>
      <w:szCs w:val="24"/>
      <w:lang w:eastAsia="nl-BE"/>
    </w:rPr>
  </w:style>
  <w:style w:type="paragraph" w:customStyle="1" w:styleId="CoverTitel">
    <w:name w:val="_CoverTitel"/>
    <w:basedOn w:val="Normal"/>
    <w:semiHidden/>
    <w:qFormat/>
    <w:rsid w:val="00805AE7"/>
    <w:pPr>
      <w:spacing w:after="0" w:line="240" w:lineRule="auto"/>
    </w:pPr>
    <w:rPr>
      <w:rFonts w:ascii="Arial" w:eastAsiaTheme="minorEastAsia" w:hAnsi="Arial"/>
      <w:color w:val="1D8DB0"/>
      <w:sz w:val="80"/>
      <w:szCs w:val="80"/>
      <w:lang w:eastAsia="nl-BE"/>
    </w:rPr>
  </w:style>
  <w:style w:type="character" w:styleId="PlaceholderText">
    <w:name w:val="Placeholder Text"/>
    <w:basedOn w:val="DefaultParagraphFont"/>
    <w:uiPriority w:val="99"/>
    <w:semiHidden/>
    <w:rsid w:val="00805AE7"/>
    <w:rPr>
      <w:color w:val="808080"/>
    </w:rPr>
  </w:style>
  <w:style w:type="paragraph" w:customStyle="1" w:styleId="CoverAuteur">
    <w:name w:val="_CoverAuteur"/>
    <w:basedOn w:val="Normal"/>
    <w:semiHidden/>
    <w:qFormat/>
    <w:rsid w:val="00805AE7"/>
    <w:pPr>
      <w:spacing w:after="0" w:line="240" w:lineRule="auto"/>
      <w:jc w:val="right"/>
    </w:pPr>
    <w:rPr>
      <w:rFonts w:ascii="Arial" w:eastAsia="Calibri" w:hAnsi="Arial" w:cs="Arial"/>
      <w:b/>
      <w:bCs/>
      <w:sz w:val="28"/>
      <w:szCs w:val="24"/>
    </w:rPr>
  </w:style>
  <w:style w:type="character" w:styleId="Hyperlink">
    <w:name w:val="Hyperlink"/>
    <w:basedOn w:val="DefaultParagraphFont"/>
    <w:uiPriority w:val="99"/>
    <w:unhideWhenUsed/>
    <w:rsid w:val="008B5812"/>
    <w:rPr>
      <w:color w:val="0000FF" w:themeColor="hyperlink"/>
      <w:u w:val="single"/>
    </w:rPr>
  </w:style>
  <w:style w:type="character" w:customStyle="1" w:styleId="Heading1Char">
    <w:name w:val="Heading 1 Char"/>
    <w:basedOn w:val="DefaultParagraphFont"/>
    <w:link w:val="Heading1"/>
    <w:uiPriority w:val="9"/>
    <w:rsid w:val="008B581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8B5812"/>
    <w:pPr>
      <w:outlineLvl w:val="9"/>
    </w:pPr>
    <w:rPr>
      <w:lang w:val="en-US" w:eastAsia="ja-JP"/>
    </w:rPr>
  </w:style>
  <w:style w:type="paragraph" w:styleId="TOC1">
    <w:name w:val="toc 1"/>
    <w:basedOn w:val="Normal"/>
    <w:next w:val="Normal"/>
    <w:autoRedefine/>
    <w:uiPriority w:val="39"/>
    <w:unhideWhenUsed/>
    <w:rsid w:val="008B5812"/>
    <w:pPr>
      <w:spacing w:after="100" w:line="259" w:lineRule="auto"/>
    </w:pPr>
    <w:rPr>
      <w:lang w:val="en-US"/>
    </w:rPr>
  </w:style>
  <w:style w:type="paragraph" w:styleId="TOC2">
    <w:name w:val="toc 2"/>
    <w:basedOn w:val="Normal"/>
    <w:next w:val="Normal"/>
    <w:autoRedefine/>
    <w:uiPriority w:val="39"/>
    <w:unhideWhenUsed/>
    <w:rsid w:val="008B5812"/>
    <w:pPr>
      <w:spacing w:after="100" w:line="259" w:lineRule="auto"/>
      <w:ind w:left="220"/>
    </w:pPr>
    <w:rPr>
      <w:lang w:val="en-US"/>
    </w:rPr>
  </w:style>
  <w:style w:type="paragraph" w:styleId="TOC3">
    <w:name w:val="toc 3"/>
    <w:basedOn w:val="Normal"/>
    <w:next w:val="Normal"/>
    <w:autoRedefine/>
    <w:uiPriority w:val="39"/>
    <w:unhideWhenUsed/>
    <w:rsid w:val="008B5812"/>
    <w:pPr>
      <w:spacing w:after="100" w:line="259" w:lineRule="auto"/>
      <w:ind w:left="440"/>
    </w:pPr>
    <w:rPr>
      <w:lang w:val="en-US"/>
    </w:rPr>
  </w:style>
  <w:style w:type="paragraph" w:styleId="NoSpacing">
    <w:name w:val="No Spacing"/>
    <w:link w:val="NoSpacingChar"/>
    <w:uiPriority w:val="1"/>
    <w:qFormat/>
    <w:rsid w:val="008B5812"/>
    <w:pPr>
      <w:spacing w:after="0" w:line="240" w:lineRule="auto"/>
    </w:pPr>
    <w:rPr>
      <w:lang w:val="en-US"/>
    </w:rPr>
  </w:style>
  <w:style w:type="paragraph" w:styleId="ListParagraph">
    <w:name w:val="List Paragraph"/>
    <w:basedOn w:val="Normal"/>
    <w:uiPriority w:val="34"/>
    <w:qFormat/>
    <w:rsid w:val="008B5812"/>
    <w:pPr>
      <w:spacing w:after="160" w:line="259" w:lineRule="auto"/>
      <w:ind w:left="720"/>
      <w:contextualSpacing/>
    </w:pPr>
    <w:rPr>
      <w:lang w:val="en-US"/>
    </w:rPr>
  </w:style>
  <w:style w:type="character" w:customStyle="1" w:styleId="Heading2Char">
    <w:name w:val="Heading 2 Char"/>
    <w:basedOn w:val="DefaultParagraphFont"/>
    <w:link w:val="Heading2"/>
    <w:uiPriority w:val="9"/>
    <w:rsid w:val="000E223B"/>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0E223B"/>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uiPriority w:val="9"/>
    <w:rsid w:val="000E223B"/>
    <w:rPr>
      <w:rFonts w:asciiTheme="majorHAnsi" w:eastAsiaTheme="majorEastAsia" w:hAnsiTheme="majorHAnsi" w:cstheme="majorBidi"/>
      <w:b/>
      <w:bCs/>
      <w:i/>
      <w:iCs/>
      <w:color w:val="4F81BD" w:themeColor="accent1"/>
      <w:lang w:val="en-US"/>
    </w:rPr>
  </w:style>
  <w:style w:type="character" w:customStyle="1" w:styleId="byline3">
    <w:name w:val="byline3"/>
    <w:basedOn w:val="DefaultParagraphFont"/>
    <w:rsid w:val="000E223B"/>
  </w:style>
  <w:style w:type="character" w:styleId="Strong">
    <w:name w:val="Strong"/>
    <w:basedOn w:val="DefaultParagraphFont"/>
    <w:uiPriority w:val="22"/>
    <w:qFormat/>
    <w:rsid w:val="000E223B"/>
    <w:rPr>
      <w:b/>
      <w:bCs/>
    </w:rPr>
  </w:style>
  <w:style w:type="paragraph" w:styleId="Title">
    <w:name w:val="Title"/>
    <w:basedOn w:val="Normal"/>
    <w:next w:val="Normal"/>
    <w:link w:val="TitleChar"/>
    <w:uiPriority w:val="10"/>
    <w:qFormat/>
    <w:rsid w:val="000E223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0E223B"/>
    <w:rPr>
      <w:rFonts w:asciiTheme="majorHAnsi" w:eastAsiaTheme="majorEastAsia" w:hAnsiTheme="majorHAnsi" w:cstheme="majorBidi"/>
      <w:color w:val="17365D" w:themeColor="text2" w:themeShade="BF"/>
      <w:spacing w:val="5"/>
      <w:kern w:val="28"/>
      <w:sz w:val="52"/>
      <w:szCs w:val="52"/>
      <w:lang w:val="en-US"/>
    </w:rPr>
  </w:style>
  <w:style w:type="character" w:customStyle="1" w:styleId="NoSpacingChar">
    <w:name w:val="No Spacing Char"/>
    <w:basedOn w:val="DefaultParagraphFont"/>
    <w:link w:val="NoSpacing"/>
    <w:uiPriority w:val="1"/>
    <w:rsid w:val="000E223B"/>
    <w:rPr>
      <w:lang w:val="en-US"/>
    </w:rPr>
  </w:style>
  <w:style w:type="character" w:customStyle="1" w:styleId="apple-converted-space">
    <w:name w:val="apple-converted-space"/>
    <w:basedOn w:val="DefaultParagraphFont"/>
    <w:rsid w:val="000E223B"/>
  </w:style>
  <w:style w:type="paragraph" w:styleId="IntenseQuote">
    <w:name w:val="Intense Quote"/>
    <w:basedOn w:val="Normal"/>
    <w:next w:val="Normal"/>
    <w:link w:val="IntenseQuoteChar"/>
    <w:uiPriority w:val="30"/>
    <w:qFormat/>
    <w:rsid w:val="000E223B"/>
    <w:pPr>
      <w:pBdr>
        <w:bottom w:val="single" w:sz="4" w:space="4" w:color="4F81BD" w:themeColor="accent1"/>
      </w:pBdr>
      <w:spacing w:before="200" w:after="280" w:line="259" w:lineRule="auto"/>
      <w:ind w:left="936" w:right="936"/>
    </w:pPr>
    <w:rPr>
      <w:b/>
      <w:bCs/>
      <w:i/>
      <w:iCs/>
      <w:color w:val="4F81BD" w:themeColor="accent1"/>
      <w:lang w:val="en-US"/>
    </w:rPr>
  </w:style>
  <w:style w:type="character" w:customStyle="1" w:styleId="IntenseQuoteChar">
    <w:name w:val="Intense Quote Char"/>
    <w:basedOn w:val="DefaultParagraphFont"/>
    <w:link w:val="IntenseQuote"/>
    <w:uiPriority w:val="30"/>
    <w:rsid w:val="000E223B"/>
    <w:rPr>
      <w:b/>
      <w:bCs/>
      <w:i/>
      <w:iCs/>
      <w:color w:val="4F81BD" w:themeColor="accent1"/>
      <w:lang w:val="en-US"/>
    </w:rPr>
  </w:style>
  <w:style w:type="table" w:styleId="TableGrid">
    <w:name w:val="Table Grid"/>
    <w:basedOn w:val="TableNormal"/>
    <w:uiPriority w:val="39"/>
    <w:rsid w:val="000E223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0E223B"/>
    <w:pPr>
      <w:spacing w:after="0" w:line="240" w:lineRule="auto"/>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Shading1-Accent4">
    <w:name w:val="Medium Shading 1 Accent 4"/>
    <w:basedOn w:val="TableNormal"/>
    <w:uiPriority w:val="63"/>
    <w:rsid w:val="000E223B"/>
    <w:pPr>
      <w:spacing w:after="0" w:line="240" w:lineRule="auto"/>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Caption">
    <w:name w:val="caption"/>
    <w:basedOn w:val="Normal"/>
    <w:next w:val="Normal"/>
    <w:uiPriority w:val="35"/>
    <w:unhideWhenUsed/>
    <w:qFormat/>
    <w:rsid w:val="000E223B"/>
    <w:pPr>
      <w:spacing w:line="240" w:lineRule="auto"/>
    </w:pPr>
    <w:rPr>
      <w:b/>
      <w:bCs/>
      <w:color w:val="4F81BD" w:themeColor="accent1"/>
      <w:sz w:val="18"/>
      <w:szCs w:val="18"/>
      <w:lang w:val="en-US"/>
    </w:rPr>
  </w:style>
  <w:style w:type="table" w:styleId="MediumShading1-Accent6">
    <w:name w:val="Medium Shading 1 Accent 6"/>
    <w:basedOn w:val="TableNormal"/>
    <w:uiPriority w:val="63"/>
    <w:rsid w:val="000E223B"/>
    <w:pPr>
      <w:spacing w:after="0" w:line="240" w:lineRule="auto"/>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ColorfulGrid-Accent4">
    <w:name w:val="Colorful Grid Accent 4"/>
    <w:basedOn w:val="TableNormal"/>
    <w:uiPriority w:val="73"/>
    <w:rsid w:val="000E223B"/>
    <w:pPr>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Shading-Accent2">
    <w:name w:val="Light Shading Accent 2"/>
    <w:basedOn w:val="TableNormal"/>
    <w:uiPriority w:val="60"/>
    <w:rsid w:val="000E223B"/>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Quote">
    <w:name w:val="Quote"/>
    <w:basedOn w:val="Normal"/>
    <w:next w:val="Normal"/>
    <w:link w:val="QuoteChar"/>
    <w:uiPriority w:val="29"/>
    <w:qFormat/>
    <w:rsid w:val="000E223B"/>
    <w:pPr>
      <w:spacing w:after="160" w:line="259" w:lineRule="auto"/>
    </w:pPr>
    <w:rPr>
      <w:i/>
      <w:iCs/>
      <w:color w:val="000000" w:themeColor="text1"/>
      <w:lang w:val="en-US"/>
    </w:rPr>
  </w:style>
  <w:style w:type="character" w:customStyle="1" w:styleId="QuoteChar">
    <w:name w:val="Quote Char"/>
    <w:basedOn w:val="DefaultParagraphFont"/>
    <w:link w:val="Quote"/>
    <w:uiPriority w:val="29"/>
    <w:rsid w:val="000E223B"/>
    <w:rPr>
      <w:i/>
      <w:iCs/>
      <w:color w:val="000000" w:themeColor="text1"/>
      <w:lang w:val="en-US"/>
    </w:rPr>
  </w:style>
  <w:style w:type="paragraph" w:styleId="TOC4">
    <w:name w:val="toc 4"/>
    <w:basedOn w:val="Normal"/>
    <w:next w:val="Normal"/>
    <w:autoRedefine/>
    <w:uiPriority w:val="39"/>
    <w:unhideWhenUsed/>
    <w:rsid w:val="000E223B"/>
    <w:pPr>
      <w:spacing w:after="100"/>
      <w:ind w:left="660"/>
    </w:pPr>
    <w:rPr>
      <w:rFonts w:eastAsiaTheme="minorEastAsia"/>
      <w:lang w:eastAsia="nl-BE"/>
    </w:rPr>
  </w:style>
  <w:style w:type="paragraph" w:styleId="TOC5">
    <w:name w:val="toc 5"/>
    <w:basedOn w:val="Normal"/>
    <w:next w:val="Normal"/>
    <w:autoRedefine/>
    <w:uiPriority w:val="39"/>
    <w:unhideWhenUsed/>
    <w:rsid w:val="000E223B"/>
    <w:pPr>
      <w:spacing w:after="100"/>
      <w:ind w:left="880"/>
    </w:pPr>
    <w:rPr>
      <w:rFonts w:eastAsiaTheme="minorEastAsia"/>
      <w:lang w:eastAsia="nl-BE"/>
    </w:rPr>
  </w:style>
  <w:style w:type="paragraph" w:styleId="TOC6">
    <w:name w:val="toc 6"/>
    <w:basedOn w:val="Normal"/>
    <w:next w:val="Normal"/>
    <w:autoRedefine/>
    <w:uiPriority w:val="39"/>
    <w:unhideWhenUsed/>
    <w:rsid w:val="000E223B"/>
    <w:pPr>
      <w:spacing w:after="100"/>
      <w:ind w:left="1100"/>
    </w:pPr>
    <w:rPr>
      <w:rFonts w:eastAsiaTheme="minorEastAsia"/>
      <w:lang w:eastAsia="nl-BE"/>
    </w:rPr>
  </w:style>
  <w:style w:type="paragraph" w:styleId="TOC7">
    <w:name w:val="toc 7"/>
    <w:basedOn w:val="Normal"/>
    <w:next w:val="Normal"/>
    <w:autoRedefine/>
    <w:uiPriority w:val="39"/>
    <w:unhideWhenUsed/>
    <w:rsid w:val="000E223B"/>
    <w:pPr>
      <w:spacing w:after="100"/>
      <w:ind w:left="1320"/>
    </w:pPr>
    <w:rPr>
      <w:rFonts w:eastAsiaTheme="minorEastAsia"/>
      <w:lang w:eastAsia="nl-BE"/>
    </w:rPr>
  </w:style>
  <w:style w:type="paragraph" w:styleId="TOC8">
    <w:name w:val="toc 8"/>
    <w:basedOn w:val="Normal"/>
    <w:next w:val="Normal"/>
    <w:autoRedefine/>
    <w:uiPriority w:val="39"/>
    <w:unhideWhenUsed/>
    <w:rsid w:val="000E223B"/>
    <w:pPr>
      <w:spacing w:after="100"/>
      <w:ind w:left="1540"/>
    </w:pPr>
    <w:rPr>
      <w:rFonts w:eastAsiaTheme="minorEastAsia"/>
      <w:lang w:eastAsia="nl-BE"/>
    </w:rPr>
  </w:style>
  <w:style w:type="paragraph" w:styleId="TOC9">
    <w:name w:val="toc 9"/>
    <w:basedOn w:val="Normal"/>
    <w:next w:val="Normal"/>
    <w:autoRedefine/>
    <w:uiPriority w:val="39"/>
    <w:unhideWhenUsed/>
    <w:rsid w:val="000E223B"/>
    <w:pPr>
      <w:spacing w:after="100"/>
      <w:ind w:left="1760"/>
    </w:pPr>
    <w:rPr>
      <w:rFonts w:eastAsiaTheme="minorEastAsia"/>
      <w:lang w:eastAsia="nl-BE"/>
    </w:rPr>
  </w:style>
  <w:style w:type="character" w:styleId="LineNumber">
    <w:name w:val="line number"/>
    <w:basedOn w:val="DefaultParagraphFont"/>
    <w:uiPriority w:val="99"/>
    <w:semiHidden/>
    <w:unhideWhenUsed/>
    <w:rsid w:val="000E223B"/>
  </w:style>
  <w:style w:type="character" w:styleId="FollowedHyperlink">
    <w:name w:val="FollowedHyperlink"/>
    <w:basedOn w:val="DefaultParagraphFont"/>
    <w:uiPriority w:val="99"/>
    <w:semiHidden/>
    <w:unhideWhenUsed/>
    <w:rsid w:val="009F0062"/>
    <w:rPr>
      <w:color w:val="800080" w:themeColor="followedHyperlink"/>
      <w:u w:val="single"/>
    </w:rPr>
  </w:style>
  <w:style w:type="table" w:customStyle="1" w:styleId="QTable">
    <w:name w:val="QTable"/>
    <w:uiPriority w:val="99"/>
    <w:qFormat/>
    <w:rsid w:val="009F0062"/>
    <w:pPr>
      <w:spacing w:after="0" w:line="240" w:lineRule="auto"/>
    </w:pPr>
    <w:rPr>
      <w:rFonts w:eastAsiaTheme="minorEastAsia"/>
      <w:lang w:val="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9F0062"/>
    <w:pPr>
      <w:spacing w:after="0" w:line="240" w:lineRule="auto"/>
      <w:jc w:val="center"/>
    </w:pPr>
    <w:rPr>
      <w:rFonts w:eastAsiaTheme="minorEastAsia"/>
      <w:sz w:val="20"/>
      <w:szCs w:val="20"/>
      <w:lang w:val="en-US" w:eastAsia="nl-BE"/>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QSummary">
    <w:name w:val="QSummary"/>
    <w:basedOn w:val="Normal"/>
    <w:qFormat/>
    <w:rsid w:val="009F0062"/>
    <w:pPr>
      <w:spacing w:after="0"/>
    </w:pPr>
    <w:rPr>
      <w:rFonts w:eastAsiaTheme="minorEastAsia"/>
      <w:b/>
      <w:lang w:val="en-US"/>
    </w:rPr>
  </w:style>
  <w:style w:type="paragraph" w:customStyle="1" w:styleId="QLabel">
    <w:name w:val="QLabel"/>
    <w:basedOn w:val="Normal"/>
    <w:qFormat/>
    <w:rsid w:val="009F0062"/>
    <w:pPr>
      <w:pBdr>
        <w:left w:val="single" w:sz="4" w:space="4" w:color="D9D9D9" w:themeColor="background1" w:themeShade="D9"/>
        <w:right w:val="single" w:sz="4" w:space="4" w:color="D9D9D9" w:themeColor="background1" w:themeShade="D9"/>
      </w:pBdr>
      <w:shd w:val="clear" w:color="auto" w:fill="D9D9D9" w:themeFill="background1" w:themeFillShade="D9"/>
      <w:spacing w:after="0"/>
    </w:pPr>
    <w:rPr>
      <w:rFonts w:eastAsiaTheme="minorEastAsia"/>
      <w:b/>
      <w:sz w:val="32"/>
      <w:lang w:val="en-US"/>
    </w:rPr>
  </w:style>
  <w:style w:type="table" w:customStyle="1" w:styleId="QBar">
    <w:name w:val="QBar"/>
    <w:uiPriority w:val="99"/>
    <w:qFormat/>
    <w:rsid w:val="009F0062"/>
    <w:pPr>
      <w:spacing w:after="0" w:line="240" w:lineRule="auto"/>
    </w:pPr>
    <w:rPr>
      <w:rFonts w:eastAsiaTheme="minorEastAsia"/>
      <w:sz w:val="18"/>
      <w:szCs w:val="20"/>
      <w:lang w:val="en-GB" w:eastAsia="nl-BE"/>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9F0062"/>
    <w:pPr>
      <w:spacing w:after="0" w:line="240" w:lineRule="auto"/>
    </w:pPr>
    <w:rPr>
      <w:rFonts w:eastAsiaTheme="minorEastAsia"/>
      <w:b/>
      <w:color w:val="FFFFFF" w:themeColor="background1"/>
      <w:sz w:val="20"/>
      <w:szCs w:val="20"/>
      <w:lang w:val="en-GB" w:eastAsia="nl-BE"/>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9F0062"/>
    <w:pPr>
      <w:spacing w:after="0" w:line="240" w:lineRule="auto"/>
    </w:pPr>
    <w:rPr>
      <w:rFonts w:eastAsiaTheme="minorEastAsia"/>
      <w:color w:val="FFFFFF" w:themeColor="background1"/>
      <w:lang w:val="en-US"/>
    </w:rPr>
  </w:style>
  <w:style w:type="paragraph" w:customStyle="1" w:styleId="WhiteCompositeLabel">
    <w:name w:val="WhiteCompositeLabel"/>
    <w:next w:val="Normal"/>
    <w:rsid w:val="009F0062"/>
    <w:pPr>
      <w:spacing w:before="43" w:after="43" w:line="240" w:lineRule="auto"/>
      <w:jc w:val="center"/>
    </w:pPr>
    <w:rPr>
      <w:rFonts w:ascii="Calibri" w:eastAsia="Times New Roman" w:hAnsi="Calibri" w:cs="Times New Roman"/>
      <w:b/>
      <w:color w:val="FFFFFF"/>
      <w:lang w:val="en-US"/>
    </w:rPr>
  </w:style>
  <w:style w:type="numbering" w:customStyle="1" w:styleId="Multipunch">
    <w:name w:val="Multi punch"/>
    <w:rsid w:val="009F0062"/>
    <w:pPr>
      <w:numPr>
        <w:numId w:val="55"/>
      </w:numPr>
    </w:pPr>
  </w:style>
  <w:style w:type="numbering" w:customStyle="1" w:styleId="Singlepunch">
    <w:name w:val="Single punch"/>
    <w:rsid w:val="009F0062"/>
    <w:pPr>
      <w:numPr>
        <w:numId w:val="56"/>
      </w:numPr>
    </w:pPr>
  </w:style>
  <w:style w:type="paragraph" w:customStyle="1" w:styleId="QDisplayLogic">
    <w:name w:val="QDisplayLogic"/>
    <w:basedOn w:val="Normal"/>
    <w:qFormat/>
    <w:rsid w:val="009F0062"/>
    <w:pPr>
      <w:shd w:val="clear" w:color="auto" w:fill="C5DCFF"/>
      <w:spacing w:after="0"/>
    </w:pPr>
    <w:rPr>
      <w:rFonts w:eastAsiaTheme="minorEastAsia"/>
      <w:lang w:val="en-US"/>
    </w:rPr>
  </w:style>
  <w:style w:type="paragraph" w:customStyle="1" w:styleId="QSkipLogic">
    <w:name w:val="QSkipLogic"/>
    <w:basedOn w:val="Normal"/>
    <w:qFormat/>
    <w:rsid w:val="009F0062"/>
    <w:pPr>
      <w:shd w:val="clear" w:color="auto" w:fill="D9D9D9"/>
      <w:spacing w:after="0"/>
    </w:pPr>
    <w:rPr>
      <w:rFonts w:eastAsiaTheme="minorEastAsia"/>
      <w:lang w:val="en-US"/>
    </w:rPr>
  </w:style>
  <w:style w:type="paragraph" w:customStyle="1" w:styleId="SingleLineText">
    <w:name w:val="SingleLineText"/>
    <w:next w:val="Normal"/>
    <w:rsid w:val="009F0062"/>
    <w:pPr>
      <w:spacing w:after="0" w:line="240" w:lineRule="auto"/>
    </w:pPr>
    <w:rPr>
      <w:rFonts w:eastAsiaTheme="minorEastAsia"/>
      <w:lang w:val="en-US"/>
    </w:rPr>
  </w:style>
  <w:style w:type="paragraph" w:styleId="FootnoteText">
    <w:name w:val="footnote text"/>
    <w:basedOn w:val="Normal"/>
    <w:link w:val="FootnoteTextChar"/>
    <w:uiPriority w:val="99"/>
    <w:semiHidden/>
    <w:unhideWhenUsed/>
    <w:rsid w:val="004E61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E613D"/>
    <w:rPr>
      <w:sz w:val="20"/>
      <w:szCs w:val="20"/>
    </w:rPr>
  </w:style>
  <w:style w:type="character" w:styleId="FootnoteReference">
    <w:name w:val="footnote reference"/>
    <w:basedOn w:val="DefaultParagraphFont"/>
    <w:uiPriority w:val="99"/>
    <w:semiHidden/>
    <w:unhideWhenUsed/>
    <w:rsid w:val="004E613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RelyOnCSS/>
</w:webSettings>
</file>

<file path=word/_rels/document.xml.rels><?xml version="1.0" encoding="UTF-8" standalone="yes"?>
<Relationships xmlns="http://schemas.openxmlformats.org/package/2006/relationships"><Relationship Id="rId13" Type="http://schemas.openxmlformats.org/officeDocument/2006/relationships/image" Target="media/image30.emf"/><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wiki.apache.org/hadoop/Chukwa?action=AttachFile&amp;do=view&amp;target=chukwa_cca08.pdf" TargetMode="External"/><Relationship Id="rId21" Type="http://schemas.openxmlformats.org/officeDocument/2006/relationships/image" Target="media/image7.png"/><Relationship Id="rId34" Type="http://schemas.openxmlformats.org/officeDocument/2006/relationships/hyperlink" Target="https://cwiki.apache.org/confluence/display/Hive/Home" TargetMode="External"/><Relationship Id="rId42" Type="http://schemas.openxmlformats.org/officeDocument/2006/relationships/hyperlink" Target="http://financelabblog.wordpress.com/2014/03/10/persoonlijke-benadering-klanten-via-big-data-bij-ing/" TargetMode="External"/><Relationship Id="rId47" Type="http://schemas.openxmlformats.org/officeDocument/2006/relationships/hyperlink" Target="http://www.isaca.org/chapters2/New-York-Metropolitan/membership/Documents/2012-04-30%20Spring%20Conference-Meeting/3%20Barnier%20VBA%20COBIT5.pdf" TargetMode="External"/><Relationship Id="rId50" Type="http://schemas.openxmlformats.org/officeDocument/2006/relationships/hyperlink" Target="http://pubs.opengroup.org/architecture/togaf8-doc/arch/chap08.html" TargetMode="External"/><Relationship Id="rId55" Type="http://schemas.openxmlformats.org/officeDocument/2006/relationships/image" Target="media/image21.em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yperlink" Target="https://www.facebook.com/notes/facebook/scribe-makes-its-open-source-debut/35548642130" TargetMode="External"/><Relationship Id="rId54" Type="http://schemas.openxmlformats.org/officeDocument/2006/relationships/image" Target="media/image20.emf"/><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whoswholegal.com/news/features/article/28829/basel-iii-v-dodd-frank-does-mean-us-banks/" TargetMode="External"/><Relationship Id="rId40" Type="http://schemas.openxmlformats.org/officeDocument/2006/relationships/hyperlink" Target="http://archive.cloudera.com/cdh/3/flume/Cookbook/index.html" TargetMode="External"/><Relationship Id="rId45" Type="http://schemas.openxmlformats.org/officeDocument/2006/relationships/hyperlink" Target="http://www-01.ibm.com/software/data/bigdata/use-cases.html" TargetMode="External"/><Relationship Id="rId53" Type="http://schemas.openxmlformats.org/officeDocument/2006/relationships/hyperlink" Target="http://datanews.knack.be/ict/nieuws/kbc-investeert-half-miljard-euro-in-big-data/article-4000662817321.html" TargetMode="External"/><Relationship Id="rId58"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www.arma.org/r2/generally-accepted-br-recordkeeping-principles" TargetMode="External"/><Relationship Id="rId49" Type="http://schemas.openxmlformats.org/officeDocument/2006/relationships/hyperlink" Target="http://www.dama.org/files/public/dama-dmbok_functional_framework_v3_02_20080910.pdf" TargetMode="External"/><Relationship Id="rId57" Type="http://schemas.openxmlformats.org/officeDocument/2006/relationships/image" Target="media/image23.png"/><Relationship Id="rId61"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5.png"/><Relationship Id="rId31" Type="http://schemas.openxmlformats.org/officeDocument/2006/relationships/image" Target="media/image17.jpg"/><Relationship Id="rId44" Type="http://schemas.openxmlformats.org/officeDocument/2006/relationships/hyperlink" Target="http://www.ocdqblog.com/home/data-governance-frameworks-are-like-jigsaw-puzzles.html?rq=Scott%20Berkun" TargetMode="External"/><Relationship Id="rId52" Type="http://schemas.openxmlformats.org/officeDocument/2006/relationships/hyperlink" Target="http://www.antwerpmanagementschool.be/media/287503/IT%20Gov%20theories%20and%20practices.pdf" TargetMode="External"/><Relationship Id="rId60"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mahout.apache.org/" TargetMode="External"/><Relationship Id="rId43" Type="http://schemas.openxmlformats.org/officeDocument/2006/relationships/hyperlink" Target="http://www.financialstabilityboard.org/publications/r_091107e.pdf" TargetMode="External"/><Relationship Id="rId48" Type="http://schemas.openxmlformats.org/officeDocument/2006/relationships/hyperlink" Target="http://mckinseyonmarketingandsales.com/presentation-big-data-and-advanced-analytics-16-use-cases" TargetMode="External"/><Relationship Id="rId56" Type="http://schemas.openxmlformats.org/officeDocument/2006/relationships/image" Target="media/image22.emf"/><Relationship Id="rId8" Type="http://schemas.openxmlformats.org/officeDocument/2006/relationships/endnotes" Target="endnotes.xml"/><Relationship Id="rId51" Type="http://schemas.openxmlformats.org/officeDocument/2006/relationships/hyperlink" Target="https://www.congress.gov/bill/111th-congress/house-bill/4173?q=%7B%22search%22%3A%5B%22Dodd-Frank+wall+street+reform+and+consumer+protection+act%22%5D%7D" TargetMode="External"/><Relationship Id="rId3" Type="http://schemas.openxmlformats.org/officeDocument/2006/relationships/styles" Target="styles.xml"/><Relationship Id="rId12" Type="http://schemas.openxmlformats.org/officeDocument/2006/relationships/image" Target="media/image23.emf"/><Relationship Id="rId17" Type="http://schemas.openxmlformats.org/officeDocument/2006/relationships/footer" Target="footer4.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hadoop.apache.org/docs/r0.18.0/hdfs_design.pdf" TargetMode="External"/><Relationship Id="rId46" Type="http://schemas.openxmlformats.org/officeDocument/2006/relationships/hyperlink" Target="http://www.redbooks.ibm.com/abstracts/sg248165.html?Open" TargetMode="External"/><Relationship Id="rId59"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4654F24519344AFBE9D353928FE1D6B"/>
        <w:category>
          <w:name w:val="General"/>
          <w:gallery w:val="placeholder"/>
        </w:category>
        <w:types>
          <w:type w:val="bbPlcHdr"/>
        </w:types>
        <w:behaviors>
          <w:behavior w:val="content"/>
        </w:behaviors>
        <w:guid w:val="{3C4F11ED-01AC-4F3A-9A51-77655AF4BB44}"/>
      </w:docPartPr>
      <w:docPartBody>
        <w:p w:rsidR="00864F9D" w:rsidRDefault="00184623" w:rsidP="00184623">
          <w:pPr>
            <w:pStyle w:val="04654F24519344AFBE9D353928FE1D6B"/>
          </w:pPr>
          <w:r w:rsidRPr="00F53F1D">
            <w:t>Klik en typ de titel</w:t>
          </w:r>
        </w:p>
      </w:docPartBody>
    </w:docPart>
    <w:docPart>
      <w:docPartPr>
        <w:name w:val="936A112A6A8A4C5A88030333037E6A09"/>
        <w:category>
          <w:name w:val="General"/>
          <w:gallery w:val="placeholder"/>
        </w:category>
        <w:types>
          <w:type w:val="bbPlcHdr"/>
        </w:types>
        <w:behaviors>
          <w:behavior w:val="content"/>
        </w:behaviors>
        <w:guid w:val="{E054D9A9-C062-4557-B91D-1C13627A3755}"/>
      </w:docPartPr>
      <w:docPartBody>
        <w:p w:rsidR="00864F9D" w:rsidRDefault="00184623" w:rsidP="00184623">
          <w:pPr>
            <w:pStyle w:val="936A112A6A8A4C5A88030333037E6A09"/>
          </w:pPr>
          <w:r w:rsidRPr="00831A5D">
            <w:rPr>
              <w:rStyle w:val="PlaceholderText"/>
            </w:rPr>
            <w:t>Klik en typ de subtitel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15B"/>
    <w:rsid w:val="00184623"/>
    <w:rsid w:val="001E6C83"/>
    <w:rsid w:val="002B0336"/>
    <w:rsid w:val="0061715B"/>
    <w:rsid w:val="00745D60"/>
    <w:rsid w:val="00864F9D"/>
    <w:rsid w:val="00CC2AD1"/>
    <w:rsid w:val="00D96179"/>
    <w:rsid w:val="00EC7CBE"/>
    <w:rsid w:val="00EE2CE0"/>
    <w:rsid w:val="00F4620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2ECA7FC6B444C0C9A1F45E02E74A73A">
    <w:name w:val="D2ECA7FC6B444C0C9A1F45E02E74A73A"/>
    <w:rsid w:val="0061715B"/>
  </w:style>
  <w:style w:type="paragraph" w:customStyle="1" w:styleId="0BACA1F21C6E4FD8BF5CA6E691FE5277">
    <w:name w:val="0BACA1F21C6E4FD8BF5CA6E691FE5277"/>
    <w:rsid w:val="0061715B"/>
  </w:style>
  <w:style w:type="character" w:styleId="PlaceholderText">
    <w:name w:val="Placeholder Text"/>
    <w:basedOn w:val="DefaultParagraphFont"/>
    <w:uiPriority w:val="99"/>
    <w:semiHidden/>
    <w:rsid w:val="00184623"/>
    <w:rPr>
      <w:color w:val="808080"/>
    </w:rPr>
  </w:style>
  <w:style w:type="paragraph" w:customStyle="1" w:styleId="8EBB0B3B3C144A4E9AC9E8C867067945">
    <w:name w:val="8EBB0B3B3C144A4E9AC9E8C867067945"/>
    <w:rsid w:val="0061715B"/>
  </w:style>
  <w:style w:type="paragraph" w:customStyle="1" w:styleId="859B2A6EC6054213A645808F0BAEA2C7">
    <w:name w:val="859B2A6EC6054213A645808F0BAEA2C7"/>
    <w:rsid w:val="001E6C83"/>
  </w:style>
  <w:style w:type="paragraph" w:customStyle="1" w:styleId="ABB3C21CA17C4CE1805572AE2C225D40">
    <w:name w:val="ABB3C21CA17C4CE1805572AE2C225D40"/>
    <w:rsid w:val="001E6C83"/>
  </w:style>
  <w:style w:type="paragraph" w:customStyle="1" w:styleId="04654F24519344AFBE9D353928FE1D6B">
    <w:name w:val="04654F24519344AFBE9D353928FE1D6B"/>
    <w:rsid w:val="00184623"/>
  </w:style>
  <w:style w:type="paragraph" w:customStyle="1" w:styleId="936A112A6A8A4C5A88030333037E6A09">
    <w:name w:val="936A112A6A8A4C5A88030333037E6A09"/>
    <w:rsid w:val="0018462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2ECA7FC6B444C0C9A1F45E02E74A73A">
    <w:name w:val="D2ECA7FC6B444C0C9A1F45E02E74A73A"/>
    <w:rsid w:val="0061715B"/>
  </w:style>
  <w:style w:type="paragraph" w:customStyle="1" w:styleId="0BACA1F21C6E4FD8BF5CA6E691FE5277">
    <w:name w:val="0BACA1F21C6E4FD8BF5CA6E691FE5277"/>
    <w:rsid w:val="0061715B"/>
  </w:style>
  <w:style w:type="character" w:styleId="PlaceholderText">
    <w:name w:val="Placeholder Text"/>
    <w:basedOn w:val="DefaultParagraphFont"/>
    <w:uiPriority w:val="99"/>
    <w:semiHidden/>
    <w:rsid w:val="00184623"/>
    <w:rPr>
      <w:color w:val="808080"/>
    </w:rPr>
  </w:style>
  <w:style w:type="paragraph" w:customStyle="1" w:styleId="8EBB0B3B3C144A4E9AC9E8C867067945">
    <w:name w:val="8EBB0B3B3C144A4E9AC9E8C867067945"/>
    <w:rsid w:val="0061715B"/>
  </w:style>
  <w:style w:type="paragraph" w:customStyle="1" w:styleId="859B2A6EC6054213A645808F0BAEA2C7">
    <w:name w:val="859B2A6EC6054213A645808F0BAEA2C7"/>
    <w:rsid w:val="001E6C83"/>
  </w:style>
  <w:style w:type="paragraph" w:customStyle="1" w:styleId="ABB3C21CA17C4CE1805572AE2C225D40">
    <w:name w:val="ABB3C21CA17C4CE1805572AE2C225D40"/>
    <w:rsid w:val="001E6C83"/>
  </w:style>
  <w:style w:type="paragraph" w:customStyle="1" w:styleId="04654F24519344AFBE9D353928FE1D6B">
    <w:name w:val="04654F24519344AFBE9D353928FE1D6B"/>
    <w:rsid w:val="00184623"/>
  </w:style>
  <w:style w:type="paragraph" w:customStyle="1" w:styleId="936A112A6A8A4C5A88030333037E6A09">
    <w:name w:val="936A112A6A8A4C5A88030333037E6A09"/>
    <w:rsid w:val="001846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RelyOnCSS/>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C89CFE2-A882-4353-8DA7-D4C38763398D}">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BF841A-F539-46EE-BDA1-8B2C6956D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33283</Words>
  <Characters>189715</Characters>
  <Application>Microsoft Office Word</Application>
  <DocSecurity>0</DocSecurity>
  <Lines>1580</Lines>
  <Paragraphs>445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ING</Company>
  <LinksUpToDate>false</LinksUpToDate>
  <CharactersWithSpaces>222553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dc:creator>
  <cp:lastModifiedBy>Windows User</cp:lastModifiedBy>
  <cp:revision>8</cp:revision>
  <cp:lastPrinted>2015-07-02T09:04:00Z</cp:lastPrinted>
  <dcterms:created xsi:type="dcterms:W3CDTF">2015-07-02T08:39:00Z</dcterms:created>
  <dcterms:modified xsi:type="dcterms:W3CDTF">2015-07-02T09:05:00Z</dcterms:modified>
</cp:coreProperties>
</file>