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92" w:rsidRDefault="00C12321"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3757930</wp:posOffset>
            </wp:positionV>
            <wp:extent cx="5019675" cy="2986405"/>
            <wp:effectExtent l="19050" t="0" r="9525" b="4445"/>
            <wp:wrapTight wrapText="bothSides">
              <wp:wrapPolygon edited="0">
                <wp:start x="-82" y="0"/>
                <wp:lineTo x="-82" y="21632"/>
                <wp:lineTo x="21641" y="21632"/>
                <wp:lineTo x="21641" y="0"/>
                <wp:lineTo x="-82" y="0"/>
              </wp:wrapPolygon>
            </wp:wrapTight>
            <wp:docPr id="3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0705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9pt;margin-top:216.4pt;width:430.85pt;height:22.35pt;z-index:251664384;mso-position-horizontal-relative:text;mso-position-vertical-relative:text" wrapcoords="-38 0 -38 21046 21600 21046 21600 0 -38 0" stroked="f">
            <v:textbox style="mso-fit-shape-to-text:t" inset="0,0,0,0">
              <w:txbxContent>
                <w:p w:rsidR="005A7CC4" w:rsidRPr="00117D75" w:rsidRDefault="005A7CC4" w:rsidP="005A7CC4">
                  <w:pPr>
                    <w:pStyle w:val="Bijschrift"/>
                    <w:rPr>
                      <w:rFonts w:eastAsiaTheme="minorHAnsi"/>
                      <w:noProof/>
                      <w:sz w:val="20"/>
                      <w:szCs w:val="20"/>
                    </w:rPr>
                  </w:pPr>
                  <w:r>
                    <w:t xml:space="preserve">Figuur </w:t>
                  </w:r>
                  <w:fldSimple w:instr=" SEQ Figuur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 xml:space="preserve"> </w:t>
                  </w:r>
                  <w:r w:rsidRPr="000E4D86">
                    <w:t>Gemiddelde pens-pH per week en per behandelingsgroep</w:t>
                  </w:r>
                </w:p>
              </w:txbxContent>
            </v:textbox>
            <w10:wrap type="tight"/>
          </v:shape>
        </w:pict>
      </w:r>
      <w:r w:rsidR="005A7CC4">
        <w:rPr>
          <w:noProof/>
          <w:lang w:val="nl-BE"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-99695</wp:posOffset>
            </wp:positionH>
            <wp:positionV relativeFrom="page">
              <wp:posOffset>904875</wp:posOffset>
            </wp:positionV>
            <wp:extent cx="4905375" cy="2724150"/>
            <wp:effectExtent l="19050" t="0" r="9525" b="0"/>
            <wp:wrapTight wrapText="bothSides">
              <wp:wrapPolygon edited="0">
                <wp:start x="-84" y="0"/>
                <wp:lineTo x="-84" y="21600"/>
                <wp:lineTo x="21642" y="21600"/>
                <wp:lineTo x="21642" y="0"/>
                <wp:lineTo x="-84" y="0"/>
              </wp:wrapPolygon>
            </wp:wrapTight>
            <wp:docPr id="4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070581">
        <w:rPr>
          <w:noProof/>
          <w:lang w:val="nl-BE" w:eastAsia="nl-BE"/>
        </w:rPr>
        <w:pict>
          <v:shape id="_x0000_s1027" type="#_x0000_t202" style="position:absolute;left:0;text-align:left;margin-left:-468.25pt;margin-top:605pt;width:438.6pt;height:32.7pt;z-index:251660288;mso-position-horizontal-relative:right-margin-area;mso-position-vertical-relative:page" wrapcoords="-66 0 -66 21046 21600 21046 21600 0 -66 0" o:allowoverlap="f" stroked="f">
            <v:textbox style="mso-next-textbox:#_x0000_s1027;mso-fit-shape-to-text:t" inset="0,0,0,0">
              <w:txbxContent>
                <w:p w:rsidR="005A7CC4" w:rsidRPr="0059025E" w:rsidRDefault="005A7CC4" w:rsidP="005A7CC4">
                  <w:pPr>
                    <w:pStyle w:val="Bijschrift"/>
                    <w:rPr>
                      <w:noProof/>
                      <w:sz w:val="20"/>
                      <w:szCs w:val="20"/>
                    </w:rPr>
                  </w:pPr>
                  <w:bookmarkStart w:id="0" w:name="_Ref459637202"/>
                  <w:bookmarkStart w:id="1" w:name="_Ref459637198"/>
                  <w:r>
                    <w:t xml:space="preserve">Figuur </w:t>
                  </w:r>
                  <w:fldSimple w:instr=" SEQ Figuur \* ARABIC ">
                    <w:r>
                      <w:rPr>
                        <w:noProof/>
                      </w:rPr>
                      <w:t>2</w:t>
                    </w:r>
                  </w:fldSimple>
                  <w:bookmarkEnd w:id="0"/>
                  <w:r>
                    <w:t xml:space="preserve"> </w:t>
                  </w:r>
                  <w:r w:rsidRPr="000F50DD">
                    <w:t>Gemiddelde melkproductie per week en per behandelingsgroep</w:t>
                  </w:r>
                  <w:bookmarkEnd w:id="1"/>
                </w:p>
              </w:txbxContent>
            </v:textbox>
            <w10:wrap type="tight" anchorx="page" anchory="page"/>
          </v:shape>
        </w:pict>
      </w:r>
    </w:p>
    <w:sectPr w:rsidR="00605F92" w:rsidSect="0060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5AE2DBE"/>
    <w:lvl w:ilvl="0">
      <w:start w:val="1"/>
      <w:numFmt w:val="lowerLetter"/>
      <w:pStyle w:val="Lijstnummering2"/>
      <w:lvlText w:val="%1."/>
      <w:lvlJc w:val="left"/>
      <w:pPr>
        <w:ind w:left="717" w:hanging="360"/>
      </w:pPr>
    </w:lvl>
  </w:abstractNum>
  <w:abstractNum w:abstractNumId="1">
    <w:nsid w:val="FFFFFF83"/>
    <w:multiLevelType w:val="singleLevel"/>
    <w:tmpl w:val="5BD2E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8C2690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E607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9A7740"/>
    <w:multiLevelType w:val="multilevel"/>
    <w:tmpl w:val="369A0C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>
    <w:nsid w:val="3649421A"/>
    <w:multiLevelType w:val="hybridMultilevel"/>
    <w:tmpl w:val="9432C52E"/>
    <w:lvl w:ilvl="0" w:tplc="191205C8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873F7"/>
    <w:multiLevelType w:val="multilevel"/>
    <w:tmpl w:val="7C82EFCA"/>
    <w:lvl w:ilvl="0">
      <w:start w:val="1"/>
      <w:numFmt w:val="decimal"/>
      <w:pStyle w:val="Kop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F2E40FD"/>
    <w:multiLevelType w:val="hybridMultilevel"/>
    <w:tmpl w:val="906CF564"/>
    <w:lvl w:ilvl="0" w:tplc="8A403A16">
      <w:start w:val="1"/>
      <w:numFmt w:val="bullet"/>
      <w:pStyle w:val="Lijstopsomteken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plc="0813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CC4"/>
    <w:rsid w:val="00070581"/>
    <w:rsid w:val="001E66CB"/>
    <w:rsid w:val="002353B3"/>
    <w:rsid w:val="00323A7B"/>
    <w:rsid w:val="00325524"/>
    <w:rsid w:val="005A7CC4"/>
    <w:rsid w:val="00605F92"/>
    <w:rsid w:val="0086512A"/>
    <w:rsid w:val="00943B84"/>
    <w:rsid w:val="009C1B6E"/>
    <w:rsid w:val="009F14E4"/>
    <w:rsid w:val="00A45532"/>
    <w:rsid w:val="00B95C25"/>
    <w:rsid w:val="00BB5185"/>
    <w:rsid w:val="00BF0B52"/>
    <w:rsid w:val="00C12321"/>
    <w:rsid w:val="00D53D4E"/>
    <w:rsid w:val="00D94DEF"/>
    <w:rsid w:val="00E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List Bullet 2" w:uiPriority="0" w:qFormat="1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 w:qFormat="1"/>
    <w:lsdException w:name="List Continue 2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32EB"/>
    <w:pPr>
      <w:spacing w:after="240" w:line="360" w:lineRule="auto"/>
      <w:jc w:val="both"/>
    </w:pPr>
    <w:rPr>
      <w:rFonts w:asciiTheme="minorHAnsi" w:hAnsiTheme="minorHAnsi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F32EB"/>
    <w:pPr>
      <w:pageBreakBefore/>
      <w:numPr>
        <w:numId w:val="4"/>
      </w:numPr>
      <w:spacing w:after="120"/>
      <w:outlineLvl w:val="0"/>
    </w:pPr>
    <w:rPr>
      <w:rFonts w:eastAsia="Times New Roman" w:cs="Times New Roman"/>
      <w:b/>
      <w:smallCaps/>
      <w:kern w:val="32"/>
      <w:sz w:val="32"/>
    </w:rPr>
  </w:style>
  <w:style w:type="paragraph" w:styleId="Kop2">
    <w:name w:val="heading 2"/>
    <w:basedOn w:val="Standaard"/>
    <w:next w:val="Standaard"/>
    <w:link w:val="Kop2Char"/>
    <w:qFormat/>
    <w:rsid w:val="00EF32EB"/>
    <w:pPr>
      <w:keepNext/>
      <w:numPr>
        <w:ilvl w:val="1"/>
        <w:numId w:val="4"/>
      </w:numPr>
      <w:spacing w:before="360"/>
      <w:outlineLvl w:val="1"/>
    </w:pPr>
    <w:rPr>
      <w:rFonts w:ascii="Verdana" w:eastAsia="Times New Roman" w:hAnsi="Verdana" w:cs="Times New Roman"/>
      <w:b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qFormat/>
    <w:rsid w:val="00EF32EB"/>
    <w:pPr>
      <w:keepNext/>
      <w:numPr>
        <w:ilvl w:val="2"/>
        <w:numId w:val="4"/>
      </w:numPr>
      <w:outlineLvl w:val="2"/>
    </w:pPr>
    <w:rPr>
      <w:rFonts w:eastAsia="Times New Roman" w:cs="Times New Roman"/>
      <w:b/>
    </w:rPr>
  </w:style>
  <w:style w:type="paragraph" w:styleId="Kop4">
    <w:name w:val="heading 4"/>
    <w:basedOn w:val="Standaard"/>
    <w:next w:val="Standaard"/>
    <w:link w:val="Kop4Char"/>
    <w:qFormat/>
    <w:rsid w:val="00EF32EB"/>
    <w:pPr>
      <w:keepNext/>
      <w:numPr>
        <w:ilvl w:val="3"/>
        <w:numId w:val="4"/>
      </w:numPr>
      <w:outlineLvl w:val="3"/>
    </w:pPr>
    <w:rPr>
      <w:rFonts w:ascii="Verdana" w:eastAsia="Times New Roman" w:hAnsi="Verdana" w:cs="Times New Roman"/>
    </w:rPr>
  </w:style>
  <w:style w:type="paragraph" w:styleId="Kop5">
    <w:name w:val="heading 5"/>
    <w:basedOn w:val="Standaard"/>
    <w:next w:val="Standaard"/>
    <w:link w:val="Kop5Char"/>
    <w:qFormat/>
    <w:rsid w:val="00EF32EB"/>
    <w:pPr>
      <w:keepNext/>
      <w:outlineLvl w:val="4"/>
    </w:pPr>
    <w:rPr>
      <w:rFonts w:ascii="Verdana" w:eastAsia="Times New Roman" w:hAnsi="Verdana" w:cs="Times New Roman"/>
    </w:rPr>
  </w:style>
  <w:style w:type="paragraph" w:styleId="Kop6">
    <w:name w:val="heading 6"/>
    <w:basedOn w:val="Standaard"/>
    <w:next w:val="Standaard"/>
    <w:link w:val="Kop6Char"/>
    <w:qFormat/>
    <w:rsid w:val="00EF32EB"/>
    <w:pPr>
      <w:keepNext/>
      <w:outlineLvl w:val="5"/>
    </w:pPr>
    <w:rPr>
      <w:rFonts w:ascii="Verdana" w:eastAsia="Times New Roman" w:hAnsi="Verdana" w:cs="Times New Roman"/>
      <w:i/>
    </w:rPr>
  </w:style>
  <w:style w:type="paragraph" w:styleId="Kop7">
    <w:name w:val="heading 7"/>
    <w:basedOn w:val="Standaard"/>
    <w:next w:val="Standaard"/>
    <w:link w:val="Kop7Char"/>
    <w:qFormat/>
    <w:rsid w:val="00EF32EB"/>
    <w:pPr>
      <w:keepNext/>
      <w:outlineLvl w:val="6"/>
    </w:pPr>
    <w:rPr>
      <w:rFonts w:ascii="Verdana" w:eastAsia="Times New Roman" w:hAnsi="Verdana" w:cs="Times New Roman"/>
    </w:rPr>
  </w:style>
  <w:style w:type="paragraph" w:styleId="Kop8">
    <w:name w:val="heading 8"/>
    <w:basedOn w:val="Standaard"/>
    <w:next w:val="Standaard"/>
    <w:link w:val="Kop8Char"/>
    <w:qFormat/>
    <w:rsid w:val="00EF32EB"/>
    <w:pPr>
      <w:keepNext/>
      <w:outlineLvl w:val="7"/>
    </w:pPr>
    <w:rPr>
      <w:rFonts w:ascii="Verdana" w:eastAsia="Times New Roman" w:hAnsi="Verdana" w:cs="Times New Roman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F32EB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0072DB" w:themeColor="text1" w:themeTint="BF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32EB"/>
    <w:rPr>
      <w:rFonts w:asciiTheme="minorHAnsi" w:eastAsia="Times New Roman" w:hAnsiTheme="minorHAnsi" w:cs="Times New Roman"/>
      <w:b/>
      <w:smallCaps/>
      <w:kern w:val="32"/>
      <w:sz w:val="32"/>
      <w:lang w:val="nl-NL" w:eastAsia="en-US"/>
    </w:rPr>
  </w:style>
  <w:style w:type="character" w:customStyle="1" w:styleId="Kop2Char">
    <w:name w:val="Kop 2 Char"/>
    <w:basedOn w:val="Standaardalinea-lettertype"/>
    <w:link w:val="Kop2"/>
    <w:rsid w:val="00EF32EB"/>
    <w:rPr>
      <w:rFonts w:ascii="Verdana" w:eastAsia="Times New Roman" w:hAnsi="Verdana" w:cs="Times New Roman"/>
      <w:b/>
      <w:bCs/>
      <w:iCs/>
      <w:sz w:val="24"/>
      <w:szCs w:val="28"/>
      <w:lang w:val="nl-NL" w:eastAsia="en-US"/>
    </w:rPr>
  </w:style>
  <w:style w:type="character" w:customStyle="1" w:styleId="Kop3Char">
    <w:name w:val="Kop 3 Char"/>
    <w:basedOn w:val="Standaardalinea-lettertype"/>
    <w:link w:val="Kop3"/>
    <w:rsid w:val="00EF32EB"/>
    <w:rPr>
      <w:rFonts w:asciiTheme="minorHAnsi" w:eastAsia="Times New Roman" w:hAnsiTheme="minorHAnsi" w:cs="Times New Roman"/>
      <w:b/>
      <w:lang w:val="nl-NL" w:eastAsia="en-US"/>
    </w:rPr>
  </w:style>
  <w:style w:type="character" w:customStyle="1" w:styleId="Kop4Char">
    <w:name w:val="Kop 4 Char"/>
    <w:basedOn w:val="Standaardalinea-lettertype"/>
    <w:link w:val="Kop4"/>
    <w:rsid w:val="00EF32EB"/>
    <w:rPr>
      <w:rFonts w:ascii="Verdana" w:eastAsia="Times New Roman" w:hAnsi="Verdana" w:cs="Times New Roman"/>
      <w:lang w:val="nl-NL" w:eastAsia="en-US"/>
    </w:rPr>
  </w:style>
  <w:style w:type="character" w:customStyle="1" w:styleId="Kop5Char">
    <w:name w:val="Kop 5 Char"/>
    <w:basedOn w:val="Standaardalinea-lettertype"/>
    <w:link w:val="Kop5"/>
    <w:rsid w:val="00EF32EB"/>
    <w:rPr>
      <w:rFonts w:ascii="Verdana" w:eastAsia="Times New Roman" w:hAnsi="Verdana" w:cs="Times New Roman"/>
      <w:lang w:val="nl-NL" w:eastAsia="en-US"/>
    </w:rPr>
  </w:style>
  <w:style w:type="character" w:customStyle="1" w:styleId="Kop6Char">
    <w:name w:val="Kop 6 Char"/>
    <w:basedOn w:val="Standaardalinea-lettertype"/>
    <w:link w:val="Kop6"/>
    <w:rsid w:val="00EF32EB"/>
    <w:rPr>
      <w:rFonts w:ascii="Verdana" w:eastAsia="Times New Roman" w:hAnsi="Verdana" w:cs="Times New Roman"/>
      <w:i/>
      <w:lang w:val="nl-NL" w:eastAsia="en-US"/>
    </w:rPr>
  </w:style>
  <w:style w:type="character" w:customStyle="1" w:styleId="Kop7Char">
    <w:name w:val="Kop 7 Char"/>
    <w:basedOn w:val="Standaardalinea-lettertype"/>
    <w:link w:val="Kop7"/>
    <w:rsid w:val="00EF32EB"/>
    <w:rPr>
      <w:rFonts w:ascii="Verdana" w:eastAsia="Times New Roman" w:hAnsi="Verdana" w:cs="Times New Roman"/>
      <w:lang w:val="nl-NL" w:eastAsia="en-US"/>
    </w:rPr>
  </w:style>
  <w:style w:type="character" w:customStyle="1" w:styleId="Kop8Char">
    <w:name w:val="Kop 8 Char"/>
    <w:basedOn w:val="Standaardalinea-lettertype"/>
    <w:link w:val="Kop8"/>
    <w:rsid w:val="00EF32EB"/>
    <w:rPr>
      <w:rFonts w:ascii="Verdana" w:eastAsia="Times New Roman" w:hAnsi="Verdana" w:cs="Times New Roman"/>
      <w:lang w:val="nl-NL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F32EB"/>
    <w:rPr>
      <w:rFonts w:asciiTheme="majorHAnsi" w:eastAsiaTheme="majorEastAsia" w:hAnsiTheme="majorHAnsi" w:cstheme="majorBidi"/>
      <w:i/>
      <w:iCs/>
      <w:color w:val="0072DB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EF32EB"/>
    <w:pPr>
      <w:spacing w:before="120" w:after="120" w:line="240" w:lineRule="auto"/>
    </w:pPr>
    <w:rPr>
      <w:rFonts w:eastAsia="Times New Roman" w:cs="Times New Roman"/>
      <w:bCs/>
      <w:i/>
      <w:sz w:val="18"/>
      <w:szCs w:val="18"/>
    </w:rPr>
  </w:style>
  <w:style w:type="paragraph" w:styleId="Lijstopsomteken">
    <w:name w:val="List Bullet"/>
    <w:basedOn w:val="Standaard"/>
    <w:qFormat/>
    <w:rsid w:val="00EF32EB"/>
    <w:pPr>
      <w:numPr>
        <w:numId w:val="7"/>
      </w:numPr>
      <w:contextualSpacing/>
    </w:pPr>
    <w:rPr>
      <w:rFonts w:eastAsia="Times New Roman" w:cs="Times New Roman"/>
    </w:rPr>
  </w:style>
  <w:style w:type="paragraph" w:styleId="Lijstnummering">
    <w:name w:val="List Number"/>
    <w:basedOn w:val="Standaard"/>
    <w:qFormat/>
    <w:rsid w:val="00EF32EB"/>
    <w:pPr>
      <w:numPr>
        <w:numId w:val="9"/>
      </w:numPr>
      <w:contextualSpacing/>
    </w:pPr>
    <w:rPr>
      <w:rFonts w:eastAsia="Times New Roman" w:cs="Times New Roman"/>
    </w:rPr>
  </w:style>
  <w:style w:type="paragraph" w:styleId="Lijstopsomteken2">
    <w:name w:val="List Bullet 2"/>
    <w:basedOn w:val="Standaard"/>
    <w:qFormat/>
    <w:rsid w:val="00EF32EB"/>
    <w:pPr>
      <w:numPr>
        <w:numId w:val="11"/>
      </w:numPr>
      <w:contextualSpacing/>
    </w:pPr>
    <w:rPr>
      <w:rFonts w:eastAsia="Times New Roman" w:cs="Times New Roman"/>
    </w:rPr>
  </w:style>
  <w:style w:type="paragraph" w:styleId="Lijstnummering2">
    <w:name w:val="List Number 2"/>
    <w:basedOn w:val="Standaard"/>
    <w:qFormat/>
    <w:rsid w:val="00EF32EB"/>
    <w:pPr>
      <w:numPr>
        <w:numId w:val="13"/>
      </w:numPr>
      <w:contextualSpacing/>
    </w:pPr>
    <w:rPr>
      <w:rFonts w:eastAsia="Times New Roman" w:cs="Times New Roman"/>
    </w:rPr>
  </w:style>
  <w:style w:type="paragraph" w:styleId="Titel">
    <w:name w:val="Title"/>
    <w:basedOn w:val="Standaard"/>
    <w:next w:val="Standaard"/>
    <w:link w:val="TitelChar"/>
    <w:qFormat/>
    <w:rsid w:val="00EF32EB"/>
    <w:pPr>
      <w:tabs>
        <w:tab w:val="left" w:pos="851"/>
      </w:tabs>
      <w:spacing w:after="480"/>
      <w:ind w:left="851" w:hanging="851"/>
      <w:contextualSpacing/>
    </w:pPr>
    <w:rPr>
      <w:rFonts w:ascii="Arial" w:eastAsiaTheme="majorEastAsia" w:hAnsi="Arial" w:cstheme="majorBidi"/>
      <w:b/>
      <w:kern w:val="28"/>
      <w:sz w:val="28"/>
      <w:szCs w:val="52"/>
      <w:lang w:val="nl-BE" w:eastAsia="nl-BE"/>
    </w:rPr>
  </w:style>
  <w:style w:type="character" w:customStyle="1" w:styleId="TitelChar">
    <w:name w:val="Titel Char"/>
    <w:basedOn w:val="Standaardalinea-lettertype"/>
    <w:link w:val="Titel"/>
    <w:rsid w:val="00EF32EB"/>
    <w:rPr>
      <w:rFonts w:eastAsiaTheme="majorEastAsia" w:cstheme="majorBidi"/>
      <w:b/>
      <w:kern w:val="28"/>
      <w:sz w:val="28"/>
      <w:szCs w:val="52"/>
    </w:rPr>
  </w:style>
  <w:style w:type="paragraph" w:styleId="Plattetekst">
    <w:name w:val="Body Text"/>
    <w:basedOn w:val="Standaard"/>
    <w:link w:val="PlattetekstChar"/>
    <w:uiPriority w:val="1"/>
    <w:qFormat/>
    <w:rsid w:val="00EF32EB"/>
    <w:pPr>
      <w:autoSpaceDE w:val="0"/>
      <w:autoSpaceDN w:val="0"/>
      <w:adjustRightInd w:val="0"/>
      <w:spacing w:after="0" w:line="240" w:lineRule="auto"/>
      <w:ind w:left="168"/>
      <w:jc w:val="left"/>
    </w:pPr>
    <w:rPr>
      <w:rFonts w:ascii="Times New Roman" w:eastAsia="Times New Roman" w:hAnsi="Times New Roman" w:cs="Times New Roman"/>
      <w:sz w:val="16"/>
      <w:szCs w:val="16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F32EB"/>
    <w:rPr>
      <w:rFonts w:ascii="Times New Roman" w:eastAsia="Times New Roman" w:hAnsi="Times New Roman" w:cs="Times New Roman"/>
      <w:sz w:val="16"/>
      <w:szCs w:val="16"/>
    </w:rPr>
  </w:style>
  <w:style w:type="paragraph" w:styleId="Lijstvoortzetting">
    <w:name w:val="List Continue"/>
    <w:basedOn w:val="Standaard"/>
    <w:qFormat/>
    <w:rsid w:val="00EF32EB"/>
    <w:pPr>
      <w:ind w:left="357"/>
      <w:contextualSpacing/>
    </w:pPr>
    <w:rPr>
      <w:rFonts w:eastAsia="Times New Roman" w:cs="Times New Roman"/>
    </w:rPr>
  </w:style>
  <w:style w:type="paragraph" w:styleId="Lijstvoortzetting2">
    <w:name w:val="List Continue 2"/>
    <w:basedOn w:val="Standaard"/>
    <w:qFormat/>
    <w:rsid w:val="00EF32EB"/>
    <w:pPr>
      <w:ind w:left="709"/>
      <w:contextualSpacing/>
    </w:pPr>
    <w:rPr>
      <w:rFonts w:eastAsia="Times New Roman" w:cs="Times New Roman"/>
    </w:rPr>
  </w:style>
  <w:style w:type="paragraph" w:styleId="Subtitel">
    <w:name w:val="Subtitle"/>
    <w:aliases w:val="Ondertitel"/>
    <w:basedOn w:val="Standaard"/>
    <w:next w:val="Standaard"/>
    <w:link w:val="SubtitelChar"/>
    <w:uiPriority w:val="11"/>
    <w:qFormat/>
    <w:rsid w:val="00EF32EB"/>
    <w:pPr>
      <w:numPr>
        <w:ilvl w:val="1"/>
      </w:numPr>
      <w:spacing w:before="480"/>
    </w:pPr>
    <w:rPr>
      <w:rFonts w:ascii="Arial" w:eastAsiaTheme="majorEastAsia" w:hAnsi="Arial" w:cstheme="majorBidi"/>
      <w:b/>
      <w:iCs/>
      <w:sz w:val="24"/>
      <w:szCs w:val="24"/>
      <w:lang w:val="nl-BE" w:eastAsia="nl-BE"/>
    </w:rPr>
  </w:style>
  <w:style w:type="character" w:customStyle="1" w:styleId="SubtitelChar">
    <w:name w:val="Subtitel Char"/>
    <w:aliases w:val="Ondertitel Char"/>
    <w:basedOn w:val="Standaardalinea-lettertype"/>
    <w:link w:val="Subtitel"/>
    <w:uiPriority w:val="11"/>
    <w:rsid w:val="00EF32EB"/>
    <w:rPr>
      <w:rFonts w:eastAsiaTheme="majorEastAsia" w:cstheme="majorBidi"/>
      <w:b/>
      <w:iCs/>
      <w:sz w:val="24"/>
      <w:szCs w:val="24"/>
    </w:rPr>
  </w:style>
  <w:style w:type="character" w:styleId="Zwaar">
    <w:name w:val="Strong"/>
    <w:basedOn w:val="Standaardalinea-lettertype"/>
    <w:qFormat/>
    <w:rsid w:val="00EF32EB"/>
    <w:rPr>
      <w:b/>
      <w:bCs/>
    </w:rPr>
  </w:style>
  <w:style w:type="character" w:styleId="Nadruk">
    <w:name w:val="Emphasis"/>
    <w:basedOn w:val="Standaardalinea-lettertype"/>
    <w:qFormat/>
    <w:rsid w:val="00EF32EB"/>
    <w:rPr>
      <w:i/>
      <w:iCs/>
    </w:rPr>
  </w:style>
  <w:style w:type="paragraph" w:styleId="Geenafstand">
    <w:name w:val="No Spacing"/>
    <w:qFormat/>
    <w:rsid w:val="00EF32EB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EF32EB"/>
    <w:pPr>
      <w:ind w:left="720"/>
      <w:contextualSpacing/>
    </w:pPr>
    <w:rPr>
      <w:rFonts w:eastAsia="Times New Roman" w:cs="Times New Roman"/>
    </w:rPr>
  </w:style>
  <w:style w:type="paragraph" w:styleId="Citaat">
    <w:name w:val="Quote"/>
    <w:basedOn w:val="Standaard"/>
    <w:next w:val="Standaard"/>
    <w:link w:val="CitaatChar"/>
    <w:uiPriority w:val="29"/>
    <w:qFormat/>
    <w:rsid w:val="00EF32EB"/>
    <w:pPr>
      <w:spacing w:before="120" w:after="120"/>
      <w:ind w:left="357"/>
    </w:pPr>
    <w:rPr>
      <w:rFonts w:ascii="Arial" w:hAnsi="Arial"/>
      <w:i/>
      <w:iCs/>
      <w:color w:val="00407A" w:themeColor="text1"/>
      <w:lang w:val="nl-BE" w:eastAsia="nl-BE"/>
    </w:rPr>
  </w:style>
  <w:style w:type="character" w:customStyle="1" w:styleId="CitaatChar">
    <w:name w:val="Citaat Char"/>
    <w:basedOn w:val="Standaardalinea-lettertype"/>
    <w:link w:val="Citaat"/>
    <w:uiPriority w:val="29"/>
    <w:rsid w:val="00EF32EB"/>
    <w:rPr>
      <w:i/>
      <w:iCs/>
      <w:color w:val="00407A" w:themeColor="text1"/>
    </w:rPr>
  </w:style>
  <w:style w:type="paragraph" w:styleId="Kopvaninhoudsopgave">
    <w:name w:val="TOC Heading"/>
    <w:basedOn w:val="Standaard"/>
    <w:next w:val="Standaard"/>
    <w:uiPriority w:val="39"/>
    <w:semiHidden/>
    <w:qFormat/>
    <w:rsid w:val="00EF32EB"/>
    <w:pPr>
      <w:spacing w:after="720"/>
    </w:pPr>
    <w:rPr>
      <w:rFonts w:eastAsia="Times New Roman" w:cs="Times New Roman"/>
      <w:b/>
      <w:sz w:val="28"/>
      <w:szCs w:val="28"/>
    </w:rPr>
  </w:style>
  <w:style w:type="paragraph" w:customStyle="1" w:styleId="CoverTitel">
    <w:name w:val="_CoverTitel"/>
    <w:basedOn w:val="Standaard"/>
    <w:semiHidden/>
    <w:qFormat/>
    <w:rsid w:val="00EF32EB"/>
    <w:rPr>
      <w:rFonts w:eastAsia="Times New Roman" w:cs="Times New Roman"/>
      <w:color w:val="1D8DB0"/>
      <w:sz w:val="80"/>
      <w:szCs w:val="80"/>
    </w:rPr>
  </w:style>
  <w:style w:type="paragraph" w:customStyle="1" w:styleId="CoverSubtitel">
    <w:name w:val="_CoverSubtitel"/>
    <w:basedOn w:val="Standaard"/>
    <w:semiHidden/>
    <w:qFormat/>
    <w:rsid w:val="00EF32EB"/>
    <w:rPr>
      <w:rFonts w:eastAsia="Times New Roman" w:cs="Times New Roman"/>
      <w:sz w:val="40"/>
      <w:szCs w:val="40"/>
    </w:rPr>
  </w:style>
  <w:style w:type="paragraph" w:customStyle="1" w:styleId="BackCoverAdres1">
    <w:name w:val="_BackCover_Adres1"/>
    <w:basedOn w:val="Standaard"/>
    <w:semiHidden/>
    <w:qFormat/>
    <w:rsid w:val="00EF32EB"/>
    <w:pPr>
      <w:spacing w:line="150" w:lineRule="exact"/>
      <w:jc w:val="right"/>
    </w:pPr>
    <w:rPr>
      <w:rFonts w:eastAsia="Times New Roman" w:cs="Times New Roman"/>
      <w:caps/>
      <w:sz w:val="14"/>
      <w:szCs w:val="24"/>
    </w:rPr>
  </w:style>
  <w:style w:type="paragraph" w:customStyle="1" w:styleId="CoverKoptekst">
    <w:name w:val="_CoverKoptekst"/>
    <w:basedOn w:val="Standaard"/>
    <w:semiHidden/>
    <w:qFormat/>
    <w:rsid w:val="00EF32EB"/>
    <w:pPr>
      <w:jc w:val="right"/>
    </w:pPr>
    <w:rPr>
      <w:rFonts w:eastAsia="Times New Roman" w:cs="Times New Roman"/>
      <w:caps/>
      <w:color w:val="FFFFFF" w:themeColor="background1"/>
      <w:sz w:val="24"/>
    </w:rPr>
  </w:style>
  <w:style w:type="paragraph" w:customStyle="1" w:styleId="BackcoverAdres2">
    <w:name w:val="_Backcover_Adres2"/>
    <w:basedOn w:val="BackCoverAdres1"/>
    <w:semiHidden/>
    <w:qFormat/>
    <w:rsid w:val="00EF32EB"/>
    <w:rPr>
      <w:caps w:val="0"/>
    </w:rPr>
  </w:style>
  <w:style w:type="paragraph" w:customStyle="1" w:styleId="CoverAuteur">
    <w:name w:val="_CoverAuteur"/>
    <w:basedOn w:val="Standaard"/>
    <w:semiHidden/>
    <w:qFormat/>
    <w:rsid w:val="00EF32EB"/>
    <w:pPr>
      <w:jc w:val="right"/>
    </w:pPr>
    <w:rPr>
      <w:rFonts w:eastAsia="Calibri" w:cs="Arial"/>
      <w:b/>
      <w:bCs/>
      <w:sz w:val="28"/>
      <w:szCs w:val="24"/>
    </w:rPr>
  </w:style>
  <w:style w:type="paragraph" w:customStyle="1" w:styleId="CoverSubtekst">
    <w:name w:val="_CoverSubtekst"/>
    <w:basedOn w:val="Standaard"/>
    <w:semiHidden/>
    <w:qFormat/>
    <w:rsid w:val="00EF32EB"/>
    <w:pPr>
      <w:jc w:val="right"/>
    </w:pPr>
    <w:rPr>
      <w:rFonts w:eastAsia="Times New Roman" w:cs="Times New Roman"/>
      <w:sz w:val="24"/>
      <w:szCs w:val="24"/>
    </w:rPr>
  </w:style>
  <w:style w:type="paragraph" w:customStyle="1" w:styleId="Titel0">
    <w:name w:val="_Titel"/>
    <w:basedOn w:val="Standaard"/>
    <w:next w:val="Standaard"/>
    <w:qFormat/>
    <w:rsid w:val="00EF32EB"/>
    <w:pPr>
      <w:spacing w:after="720"/>
    </w:pPr>
    <w:rPr>
      <w:rFonts w:asciiTheme="majorHAnsi" w:eastAsia="Times New Roman" w:hAnsiTheme="majorHAnsi" w:cstheme="majorHAnsi"/>
      <w:b/>
      <w:sz w:val="28"/>
    </w:rPr>
  </w:style>
  <w:style w:type="paragraph" w:customStyle="1" w:styleId="Titelinhoudsopgave">
    <w:name w:val="_Titelinhoudsopgave"/>
    <w:basedOn w:val="Titel0"/>
    <w:next w:val="Standaard"/>
    <w:qFormat/>
    <w:rsid w:val="00EF32EB"/>
  </w:style>
  <w:style w:type="paragraph" w:customStyle="1" w:styleId="BACKCOVERAdres20">
    <w:name w:val="_BACKCOVER_Adres2"/>
    <w:basedOn w:val="BackCoverAdres1"/>
    <w:semiHidden/>
    <w:qFormat/>
    <w:rsid w:val="00EF32EB"/>
    <w:rPr>
      <w:caps w:val="0"/>
    </w:rPr>
  </w:style>
  <w:style w:type="paragraph" w:customStyle="1" w:styleId="TableParagraph">
    <w:name w:val="Table Paragraph"/>
    <w:basedOn w:val="Standaard"/>
    <w:uiPriority w:val="1"/>
    <w:qFormat/>
    <w:rsid w:val="00EF32EB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Opmaakprofiel1">
    <w:name w:val="Opmaakprofiel1"/>
    <w:basedOn w:val="Standaard"/>
    <w:link w:val="Opmaakprofiel1Char"/>
    <w:qFormat/>
    <w:rsid w:val="00EF32EB"/>
    <w:pPr>
      <w:spacing w:line="240" w:lineRule="auto"/>
      <w:jc w:val="left"/>
      <w:outlineLvl w:val="0"/>
    </w:pPr>
    <w:rPr>
      <w:rFonts w:eastAsia="Times New Roman" w:cs="Times New Roman"/>
      <w:b/>
      <w:smallCaps/>
      <w:sz w:val="32"/>
      <w:lang w:val="nl-BE"/>
    </w:rPr>
  </w:style>
  <w:style w:type="character" w:customStyle="1" w:styleId="Opmaakprofiel1Char">
    <w:name w:val="Opmaakprofiel1 Char"/>
    <w:basedOn w:val="Standaardalinea-lettertype"/>
    <w:link w:val="Opmaakprofiel1"/>
    <w:rsid w:val="00EF32EB"/>
    <w:rPr>
      <w:rFonts w:asciiTheme="minorHAnsi" w:eastAsia="Times New Roman" w:hAnsiTheme="minorHAnsi" w:cs="Times New Roman"/>
      <w:b/>
      <w:smallCaps/>
      <w:sz w:val="3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CC4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Office_Excel-werkblad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Office_Excel-werkblad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BE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50"/>
            </a:pPr>
            <a:r>
              <a:rPr lang="nl-BE" sz="1100">
                <a:latin typeface="Arial" pitchFamily="34" charset="0"/>
                <a:cs typeface="Arial" pitchFamily="34" charset="0"/>
              </a:rPr>
              <a:t>Gemiddelde weekproductie</a:t>
            </a:r>
          </a:p>
        </c:rich>
      </c:tx>
      <c:layout>
        <c:manualLayout>
          <c:xMode val="edge"/>
          <c:yMode val="edge"/>
          <c:x val="0.33244875367544946"/>
          <c:y val="2.9441753546488172E-2"/>
        </c:manualLayout>
      </c:layout>
    </c:title>
    <c:plotArea>
      <c:layout>
        <c:manualLayout>
          <c:layoutTarget val="inner"/>
          <c:xMode val="edge"/>
          <c:yMode val="edge"/>
          <c:x val="0.17537549664909841"/>
          <c:y val="0.10823950535844944"/>
          <c:w val="0.76679506143326026"/>
          <c:h val="0.66596796090143906"/>
        </c:manualLayout>
      </c:layout>
      <c:barChart>
        <c:barDir val="col"/>
        <c:grouping val="clustered"/>
        <c:ser>
          <c:idx val="0"/>
          <c:order val="0"/>
          <c:tx>
            <c:strRef>
              <c:f>Blad1!$B$1</c:f>
              <c:strCache>
                <c:ptCount val="1"/>
                <c:pt idx="0">
                  <c:v>Bolusdieren, behandeld</c:v>
                </c:pt>
              </c:strCache>
            </c:strRef>
          </c:tx>
          <c:errBars>
            <c:errBarType val="both"/>
            <c:errValType val="cust"/>
            <c:plus>
              <c:numRef>
                <c:f>Blad1!$B$14:$B$24</c:f>
              </c:numRef>
            </c:plus>
            <c:minus>
              <c:numRef>
                <c:f>Blad1!$B$14:$B$24</c:f>
              </c:numRef>
            </c:minus>
          </c:errBars>
          <c:cat>
            <c:strRef>
              <c:f>Blad1!$A$2:$A$12</c:f>
              <c:strCache>
                <c:ptCount val="11"/>
                <c:pt idx="0">
                  <c:v>Week1</c:v>
                </c:pt>
                <c:pt idx="1">
                  <c:v>Week2</c:v>
                </c:pt>
                <c:pt idx="2">
                  <c:v>Week3</c:v>
                </c:pt>
                <c:pt idx="3">
                  <c:v>Week4</c:v>
                </c:pt>
                <c:pt idx="4">
                  <c:v>Week5</c:v>
                </c:pt>
                <c:pt idx="5">
                  <c:v>Week6</c:v>
                </c:pt>
                <c:pt idx="6">
                  <c:v>Week7</c:v>
                </c:pt>
                <c:pt idx="7">
                  <c:v>Week8</c:v>
                </c:pt>
                <c:pt idx="8">
                  <c:v>Week9</c:v>
                </c:pt>
                <c:pt idx="9">
                  <c:v>Week10</c:v>
                </c:pt>
                <c:pt idx="10">
                  <c:v>Week11</c:v>
                </c:pt>
              </c:strCache>
            </c:strRef>
          </c:cat>
          <c:val>
            <c:numRef>
              <c:f>Blad1!$B$2:$B$12</c:f>
            </c:numRef>
          </c:val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Bolusdieren, controle</c:v>
                </c:pt>
              </c:strCache>
            </c:strRef>
          </c:tx>
          <c:errBars>
            <c:errBarType val="both"/>
            <c:errValType val="cust"/>
            <c:plus>
              <c:numRef>
                <c:f>Blad1!$C$14:$C$24</c:f>
              </c:numRef>
            </c:plus>
            <c:minus>
              <c:numRef>
                <c:f>Blad1!$C$14:$C$24</c:f>
              </c:numRef>
            </c:minus>
          </c:errBars>
          <c:cat>
            <c:strRef>
              <c:f>Blad1!$A$2:$A$12</c:f>
              <c:strCache>
                <c:ptCount val="11"/>
                <c:pt idx="0">
                  <c:v>Week1</c:v>
                </c:pt>
                <c:pt idx="1">
                  <c:v>Week2</c:v>
                </c:pt>
                <c:pt idx="2">
                  <c:v>Week3</c:v>
                </c:pt>
                <c:pt idx="3">
                  <c:v>Week4</c:v>
                </c:pt>
                <c:pt idx="4">
                  <c:v>Week5</c:v>
                </c:pt>
                <c:pt idx="5">
                  <c:v>Week6</c:v>
                </c:pt>
                <c:pt idx="6">
                  <c:v>Week7</c:v>
                </c:pt>
                <c:pt idx="7">
                  <c:v>Week8</c:v>
                </c:pt>
                <c:pt idx="8">
                  <c:v>Week9</c:v>
                </c:pt>
                <c:pt idx="9">
                  <c:v>Week10</c:v>
                </c:pt>
                <c:pt idx="10">
                  <c:v>Week11</c:v>
                </c:pt>
              </c:strCache>
            </c:strRef>
          </c:cat>
          <c:val>
            <c:numRef>
              <c:f>Blad1!$C$2:$C$12</c:f>
            </c:numRef>
          </c:val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Bicarbonaatgroep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6.57036749772693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0168977974475565E-17"/>
                  <c:y val="-7.8844409972721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8.67288509699944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9.46132919672652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8.67288509699944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9.19851449681746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8.033795594895081E-17"/>
                  <c:y val="-8.14725569718116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7.62162629736304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7.62162629736304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8.41007039709025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-8.93569979690868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plus>
              <c:numRef>
                <c:f>Blad1!$D$14:$D$24</c:f>
                <c:numCache>
                  <c:formatCode>General</c:formatCode>
                  <c:ptCount val="11"/>
                  <c:pt idx="0">
                    <c:v>8.4515000000000047</c:v>
                  </c:pt>
                  <c:pt idx="1">
                    <c:v>9.6634000000000047</c:v>
                  </c:pt>
                  <c:pt idx="2">
                    <c:v>10.8201</c:v>
                  </c:pt>
                  <c:pt idx="3">
                    <c:v>11.53</c:v>
                  </c:pt>
                  <c:pt idx="4">
                    <c:v>10.5938</c:v>
                  </c:pt>
                  <c:pt idx="5">
                    <c:v>11.1975</c:v>
                  </c:pt>
                  <c:pt idx="6">
                    <c:v>10.284099999999999</c:v>
                  </c:pt>
                  <c:pt idx="7">
                    <c:v>9.6123000000000012</c:v>
                  </c:pt>
                  <c:pt idx="8">
                    <c:v>9.5240999999999989</c:v>
                  </c:pt>
                  <c:pt idx="9">
                    <c:v>10.3421</c:v>
                  </c:pt>
                  <c:pt idx="10">
                    <c:v>10.903600000000004</c:v>
                  </c:pt>
                </c:numCache>
              </c:numRef>
            </c:plus>
            <c:minus>
              <c:numRef>
                <c:f>Blad1!$D$14:$D$24</c:f>
                <c:numCache>
                  <c:formatCode>General</c:formatCode>
                  <c:ptCount val="11"/>
                  <c:pt idx="0">
                    <c:v>8.4515000000000047</c:v>
                  </c:pt>
                  <c:pt idx="1">
                    <c:v>9.6634000000000047</c:v>
                  </c:pt>
                  <c:pt idx="2">
                    <c:v>10.8201</c:v>
                  </c:pt>
                  <c:pt idx="3">
                    <c:v>11.53</c:v>
                  </c:pt>
                  <c:pt idx="4">
                    <c:v>10.5938</c:v>
                  </c:pt>
                  <c:pt idx="5">
                    <c:v>11.1975</c:v>
                  </c:pt>
                  <c:pt idx="6">
                    <c:v>10.284099999999999</c:v>
                  </c:pt>
                  <c:pt idx="7">
                    <c:v>9.6123000000000012</c:v>
                  </c:pt>
                  <c:pt idx="8">
                    <c:v>9.5240999999999989</c:v>
                  </c:pt>
                  <c:pt idx="9">
                    <c:v>10.3421</c:v>
                  </c:pt>
                  <c:pt idx="10">
                    <c:v>10.903600000000004</c:v>
                  </c:pt>
                </c:numCache>
              </c:numRef>
            </c:minus>
          </c:errBars>
          <c:cat>
            <c:strRef>
              <c:f>Blad1!$A$2:$A$12</c:f>
              <c:strCache>
                <c:ptCount val="11"/>
                <c:pt idx="0">
                  <c:v>Week1</c:v>
                </c:pt>
                <c:pt idx="1">
                  <c:v>Week2</c:v>
                </c:pt>
                <c:pt idx="2">
                  <c:v>Week3</c:v>
                </c:pt>
                <c:pt idx="3">
                  <c:v>Week4</c:v>
                </c:pt>
                <c:pt idx="4">
                  <c:v>Week5</c:v>
                </c:pt>
                <c:pt idx="5">
                  <c:v>Week6</c:v>
                </c:pt>
                <c:pt idx="6">
                  <c:v>Week7</c:v>
                </c:pt>
                <c:pt idx="7">
                  <c:v>Week8</c:v>
                </c:pt>
                <c:pt idx="8">
                  <c:v>Week9</c:v>
                </c:pt>
                <c:pt idx="9">
                  <c:v>Week10</c:v>
                </c:pt>
                <c:pt idx="10">
                  <c:v>Week11</c:v>
                </c:pt>
              </c:strCache>
            </c:strRef>
          </c:cat>
          <c:val>
            <c:numRef>
              <c:f>Blad1!$D$2:$D$12</c:f>
              <c:numCache>
                <c:formatCode>0.0</c:formatCode>
                <c:ptCount val="11"/>
                <c:pt idx="0">
                  <c:v>252.55</c:v>
                </c:pt>
                <c:pt idx="1">
                  <c:v>258.39999999999969</c:v>
                </c:pt>
                <c:pt idx="2">
                  <c:v>252.52</c:v>
                </c:pt>
                <c:pt idx="3">
                  <c:v>256.06</c:v>
                </c:pt>
                <c:pt idx="4">
                  <c:v>245.23</c:v>
                </c:pt>
                <c:pt idx="5">
                  <c:v>236.13</c:v>
                </c:pt>
                <c:pt idx="6">
                  <c:v>236.12</c:v>
                </c:pt>
                <c:pt idx="7">
                  <c:v>228.13</c:v>
                </c:pt>
                <c:pt idx="8">
                  <c:v>226.08</c:v>
                </c:pt>
                <c:pt idx="9">
                  <c:v>224.65</c:v>
                </c:pt>
                <c:pt idx="10">
                  <c:v>234.44</c:v>
                </c:pt>
              </c:numCache>
            </c:numRef>
          </c:val>
        </c:ser>
        <c:ser>
          <c:idx val="3"/>
          <c:order val="3"/>
          <c:tx>
            <c:strRef>
              <c:f>Blad1!$E$1</c:f>
              <c:strCache>
                <c:ptCount val="1"/>
                <c:pt idx="0">
                  <c:v>Controlegroep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6.57036749772693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7.62162629736304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8.67288509699944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9.46132919672652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1910604732690623E-3"/>
                  <c:y val="-8.67288509699944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9.46132919672652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8.67288509699944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7.62162629736304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7.62162629736304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8.67288509699944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1910604732690623E-3"/>
                  <c:y val="-8.93569979690867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plus>
              <c:numRef>
                <c:f>Blad1!$E$14:$E$24</c:f>
                <c:numCache>
                  <c:formatCode>General</c:formatCode>
                  <c:ptCount val="11"/>
                  <c:pt idx="0">
                    <c:v>8.4306000000000001</c:v>
                  </c:pt>
                  <c:pt idx="1">
                    <c:v>9.6452000000000009</c:v>
                  </c:pt>
                  <c:pt idx="2">
                    <c:v>10.808300000000001</c:v>
                  </c:pt>
                  <c:pt idx="3">
                    <c:v>11.517000000000001</c:v>
                  </c:pt>
                  <c:pt idx="4">
                    <c:v>10.585600000000024</c:v>
                  </c:pt>
                  <c:pt idx="5">
                    <c:v>11.188000000000001</c:v>
                  </c:pt>
                  <c:pt idx="6">
                    <c:v>10.271899999999999</c:v>
                  </c:pt>
                  <c:pt idx="7">
                    <c:v>9.5980999999999987</c:v>
                  </c:pt>
                  <c:pt idx="8">
                    <c:v>9.5107000000000035</c:v>
                  </c:pt>
                  <c:pt idx="9">
                    <c:v>10.331300000000001</c:v>
                  </c:pt>
                  <c:pt idx="10">
                    <c:v>10.895500000000078</c:v>
                  </c:pt>
                </c:numCache>
              </c:numRef>
            </c:plus>
            <c:minus>
              <c:numRef>
                <c:f>Blad1!$E$14:$E$24</c:f>
                <c:numCache>
                  <c:formatCode>General</c:formatCode>
                  <c:ptCount val="11"/>
                  <c:pt idx="0">
                    <c:v>8.4306000000000001</c:v>
                  </c:pt>
                  <c:pt idx="1">
                    <c:v>9.6452000000000009</c:v>
                  </c:pt>
                  <c:pt idx="2">
                    <c:v>10.808300000000001</c:v>
                  </c:pt>
                  <c:pt idx="3">
                    <c:v>11.517000000000001</c:v>
                  </c:pt>
                  <c:pt idx="4">
                    <c:v>10.585600000000024</c:v>
                  </c:pt>
                  <c:pt idx="5">
                    <c:v>11.188000000000001</c:v>
                  </c:pt>
                  <c:pt idx="6">
                    <c:v>10.271899999999999</c:v>
                  </c:pt>
                  <c:pt idx="7">
                    <c:v>9.5980999999999987</c:v>
                  </c:pt>
                  <c:pt idx="8">
                    <c:v>9.5107000000000035</c:v>
                  </c:pt>
                  <c:pt idx="9">
                    <c:v>10.331300000000001</c:v>
                  </c:pt>
                  <c:pt idx="10">
                    <c:v>10.895500000000078</c:v>
                  </c:pt>
                </c:numCache>
              </c:numRef>
            </c:minus>
          </c:errBars>
          <c:cat>
            <c:strRef>
              <c:f>Blad1!$A$2:$A$12</c:f>
              <c:strCache>
                <c:ptCount val="11"/>
                <c:pt idx="0">
                  <c:v>Week1</c:v>
                </c:pt>
                <c:pt idx="1">
                  <c:v>Week2</c:v>
                </c:pt>
                <c:pt idx="2">
                  <c:v>Week3</c:v>
                </c:pt>
                <c:pt idx="3">
                  <c:v>Week4</c:v>
                </c:pt>
                <c:pt idx="4">
                  <c:v>Week5</c:v>
                </c:pt>
                <c:pt idx="5">
                  <c:v>Week6</c:v>
                </c:pt>
                <c:pt idx="6">
                  <c:v>Week7</c:v>
                </c:pt>
                <c:pt idx="7">
                  <c:v>Week8</c:v>
                </c:pt>
                <c:pt idx="8">
                  <c:v>Week9</c:v>
                </c:pt>
                <c:pt idx="9">
                  <c:v>Week10</c:v>
                </c:pt>
                <c:pt idx="10">
                  <c:v>Week11</c:v>
                </c:pt>
              </c:strCache>
            </c:strRef>
          </c:cat>
          <c:val>
            <c:numRef>
              <c:f>Blad1!$E$2:$E$12</c:f>
              <c:numCache>
                <c:formatCode>0.0</c:formatCode>
                <c:ptCount val="11"/>
                <c:pt idx="0">
                  <c:v>256.82</c:v>
                </c:pt>
                <c:pt idx="1">
                  <c:v>268.42999999999893</c:v>
                </c:pt>
                <c:pt idx="2">
                  <c:v>260.7</c:v>
                </c:pt>
                <c:pt idx="3">
                  <c:v>258.97000000000003</c:v>
                </c:pt>
                <c:pt idx="4">
                  <c:v>262</c:v>
                </c:pt>
                <c:pt idx="5">
                  <c:v>255.76999999999998</c:v>
                </c:pt>
                <c:pt idx="6">
                  <c:v>259.77</c:v>
                </c:pt>
                <c:pt idx="7">
                  <c:v>245.89000000000001</c:v>
                </c:pt>
                <c:pt idx="8">
                  <c:v>238.66</c:v>
                </c:pt>
                <c:pt idx="9">
                  <c:v>237.56</c:v>
                </c:pt>
                <c:pt idx="10">
                  <c:v>241.18</c:v>
                </c:pt>
              </c:numCache>
            </c:numRef>
          </c:val>
        </c:ser>
        <c:axId val="135257472"/>
        <c:axId val="141952896"/>
      </c:barChart>
      <c:catAx>
        <c:axId val="135257472"/>
        <c:scaling>
          <c:orientation val="minMax"/>
        </c:scaling>
        <c:delete val="1"/>
        <c:axPos val="b"/>
        <c:numFmt formatCode="General" sourceLinked="0"/>
        <c:tickLblPos val="none"/>
        <c:crossAx val="141952896"/>
        <c:crosses val="autoZero"/>
        <c:auto val="1"/>
        <c:lblAlgn val="ctr"/>
        <c:lblOffset val="100"/>
      </c:catAx>
      <c:valAx>
        <c:axId val="141952896"/>
        <c:scaling>
          <c:orientation val="minMax"/>
          <c:min val="21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 b="0">
                    <a:latin typeface="+mn-lt"/>
                  </a:defRPr>
                </a:pPr>
                <a:r>
                  <a:rPr lang="nl-BE" sz="900" b="1">
                    <a:latin typeface="Arial" pitchFamily="34" charset="0"/>
                    <a:cs typeface="Arial" pitchFamily="34" charset="0"/>
                  </a:rPr>
                  <a:t>Gemiddelde weekproductie (kg)</a:t>
                </a:r>
              </a:p>
            </c:rich>
          </c:tx>
          <c:layout>
            <c:manualLayout>
              <c:xMode val="edge"/>
              <c:yMode val="edge"/>
              <c:x val="4.7280904819383726E-2"/>
              <c:y val="0.15930558648274445"/>
            </c:manualLayout>
          </c:layout>
        </c:title>
        <c:numFmt formatCode="0" sourceLinked="0"/>
        <c:tickLblPos val="nextTo"/>
        <c:crossAx val="1352574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226220034648178"/>
          <c:y val="0.90708560962093221"/>
          <c:w val="0.70865293648880079"/>
          <c:h val="7.02931521314938E-2"/>
        </c:manualLayout>
      </c:layout>
      <c:txPr>
        <a:bodyPr/>
        <a:lstStyle/>
        <a:p>
          <a:pPr>
            <a:defRPr sz="800"/>
          </a:pPr>
          <a:endParaRPr lang="nl-BE"/>
        </a:p>
      </c:txPr>
    </c:legend>
    <c:plotVisOnly val="1"/>
    <c:dispBlanksAs val="gap"/>
  </c:chart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BE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nl-BE" sz="1100">
                <a:latin typeface="Arial" pitchFamily="34" charset="0"/>
                <a:cs typeface="Arial" pitchFamily="34" charset="0"/>
              </a:rPr>
              <a:t>Gemiddelde pens-pH per week</a:t>
            </a:r>
          </a:p>
        </c:rich>
      </c:tx>
    </c:title>
    <c:plotArea>
      <c:layout>
        <c:manualLayout>
          <c:layoutTarget val="inner"/>
          <c:xMode val="edge"/>
          <c:yMode val="edge"/>
          <c:x val="0.15176518857157495"/>
          <c:y val="0.14794638170228747"/>
          <c:w val="0.79750590441637204"/>
          <c:h val="0.63729201109648348"/>
        </c:manualLayout>
      </c:layout>
      <c:barChart>
        <c:barDir val="col"/>
        <c:grouping val="clustered"/>
        <c:ser>
          <c:idx val="0"/>
          <c:order val="0"/>
          <c:tx>
            <c:strRef>
              <c:f>Blad1!$B$1</c:f>
              <c:strCache>
                <c:ptCount val="1"/>
                <c:pt idx="0">
                  <c:v>Bolusdieren, behandeld</c:v>
                </c:pt>
              </c:strCache>
            </c:strRef>
          </c:tx>
          <c:errBars>
            <c:errBarType val="both"/>
            <c:errValType val="cust"/>
            <c:plus>
              <c:numRef>
                <c:f>Blad1!$B$14:$B$24</c:f>
              </c:numRef>
            </c:plus>
            <c:minus>
              <c:numRef>
                <c:f>Blad1!$B$14:$B$24</c:f>
              </c:numRef>
            </c:minus>
          </c:errBars>
          <c:cat>
            <c:strRef>
              <c:f>Blad1!$A$2:$A$12</c:f>
              <c:strCache>
                <c:ptCount val="11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  <c:pt idx="6">
                  <c:v>Week 7</c:v>
                </c:pt>
                <c:pt idx="7">
                  <c:v>Week 8</c:v>
                </c:pt>
                <c:pt idx="8">
                  <c:v>Week 9</c:v>
                </c:pt>
                <c:pt idx="9">
                  <c:v>Week 10</c:v>
                </c:pt>
                <c:pt idx="10">
                  <c:v>Week 11</c:v>
                </c:pt>
              </c:strCache>
            </c:strRef>
          </c:cat>
          <c:val>
            <c:numRef>
              <c:f>Blad1!$B$2:$B$12</c:f>
            </c:numRef>
          </c:val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Bolusdieren, controle</c:v>
                </c:pt>
              </c:strCache>
            </c:strRef>
          </c:tx>
          <c:errBars>
            <c:errBarType val="both"/>
            <c:errValType val="cust"/>
            <c:plus>
              <c:numRef>
                <c:f>Blad1!$C$14:$C$24</c:f>
              </c:numRef>
            </c:plus>
            <c:minus>
              <c:numRef>
                <c:f>Blad1!$C$14:$C$24</c:f>
              </c:numRef>
            </c:minus>
          </c:errBars>
          <c:cat>
            <c:strRef>
              <c:f>Blad1!$A$2:$A$12</c:f>
              <c:strCache>
                <c:ptCount val="11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  <c:pt idx="6">
                  <c:v>Week 7</c:v>
                </c:pt>
                <c:pt idx="7">
                  <c:v>Week 8</c:v>
                </c:pt>
                <c:pt idx="8">
                  <c:v>Week 9</c:v>
                </c:pt>
                <c:pt idx="9">
                  <c:v>Week 10</c:v>
                </c:pt>
                <c:pt idx="10">
                  <c:v>Week 11</c:v>
                </c:pt>
              </c:strCache>
            </c:strRef>
          </c:cat>
          <c:val>
            <c:numRef>
              <c:f>Blad1!$C$2:$C$12</c:f>
            </c:numRef>
          </c:val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Bicarbonaatgroep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67007509477981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4.8226827549334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5.52915694565957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3.30177043841742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2.79096189365220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2.60608048993875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3.30082871585496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2.99012102653842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4.86824997569748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4.66204311266647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-5.11498128706133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plus>
              <c:numRef>
                <c:f>Blad1!$D$14:$D$24</c:f>
                <c:numCache>
                  <c:formatCode>General</c:formatCode>
                  <c:ptCount val="11"/>
                  <c:pt idx="0">
                    <c:v>4.5589999999999999E-2</c:v>
                  </c:pt>
                  <c:pt idx="1">
                    <c:v>5.8959999999999999E-2</c:v>
                  </c:pt>
                  <c:pt idx="2">
                    <c:v>6.321000000000003E-2</c:v>
                  </c:pt>
                  <c:pt idx="3">
                    <c:v>4.1489999999999999E-2</c:v>
                  </c:pt>
                  <c:pt idx="4">
                    <c:v>4.0629999999999986E-2</c:v>
                  </c:pt>
                  <c:pt idx="5">
                    <c:v>3.8400000000000031E-2</c:v>
                  </c:pt>
                  <c:pt idx="6">
                    <c:v>4.9020000000000084E-2</c:v>
                  </c:pt>
                  <c:pt idx="7">
                    <c:v>5.1880000000000023E-2</c:v>
                  </c:pt>
                  <c:pt idx="8">
                    <c:v>5.5910000000000133E-2</c:v>
                  </c:pt>
                  <c:pt idx="9">
                    <c:v>5.9840000000000101E-2</c:v>
                  </c:pt>
                  <c:pt idx="10">
                    <c:v>6.4449999999999993E-2</c:v>
                  </c:pt>
                </c:numCache>
              </c:numRef>
            </c:plus>
            <c:minus>
              <c:numRef>
                <c:f>Blad1!$D$14:$D$24</c:f>
                <c:numCache>
                  <c:formatCode>General</c:formatCode>
                  <c:ptCount val="11"/>
                  <c:pt idx="0">
                    <c:v>4.5589999999999999E-2</c:v>
                  </c:pt>
                  <c:pt idx="1">
                    <c:v>5.8959999999999999E-2</c:v>
                  </c:pt>
                  <c:pt idx="2">
                    <c:v>6.321000000000003E-2</c:v>
                  </c:pt>
                  <c:pt idx="3">
                    <c:v>4.1489999999999999E-2</c:v>
                  </c:pt>
                  <c:pt idx="4">
                    <c:v>4.0629999999999986E-2</c:v>
                  </c:pt>
                  <c:pt idx="5">
                    <c:v>3.8400000000000031E-2</c:v>
                  </c:pt>
                  <c:pt idx="6">
                    <c:v>4.9020000000000084E-2</c:v>
                  </c:pt>
                  <c:pt idx="7">
                    <c:v>5.1880000000000023E-2</c:v>
                  </c:pt>
                  <c:pt idx="8">
                    <c:v>5.5910000000000133E-2</c:v>
                  </c:pt>
                  <c:pt idx="9">
                    <c:v>5.9840000000000101E-2</c:v>
                  </c:pt>
                  <c:pt idx="10">
                    <c:v>6.4449999999999993E-2</c:v>
                  </c:pt>
                </c:numCache>
              </c:numRef>
            </c:minus>
          </c:errBars>
          <c:cat>
            <c:strRef>
              <c:f>Blad1!$A$2:$A$12</c:f>
              <c:strCache>
                <c:ptCount val="11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  <c:pt idx="6">
                  <c:v>Week 7</c:v>
                </c:pt>
                <c:pt idx="7">
                  <c:v>Week 8</c:v>
                </c:pt>
                <c:pt idx="8">
                  <c:v>Week 9</c:v>
                </c:pt>
                <c:pt idx="9">
                  <c:v>Week 10</c:v>
                </c:pt>
                <c:pt idx="10">
                  <c:v>Week 11</c:v>
                </c:pt>
              </c:strCache>
            </c:strRef>
          </c:cat>
          <c:val>
            <c:numRef>
              <c:f>Blad1!$D$2:$D$12</c:f>
              <c:numCache>
                <c:formatCode>General</c:formatCode>
                <c:ptCount val="11"/>
                <c:pt idx="0">
                  <c:v>5.9788000000000014</c:v>
                </c:pt>
                <c:pt idx="1">
                  <c:v>5.9627999999999997</c:v>
                </c:pt>
                <c:pt idx="2">
                  <c:v>5.9528999999999996</c:v>
                </c:pt>
                <c:pt idx="3">
                  <c:v>5.9851999999999999</c:v>
                </c:pt>
                <c:pt idx="4">
                  <c:v>6.0331000000000001</c:v>
                </c:pt>
                <c:pt idx="5">
                  <c:v>6.0643999999999965</c:v>
                </c:pt>
                <c:pt idx="6">
                  <c:v>6.0528999999999975</c:v>
                </c:pt>
                <c:pt idx="7">
                  <c:v>6.0680999999999985</c:v>
                </c:pt>
                <c:pt idx="8">
                  <c:v>6.0953999999999997</c:v>
                </c:pt>
                <c:pt idx="9">
                  <c:v>6.0787000000000004</c:v>
                </c:pt>
                <c:pt idx="10">
                  <c:v>6.0503</c:v>
                </c:pt>
              </c:numCache>
            </c:numRef>
          </c:val>
        </c:ser>
        <c:ser>
          <c:idx val="3"/>
          <c:order val="3"/>
          <c:tx>
            <c:strRef>
              <c:f>Blad1!$E$1</c:f>
              <c:strCache>
                <c:ptCount val="1"/>
                <c:pt idx="0">
                  <c:v>Controlegroep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95326018275494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3381087780694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5.83570282881308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2351471247790327E-17"/>
                  <c:y val="-3.31073199183436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2.69599980557986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2.22459171770211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3.14192062797714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3.08942718965684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2.78944298629338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3.22224044911052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-3.62402182366096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plus>
              <c:numRef>
                <c:f>Blad1!$E$14:$E$24</c:f>
                <c:numCache>
                  <c:formatCode>General</c:formatCode>
                  <c:ptCount val="11"/>
                  <c:pt idx="0">
                    <c:v>4.3619999999999999E-2</c:v>
                  </c:pt>
                  <c:pt idx="1">
                    <c:v>5.7840000000000037E-2</c:v>
                  </c:pt>
                  <c:pt idx="2">
                    <c:v>6.1710000000000133E-2</c:v>
                  </c:pt>
                  <c:pt idx="3">
                    <c:v>3.858000000000001E-2</c:v>
                  </c:pt>
                  <c:pt idx="4">
                    <c:v>3.7250000000000082E-2</c:v>
                  </c:pt>
                  <c:pt idx="5">
                    <c:v>3.296000000000001E-2</c:v>
                  </c:pt>
                  <c:pt idx="6">
                    <c:v>4.1539999999999987E-2</c:v>
                  </c:pt>
                  <c:pt idx="7">
                    <c:v>4.0529999999999997E-2</c:v>
                  </c:pt>
                  <c:pt idx="8">
                    <c:v>3.9700000000000041E-2</c:v>
                  </c:pt>
                  <c:pt idx="9">
                    <c:v>4.2480000000000032E-2</c:v>
                  </c:pt>
                  <c:pt idx="10">
                    <c:v>4.6519999999999999E-2</c:v>
                  </c:pt>
                </c:numCache>
              </c:numRef>
            </c:plus>
            <c:minus>
              <c:numRef>
                <c:f>Blad1!$E$14:$E$24</c:f>
                <c:numCache>
                  <c:formatCode>General</c:formatCode>
                  <c:ptCount val="11"/>
                  <c:pt idx="0">
                    <c:v>4.3619999999999999E-2</c:v>
                  </c:pt>
                  <c:pt idx="1">
                    <c:v>5.7840000000000037E-2</c:v>
                  </c:pt>
                  <c:pt idx="2">
                    <c:v>6.1710000000000133E-2</c:v>
                  </c:pt>
                  <c:pt idx="3">
                    <c:v>3.858000000000001E-2</c:v>
                  </c:pt>
                  <c:pt idx="4">
                    <c:v>3.7250000000000082E-2</c:v>
                  </c:pt>
                  <c:pt idx="5">
                    <c:v>3.296000000000001E-2</c:v>
                  </c:pt>
                  <c:pt idx="6">
                    <c:v>4.1539999999999987E-2</c:v>
                  </c:pt>
                  <c:pt idx="7">
                    <c:v>4.0529999999999997E-2</c:v>
                  </c:pt>
                  <c:pt idx="8">
                    <c:v>3.9700000000000041E-2</c:v>
                  </c:pt>
                  <c:pt idx="9">
                    <c:v>4.2480000000000032E-2</c:v>
                  </c:pt>
                  <c:pt idx="10">
                    <c:v>4.6519999999999999E-2</c:v>
                  </c:pt>
                </c:numCache>
              </c:numRef>
            </c:minus>
          </c:errBars>
          <c:cat>
            <c:strRef>
              <c:f>Blad1!$A$2:$A$12</c:f>
              <c:strCache>
                <c:ptCount val="11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  <c:pt idx="6">
                  <c:v>Week 7</c:v>
                </c:pt>
                <c:pt idx="7">
                  <c:v>Week 8</c:v>
                </c:pt>
                <c:pt idx="8">
                  <c:v>Week 9</c:v>
                </c:pt>
                <c:pt idx="9">
                  <c:v>Week 10</c:v>
                </c:pt>
                <c:pt idx="10">
                  <c:v>Week 11</c:v>
                </c:pt>
              </c:strCache>
            </c:strRef>
          </c:cat>
          <c:val>
            <c:numRef>
              <c:f>Blad1!$E$2:$E$12</c:f>
              <c:numCache>
                <c:formatCode>General</c:formatCode>
                <c:ptCount val="11"/>
                <c:pt idx="0">
                  <c:v>6.1402000000000001</c:v>
                </c:pt>
                <c:pt idx="1">
                  <c:v>6.1903999999999995</c:v>
                </c:pt>
                <c:pt idx="2">
                  <c:v>6.2028999999999996</c:v>
                </c:pt>
                <c:pt idx="3">
                  <c:v>6.2048999999999985</c:v>
                </c:pt>
                <c:pt idx="4">
                  <c:v>6.1425999999999945</c:v>
                </c:pt>
                <c:pt idx="5">
                  <c:v>6.1130999999999975</c:v>
                </c:pt>
                <c:pt idx="6">
                  <c:v>6.0857999999999999</c:v>
                </c:pt>
                <c:pt idx="7">
                  <c:v>6.0236000000000001</c:v>
                </c:pt>
                <c:pt idx="8">
                  <c:v>5.9729000000000001</c:v>
                </c:pt>
                <c:pt idx="9">
                  <c:v>5.9213000000000013</c:v>
                </c:pt>
                <c:pt idx="10">
                  <c:v>5.9111000000000002</c:v>
                </c:pt>
              </c:numCache>
            </c:numRef>
          </c:val>
        </c:ser>
        <c:axId val="142588160"/>
        <c:axId val="142774272"/>
      </c:barChart>
      <c:catAx>
        <c:axId val="142588160"/>
        <c:scaling>
          <c:orientation val="minMax"/>
        </c:scaling>
        <c:delete val="1"/>
        <c:axPos val="b"/>
        <c:numFmt formatCode="General" sourceLinked="0"/>
        <c:tickLblPos val="none"/>
        <c:crossAx val="142774272"/>
        <c:crosses val="autoZero"/>
        <c:auto val="1"/>
        <c:lblAlgn val="ctr"/>
        <c:lblOffset val="100"/>
      </c:catAx>
      <c:valAx>
        <c:axId val="142774272"/>
        <c:scaling>
          <c:orientation val="minMax"/>
          <c:min val="5.8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nl-BE" sz="900">
                    <a:latin typeface="Arial" pitchFamily="34" charset="0"/>
                    <a:cs typeface="Arial" pitchFamily="34" charset="0"/>
                  </a:rPr>
                  <a:t>pH</a:t>
                </a:r>
              </a:p>
            </c:rich>
          </c:tx>
          <c:layout>
            <c:manualLayout>
              <c:xMode val="edge"/>
              <c:yMode val="edge"/>
              <c:x val="2.8953387325365811E-2"/>
              <c:y val="0.42698951316609568"/>
            </c:manualLayout>
          </c:layout>
        </c:title>
        <c:numFmt formatCode="General" sourceLinked="1"/>
        <c:tickLblPos val="nextTo"/>
        <c:crossAx val="1425881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580027212276781"/>
          <c:y val="0.90661154855643045"/>
          <c:w val="0.62839915151271064"/>
          <c:h val="7.4340796368425804E-2"/>
        </c:manualLayout>
      </c:layout>
      <c:txPr>
        <a:bodyPr/>
        <a:lstStyle/>
        <a:p>
          <a:pPr>
            <a:defRPr sz="800"/>
          </a:pPr>
          <a:endParaRPr lang="nl-BE"/>
        </a:p>
      </c:txPr>
    </c:legend>
    <c:plotVisOnly val="1"/>
    <c:dispBlanksAs val="gap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0.17078</cdr:x>
      <cdr:y>0.78142</cdr:y>
    </cdr:from>
    <cdr:to>
      <cdr:x>0.30857</cdr:x>
      <cdr:y>0.81841</cdr:y>
    </cdr:to>
    <cdr:sp macro="" textlink="">
      <cdr:nvSpPr>
        <cdr:cNvPr id="10" name="Linkeraccolade 9"/>
        <cdr:cNvSpPr/>
      </cdr:nvSpPr>
      <cdr:spPr>
        <a:xfrm xmlns:a="http://schemas.openxmlformats.org/drawingml/2006/main" rot="16200000">
          <a:off x="1147833" y="2043042"/>
          <a:ext cx="110492" cy="691658"/>
        </a:xfrm>
        <a:prstGeom xmlns:a="http://schemas.openxmlformats.org/drawingml/2006/main" prst="leftBrace">
          <a:avLst>
            <a:gd name="adj1" fmla="val 19444"/>
            <a:gd name="adj2" fmla="val 50000"/>
          </a:avLst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rgbClr val="00407A"/>
              </a:solidFill>
              <a:latin typeface="Arial"/>
            </a:defRPr>
          </a:lvl1pPr>
          <a:lvl2pPr marL="457200" indent="0">
            <a:defRPr sz="1100">
              <a:solidFill>
                <a:srgbClr val="00407A"/>
              </a:solidFill>
              <a:latin typeface="Arial"/>
            </a:defRPr>
          </a:lvl2pPr>
          <a:lvl3pPr marL="914400" indent="0">
            <a:defRPr sz="1100">
              <a:solidFill>
                <a:srgbClr val="00407A"/>
              </a:solidFill>
              <a:latin typeface="Arial"/>
            </a:defRPr>
          </a:lvl3pPr>
          <a:lvl4pPr marL="1371600" indent="0">
            <a:defRPr sz="1100">
              <a:solidFill>
                <a:srgbClr val="00407A"/>
              </a:solidFill>
              <a:latin typeface="Arial"/>
            </a:defRPr>
          </a:lvl4pPr>
          <a:lvl5pPr marL="1828800" indent="0">
            <a:defRPr sz="1100">
              <a:solidFill>
                <a:srgbClr val="00407A"/>
              </a:solidFill>
              <a:latin typeface="Arial"/>
            </a:defRPr>
          </a:lvl5pPr>
          <a:lvl6pPr marL="2286000" indent="0">
            <a:defRPr sz="1100">
              <a:solidFill>
                <a:srgbClr val="00407A"/>
              </a:solidFill>
              <a:latin typeface="Arial"/>
            </a:defRPr>
          </a:lvl6pPr>
          <a:lvl7pPr marL="2743200" indent="0">
            <a:defRPr sz="1100">
              <a:solidFill>
                <a:srgbClr val="00407A"/>
              </a:solidFill>
              <a:latin typeface="Arial"/>
            </a:defRPr>
          </a:lvl7pPr>
          <a:lvl8pPr marL="3200400" indent="0">
            <a:defRPr sz="1100">
              <a:solidFill>
                <a:srgbClr val="00407A"/>
              </a:solidFill>
              <a:latin typeface="Arial"/>
            </a:defRPr>
          </a:lvl8pPr>
          <a:lvl9pPr marL="3657600" indent="0">
            <a:defRPr sz="1100">
              <a:solidFill>
                <a:srgbClr val="00407A"/>
              </a:solidFill>
              <a:latin typeface="Arial"/>
            </a:defRPr>
          </a:lvl9pPr>
        </a:lstStyle>
        <a:p xmlns:a="http://schemas.openxmlformats.org/drawingml/2006/main">
          <a:endParaRPr lang="nl-BE"/>
        </a:p>
      </cdr:txBody>
    </cdr:sp>
  </cdr:relSizeAnchor>
  <cdr:relSizeAnchor xmlns:cdr="http://schemas.openxmlformats.org/drawingml/2006/chartDrawing">
    <cdr:from>
      <cdr:x>0.30858</cdr:x>
      <cdr:y>0.78218</cdr:y>
    </cdr:from>
    <cdr:to>
      <cdr:x>0.73685</cdr:x>
      <cdr:y>0.8183</cdr:y>
    </cdr:to>
    <cdr:sp macro="" textlink="">
      <cdr:nvSpPr>
        <cdr:cNvPr id="12" name="Linkeraccolade 11"/>
        <cdr:cNvSpPr/>
      </cdr:nvSpPr>
      <cdr:spPr>
        <a:xfrm xmlns:a="http://schemas.openxmlformats.org/drawingml/2006/main" rot="16200000">
          <a:off x="2569923" y="1314948"/>
          <a:ext cx="107849" cy="2149781"/>
        </a:xfrm>
        <a:prstGeom xmlns:a="http://schemas.openxmlformats.org/drawingml/2006/main" prst="leftBrace">
          <a:avLst>
            <a:gd name="adj1" fmla="val 19444"/>
            <a:gd name="adj2" fmla="val 50000"/>
          </a:avLst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rgbClr val="00407A"/>
              </a:solidFill>
              <a:latin typeface="Arial"/>
            </a:defRPr>
          </a:lvl1pPr>
          <a:lvl2pPr marL="457200" indent="0">
            <a:defRPr sz="1100">
              <a:solidFill>
                <a:srgbClr val="00407A"/>
              </a:solidFill>
              <a:latin typeface="Arial"/>
            </a:defRPr>
          </a:lvl2pPr>
          <a:lvl3pPr marL="914400" indent="0">
            <a:defRPr sz="1100">
              <a:solidFill>
                <a:srgbClr val="00407A"/>
              </a:solidFill>
              <a:latin typeface="Arial"/>
            </a:defRPr>
          </a:lvl3pPr>
          <a:lvl4pPr marL="1371600" indent="0">
            <a:defRPr sz="1100">
              <a:solidFill>
                <a:srgbClr val="00407A"/>
              </a:solidFill>
              <a:latin typeface="Arial"/>
            </a:defRPr>
          </a:lvl4pPr>
          <a:lvl5pPr marL="1828800" indent="0">
            <a:defRPr sz="1100">
              <a:solidFill>
                <a:srgbClr val="00407A"/>
              </a:solidFill>
              <a:latin typeface="Arial"/>
            </a:defRPr>
          </a:lvl5pPr>
          <a:lvl6pPr marL="2286000" indent="0">
            <a:defRPr sz="1100">
              <a:solidFill>
                <a:srgbClr val="00407A"/>
              </a:solidFill>
              <a:latin typeface="Arial"/>
            </a:defRPr>
          </a:lvl6pPr>
          <a:lvl7pPr marL="2743200" indent="0">
            <a:defRPr sz="1100">
              <a:solidFill>
                <a:srgbClr val="00407A"/>
              </a:solidFill>
              <a:latin typeface="Arial"/>
            </a:defRPr>
          </a:lvl7pPr>
          <a:lvl8pPr marL="3200400" indent="0">
            <a:defRPr sz="1100">
              <a:solidFill>
                <a:srgbClr val="00407A"/>
              </a:solidFill>
              <a:latin typeface="Arial"/>
            </a:defRPr>
          </a:lvl8pPr>
          <a:lvl9pPr marL="3657600" indent="0">
            <a:defRPr sz="1100">
              <a:solidFill>
                <a:srgbClr val="00407A"/>
              </a:solidFill>
              <a:latin typeface="Arial"/>
            </a:defRPr>
          </a:lvl9pPr>
        </a:lstStyle>
        <a:p xmlns:a="http://schemas.openxmlformats.org/drawingml/2006/main">
          <a:endParaRPr lang="nl-BE"/>
        </a:p>
      </cdr:txBody>
    </cdr:sp>
  </cdr:relSizeAnchor>
  <cdr:relSizeAnchor xmlns:cdr="http://schemas.openxmlformats.org/drawingml/2006/chartDrawing">
    <cdr:from>
      <cdr:x>0.73805</cdr:x>
      <cdr:y>0.78272</cdr:y>
    </cdr:from>
    <cdr:to>
      <cdr:x>0.93574</cdr:x>
      <cdr:y>0.82211</cdr:y>
    </cdr:to>
    <cdr:sp macro="" textlink="">
      <cdr:nvSpPr>
        <cdr:cNvPr id="13" name="Linkeraccolade 12"/>
        <cdr:cNvSpPr/>
      </cdr:nvSpPr>
      <cdr:spPr>
        <a:xfrm xmlns:a="http://schemas.openxmlformats.org/drawingml/2006/main" rot="16200000">
          <a:off x="4142135" y="1900157"/>
          <a:ext cx="117629" cy="992358"/>
        </a:xfrm>
        <a:prstGeom xmlns:a="http://schemas.openxmlformats.org/drawingml/2006/main" prst="leftBrace">
          <a:avLst>
            <a:gd name="adj1" fmla="val 19444"/>
            <a:gd name="adj2" fmla="val 50000"/>
          </a:avLst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rgbClr val="00407A"/>
              </a:solidFill>
              <a:latin typeface="Arial"/>
            </a:defRPr>
          </a:lvl1pPr>
          <a:lvl2pPr marL="457200" indent="0">
            <a:defRPr sz="1100">
              <a:solidFill>
                <a:srgbClr val="00407A"/>
              </a:solidFill>
              <a:latin typeface="Arial"/>
            </a:defRPr>
          </a:lvl2pPr>
          <a:lvl3pPr marL="914400" indent="0">
            <a:defRPr sz="1100">
              <a:solidFill>
                <a:srgbClr val="00407A"/>
              </a:solidFill>
              <a:latin typeface="Arial"/>
            </a:defRPr>
          </a:lvl3pPr>
          <a:lvl4pPr marL="1371600" indent="0">
            <a:defRPr sz="1100">
              <a:solidFill>
                <a:srgbClr val="00407A"/>
              </a:solidFill>
              <a:latin typeface="Arial"/>
            </a:defRPr>
          </a:lvl4pPr>
          <a:lvl5pPr marL="1828800" indent="0">
            <a:defRPr sz="1100">
              <a:solidFill>
                <a:srgbClr val="00407A"/>
              </a:solidFill>
              <a:latin typeface="Arial"/>
            </a:defRPr>
          </a:lvl5pPr>
          <a:lvl6pPr marL="2286000" indent="0">
            <a:defRPr sz="1100">
              <a:solidFill>
                <a:srgbClr val="00407A"/>
              </a:solidFill>
              <a:latin typeface="Arial"/>
            </a:defRPr>
          </a:lvl6pPr>
          <a:lvl7pPr marL="2743200" indent="0">
            <a:defRPr sz="1100">
              <a:solidFill>
                <a:srgbClr val="00407A"/>
              </a:solidFill>
              <a:latin typeface="Arial"/>
            </a:defRPr>
          </a:lvl7pPr>
          <a:lvl8pPr marL="3200400" indent="0">
            <a:defRPr sz="1100">
              <a:solidFill>
                <a:srgbClr val="00407A"/>
              </a:solidFill>
              <a:latin typeface="Arial"/>
            </a:defRPr>
          </a:lvl8pPr>
          <a:lvl9pPr marL="3657600" indent="0">
            <a:defRPr sz="1100">
              <a:solidFill>
                <a:srgbClr val="00407A"/>
              </a:solidFill>
              <a:latin typeface="Arial"/>
            </a:defRPr>
          </a:lvl9pPr>
        </a:lstStyle>
        <a:p xmlns:a="http://schemas.openxmlformats.org/drawingml/2006/main">
          <a:endParaRPr lang="nl-BE"/>
        </a:p>
      </cdr:txBody>
    </cdr:sp>
  </cdr:relSizeAnchor>
  <cdr:relSizeAnchor xmlns:cdr="http://schemas.openxmlformats.org/drawingml/2006/chartDrawing">
    <cdr:from>
      <cdr:x>0.14611</cdr:x>
      <cdr:y>0.81331</cdr:y>
    </cdr:from>
    <cdr:to>
      <cdr:x>0.36784</cdr:x>
      <cdr:y>0.92394</cdr:y>
    </cdr:to>
    <cdr:sp macro="" textlink="">
      <cdr:nvSpPr>
        <cdr:cNvPr id="14" name="Tekstvak 1"/>
        <cdr:cNvSpPr txBox="1"/>
      </cdr:nvSpPr>
      <cdr:spPr>
        <a:xfrm xmlns:a="http://schemas.openxmlformats.org/drawingml/2006/main">
          <a:off x="733425" y="2428875"/>
          <a:ext cx="1113013" cy="330386"/>
        </a:xfrm>
        <a:prstGeom xmlns:a="http://schemas.openxmlformats.org/drawingml/2006/main" prst="rect">
          <a:avLst/>
        </a:prstGeom>
        <a:scene3d xmlns:a="http://schemas.openxmlformats.org/drawingml/2006/main">
          <a:camera prst="orthographicFront">
            <a:rot lat="0" lon="0" rev="0"/>
          </a:camera>
          <a:lightRig rig="threePt" dir="t"/>
        </a:scene3d>
      </cdr:spPr>
      <cdr:txBody>
        <a:bodyPr xmlns:a="http://schemas.openxmlformats.org/drawingml/2006/main" wrap="square" rtlCol="0">
          <a:scene3d>
            <a:camera prst="orthographicFront">
              <a:rot lat="0" lon="0" rev="3000000"/>
            </a:camera>
            <a:lightRig rig="threePt" dir="t"/>
          </a:scene3d>
        </a:bodyPr>
        <a:lstStyle xmlns:a="http://schemas.openxmlformats.org/drawingml/2006/main">
          <a:lvl1pPr marL="0" indent="0">
            <a:defRPr sz="1100">
              <a:latin typeface="Arial"/>
            </a:defRPr>
          </a:lvl1pPr>
          <a:lvl2pPr marL="457200" indent="0">
            <a:defRPr sz="1100">
              <a:latin typeface="Arial"/>
            </a:defRPr>
          </a:lvl2pPr>
          <a:lvl3pPr marL="914400" indent="0">
            <a:defRPr sz="1100">
              <a:latin typeface="Arial"/>
            </a:defRPr>
          </a:lvl3pPr>
          <a:lvl4pPr marL="1371600" indent="0">
            <a:defRPr sz="1100">
              <a:latin typeface="Arial"/>
            </a:defRPr>
          </a:lvl4pPr>
          <a:lvl5pPr marL="1828800" indent="0">
            <a:defRPr sz="1100">
              <a:latin typeface="Arial"/>
            </a:defRPr>
          </a:lvl5pPr>
          <a:lvl6pPr marL="2286000" indent="0">
            <a:defRPr sz="1100">
              <a:latin typeface="Arial"/>
            </a:defRPr>
          </a:lvl6pPr>
          <a:lvl7pPr marL="2743200" indent="0">
            <a:defRPr sz="1100">
              <a:latin typeface="Arial"/>
            </a:defRPr>
          </a:lvl7pPr>
          <a:lvl8pPr marL="3200400" indent="0">
            <a:defRPr sz="1100">
              <a:latin typeface="Arial"/>
            </a:defRPr>
          </a:lvl8pPr>
          <a:lvl9pPr marL="3657600" indent="0">
            <a:defRPr sz="1100">
              <a:latin typeface="Arial"/>
            </a:defRPr>
          </a:lvl9pPr>
        </a:lstStyle>
        <a:p xmlns:a="http://schemas.openxmlformats.org/drawingml/2006/main">
          <a:r>
            <a:rPr lang="nl-BE" sz="800">
              <a:latin typeface="Arial" pitchFamily="34" charset="0"/>
              <a:cs typeface="Arial" pitchFamily="34" charset="0"/>
            </a:rPr>
            <a:t>Controleperiode</a:t>
          </a:r>
        </a:p>
      </cdr:txBody>
    </cdr:sp>
  </cdr:relSizeAnchor>
  <cdr:relSizeAnchor xmlns:cdr="http://schemas.openxmlformats.org/drawingml/2006/chartDrawing">
    <cdr:from>
      <cdr:x>0.74573</cdr:x>
      <cdr:y>0.81331</cdr:y>
    </cdr:from>
    <cdr:to>
      <cdr:x>0.96746</cdr:x>
      <cdr:y>0.92394</cdr:y>
    </cdr:to>
    <cdr:sp macro="" textlink="">
      <cdr:nvSpPr>
        <cdr:cNvPr id="15" name="Tekstvak 1"/>
        <cdr:cNvSpPr txBox="1"/>
      </cdr:nvSpPr>
      <cdr:spPr>
        <a:xfrm xmlns:a="http://schemas.openxmlformats.org/drawingml/2006/main">
          <a:off x="3743325" y="2428875"/>
          <a:ext cx="1113013" cy="330386"/>
        </a:xfrm>
        <a:prstGeom xmlns:a="http://schemas.openxmlformats.org/drawingml/2006/main" prst="rect">
          <a:avLst/>
        </a:prstGeom>
        <a:scene3d xmlns:a="http://schemas.openxmlformats.org/drawingml/2006/main">
          <a:camera prst="orthographicFront">
            <a:rot lat="0" lon="0" rev="0"/>
          </a:camera>
          <a:lightRig rig="threePt" dir="t"/>
        </a:scene3d>
      </cdr:spPr>
      <cdr:txBody>
        <a:bodyPr xmlns:a="http://schemas.openxmlformats.org/drawingml/2006/main" wrap="square" rtlCol="0">
          <a:scene3d>
            <a:camera prst="orthographicFront">
              <a:rot lat="0" lon="0" rev="3000000"/>
            </a:camera>
            <a:lightRig rig="threePt" dir="t"/>
          </a:scene3d>
        </a:bodyPr>
        <a:lstStyle xmlns:a="http://schemas.openxmlformats.org/drawingml/2006/main">
          <a:lvl1pPr marL="0" indent="0">
            <a:defRPr sz="1100">
              <a:latin typeface="Arial"/>
            </a:defRPr>
          </a:lvl1pPr>
          <a:lvl2pPr marL="457200" indent="0">
            <a:defRPr sz="1100">
              <a:latin typeface="Arial"/>
            </a:defRPr>
          </a:lvl2pPr>
          <a:lvl3pPr marL="914400" indent="0">
            <a:defRPr sz="1100">
              <a:latin typeface="Arial"/>
            </a:defRPr>
          </a:lvl3pPr>
          <a:lvl4pPr marL="1371600" indent="0">
            <a:defRPr sz="1100">
              <a:latin typeface="Arial"/>
            </a:defRPr>
          </a:lvl4pPr>
          <a:lvl5pPr marL="1828800" indent="0">
            <a:defRPr sz="1100">
              <a:latin typeface="Arial"/>
            </a:defRPr>
          </a:lvl5pPr>
          <a:lvl6pPr marL="2286000" indent="0">
            <a:defRPr sz="1100">
              <a:latin typeface="Arial"/>
            </a:defRPr>
          </a:lvl6pPr>
          <a:lvl7pPr marL="2743200" indent="0">
            <a:defRPr sz="1100">
              <a:latin typeface="Arial"/>
            </a:defRPr>
          </a:lvl7pPr>
          <a:lvl8pPr marL="3200400" indent="0">
            <a:defRPr sz="1100">
              <a:latin typeface="Arial"/>
            </a:defRPr>
          </a:lvl8pPr>
          <a:lvl9pPr marL="3657600" indent="0">
            <a:defRPr sz="1100">
              <a:latin typeface="Arial"/>
            </a:defRPr>
          </a:lvl9pPr>
        </a:lstStyle>
        <a:p xmlns:a="http://schemas.openxmlformats.org/drawingml/2006/main">
          <a:r>
            <a:rPr lang="nl-BE" sz="800">
              <a:latin typeface="Arial" pitchFamily="34" charset="0"/>
              <a:cs typeface="Arial" pitchFamily="34" charset="0"/>
            </a:rPr>
            <a:t>Controleperiode</a:t>
          </a:r>
        </a:p>
      </cdr:txBody>
    </cdr:sp>
  </cdr:relSizeAnchor>
  <cdr:relSizeAnchor xmlns:cdr="http://schemas.openxmlformats.org/drawingml/2006/chartDrawing">
    <cdr:from>
      <cdr:x>0.38899</cdr:x>
      <cdr:y>0.81331</cdr:y>
    </cdr:from>
    <cdr:to>
      <cdr:x>0.69145</cdr:x>
      <cdr:y>0.92629</cdr:y>
    </cdr:to>
    <cdr:sp macro="" textlink="">
      <cdr:nvSpPr>
        <cdr:cNvPr id="16" name="Tekstvak 1"/>
        <cdr:cNvSpPr txBox="1"/>
      </cdr:nvSpPr>
      <cdr:spPr>
        <a:xfrm xmlns:a="http://schemas.openxmlformats.org/drawingml/2006/main">
          <a:off x="1952625" y="2428875"/>
          <a:ext cx="1518234" cy="337414"/>
        </a:xfrm>
        <a:prstGeom xmlns:a="http://schemas.openxmlformats.org/drawingml/2006/main" prst="rect">
          <a:avLst/>
        </a:prstGeom>
        <a:scene3d xmlns:a="http://schemas.openxmlformats.org/drawingml/2006/main">
          <a:camera prst="orthographicFront">
            <a:rot lat="0" lon="0" rev="0"/>
          </a:camera>
          <a:lightRig rig="threePt" dir="t"/>
        </a:scene3d>
      </cdr:spPr>
      <cdr:txBody>
        <a:bodyPr xmlns:a="http://schemas.openxmlformats.org/drawingml/2006/main" wrap="square" rtlCol="0">
          <a:scene3d>
            <a:camera prst="orthographicFront">
              <a:rot lat="0" lon="0" rev="3000000"/>
            </a:camera>
            <a:lightRig rig="threePt" dir="t"/>
          </a:scene3d>
        </a:bodyPr>
        <a:lstStyle xmlns:a="http://schemas.openxmlformats.org/drawingml/2006/main">
          <a:lvl1pPr marL="0" indent="0">
            <a:defRPr sz="1100">
              <a:latin typeface="Arial"/>
            </a:defRPr>
          </a:lvl1pPr>
          <a:lvl2pPr marL="457200" indent="0">
            <a:defRPr sz="1100">
              <a:latin typeface="Arial"/>
            </a:defRPr>
          </a:lvl2pPr>
          <a:lvl3pPr marL="914400" indent="0">
            <a:defRPr sz="1100">
              <a:latin typeface="Arial"/>
            </a:defRPr>
          </a:lvl3pPr>
          <a:lvl4pPr marL="1371600" indent="0">
            <a:defRPr sz="1100">
              <a:latin typeface="Arial"/>
            </a:defRPr>
          </a:lvl4pPr>
          <a:lvl5pPr marL="1828800" indent="0">
            <a:defRPr sz="1100">
              <a:latin typeface="Arial"/>
            </a:defRPr>
          </a:lvl5pPr>
          <a:lvl6pPr marL="2286000" indent="0">
            <a:defRPr sz="1100">
              <a:latin typeface="Arial"/>
            </a:defRPr>
          </a:lvl6pPr>
          <a:lvl7pPr marL="2743200" indent="0">
            <a:defRPr sz="1100">
              <a:latin typeface="Arial"/>
            </a:defRPr>
          </a:lvl7pPr>
          <a:lvl8pPr marL="3200400" indent="0">
            <a:defRPr sz="1100">
              <a:latin typeface="Arial"/>
            </a:defRPr>
          </a:lvl8pPr>
          <a:lvl9pPr marL="3657600" indent="0">
            <a:defRPr sz="1100">
              <a:latin typeface="Arial"/>
            </a:defRPr>
          </a:lvl9pPr>
        </a:lstStyle>
        <a:p xmlns:a="http://schemas.openxmlformats.org/drawingml/2006/main">
          <a:r>
            <a:rPr lang="nl-BE" sz="800">
              <a:latin typeface="Arial" pitchFamily="34" charset="0"/>
              <a:cs typeface="Arial" pitchFamily="34" charset="0"/>
            </a:rPr>
            <a:t>Bicarbonaatsupplementatie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0.15816</cdr:x>
      <cdr:y>0.78648</cdr:y>
    </cdr:from>
    <cdr:to>
      <cdr:x>0.29916</cdr:x>
      <cdr:y>0.82704</cdr:y>
    </cdr:to>
    <cdr:sp macro="" textlink="">
      <cdr:nvSpPr>
        <cdr:cNvPr id="2" name="Linkeraccolade 1"/>
        <cdr:cNvSpPr/>
      </cdr:nvSpPr>
      <cdr:spPr>
        <a:xfrm xmlns:a="http://schemas.openxmlformats.org/drawingml/2006/main" rot="16200000">
          <a:off x="1197103" y="1765867"/>
          <a:ext cx="108174" cy="771523"/>
        </a:xfrm>
        <a:prstGeom xmlns:a="http://schemas.openxmlformats.org/drawingml/2006/main" prst="leftBrace">
          <a:avLst>
            <a:gd name="adj1" fmla="val 19444"/>
            <a:gd name="adj2" fmla="val 50000"/>
          </a:avLst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Arial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Arial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Arial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Arial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Arial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Arial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Arial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Arial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Arial"/>
            </a:defRPr>
          </a:lvl9pPr>
        </a:lstStyle>
        <a:p xmlns:a="http://schemas.openxmlformats.org/drawingml/2006/main">
          <a:endParaRPr lang="nl-BE"/>
        </a:p>
      </cdr:txBody>
    </cdr:sp>
  </cdr:relSizeAnchor>
  <cdr:relSizeAnchor xmlns:cdr="http://schemas.openxmlformats.org/drawingml/2006/chartDrawing">
    <cdr:from>
      <cdr:x>0.29917</cdr:x>
      <cdr:y>0.78732</cdr:y>
    </cdr:from>
    <cdr:to>
      <cdr:x>0.73742</cdr:x>
      <cdr:y>0.82691</cdr:y>
    </cdr:to>
    <cdr:sp macro="" textlink="">
      <cdr:nvSpPr>
        <cdr:cNvPr id="3" name="Linkeraccolade 2"/>
        <cdr:cNvSpPr/>
      </cdr:nvSpPr>
      <cdr:spPr>
        <a:xfrm xmlns:a="http://schemas.openxmlformats.org/drawingml/2006/main" rot="16200000">
          <a:off x="2783219" y="953569"/>
          <a:ext cx="105587" cy="2398014"/>
        </a:xfrm>
        <a:prstGeom xmlns:a="http://schemas.openxmlformats.org/drawingml/2006/main" prst="leftBrace">
          <a:avLst>
            <a:gd name="adj1" fmla="val 19444"/>
            <a:gd name="adj2" fmla="val 50000"/>
          </a:avLst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Arial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Arial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Arial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Arial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Arial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Arial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Arial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Arial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Arial"/>
            </a:defRPr>
          </a:lvl9pPr>
        </a:lstStyle>
        <a:p xmlns:a="http://schemas.openxmlformats.org/drawingml/2006/main">
          <a:endParaRPr lang="nl-BE"/>
        </a:p>
      </cdr:txBody>
    </cdr:sp>
  </cdr:relSizeAnchor>
  <cdr:relSizeAnchor xmlns:cdr="http://schemas.openxmlformats.org/drawingml/2006/chartDrawing">
    <cdr:from>
      <cdr:x>0.73865</cdr:x>
      <cdr:y>0.78791</cdr:y>
    </cdr:from>
    <cdr:to>
      <cdr:x>0.94095</cdr:x>
      <cdr:y>0.83109</cdr:y>
    </cdr:to>
    <cdr:sp macro="" textlink="">
      <cdr:nvSpPr>
        <cdr:cNvPr id="4" name="Linkeraccolade 3"/>
        <cdr:cNvSpPr/>
      </cdr:nvSpPr>
      <cdr:spPr>
        <a:xfrm xmlns:a="http://schemas.openxmlformats.org/drawingml/2006/main" rot="16200000">
          <a:off x="4537648" y="1605456"/>
          <a:ext cx="115150" cy="1106945"/>
        </a:xfrm>
        <a:prstGeom xmlns:a="http://schemas.openxmlformats.org/drawingml/2006/main" prst="leftBrace">
          <a:avLst>
            <a:gd name="adj1" fmla="val 19444"/>
            <a:gd name="adj2" fmla="val 50000"/>
          </a:avLst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Arial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Arial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Arial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Arial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Arial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Arial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Arial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Arial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Arial"/>
            </a:defRPr>
          </a:lvl9pPr>
        </a:lstStyle>
        <a:p xmlns:a="http://schemas.openxmlformats.org/drawingml/2006/main">
          <a:endParaRPr lang="nl-BE"/>
        </a:p>
      </cdr:txBody>
    </cdr:sp>
  </cdr:relSizeAnchor>
  <cdr:relSizeAnchor xmlns:cdr="http://schemas.openxmlformats.org/drawingml/2006/chartDrawing">
    <cdr:from>
      <cdr:x>0.14796</cdr:x>
      <cdr:y>0.81747</cdr:y>
    </cdr:from>
    <cdr:to>
      <cdr:x>0.37486</cdr:x>
      <cdr:y>0.93875</cdr:y>
    </cdr:to>
    <cdr:sp macro="" textlink="">
      <cdr:nvSpPr>
        <cdr:cNvPr id="6" name="Tekstvak 1"/>
        <cdr:cNvSpPr txBox="1"/>
      </cdr:nvSpPr>
      <cdr:spPr>
        <a:xfrm xmlns:a="http://schemas.openxmlformats.org/drawingml/2006/main">
          <a:off x="809625" y="2180192"/>
          <a:ext cx="1241532" cy="323454"/>
        </a:xfrm>
        <a:prstGeom xmlns:a="http://schemas.openxmlformats.org/drawingml/2006/main" prst="rect">
          <a:avLst/>
        </a:prstGeom>
        <a:scene3d xmlns:a="http://schemas.openxmlformats.org/drawingml/2006/main">
          <a:camera prst="orthographicFront">
            <a:rot lat="0" lon="0" rev="0"/>
          </a:camera>
          <a:lightRig rig="threePt" dir="t"/>
        </a:scene3d>
      </cdr:spPr>
      <cdr:txBody>
        <a:bodyPr xmlns:a="http://schemas.openxmlformats.org/drawingml/2006/main" wrap="square" rtlCol="0">
          <a:scene3d>
            <a:camera prst="orthographicFront">
              <a:rot lat="0" lon="0" rev="3000000"/>
            </a:camera>
            <a:lightRig rig="threePt" dir="t"/>
          </a:scene3d>
        </a:bodyPr>
        <a:lstStyle xmlns:a="http://schemas.openxmlformats.org/drawingml/2006/main">
          <a:lvl1pPr marL="0" indent="0">
            <a:defRPr sz="1100">
              <a:latin typeface="Arial"/>
            </a:defRPr>
          </a:lvl1pPr>
          <a:lvl2pPr marL="457200" indent="0">
            <a:defRPr sz="1100">
              <a:latin typeface="Arial"/>
            </a:defRPr>
          </a:lvl2pPr>
          <a:lvl3pPr marL="914400" indent="0">
            <a:defRPr sz="1100">
              <a:latin typeface="Arial"/>
            </a:defRPr>
          </a:lvl3pPr>
          <a:lvl4pPr marL="1371600" indent="0">
            <a:defRPr sz="1100">
              <a:latin typeface="Arial"/>
            </a:defRPr>
          </a:lvl4pPr>
          <a:lvl5pPr marL="1828800" indent="0">
            <a:defRPr sz="1100">
              <a:latin typeface="Arial"/>
            </a:defRPr>
          </a:lvl5pPr>
          <a:lvl6pPr marL="2286000" indent="0">
            <a:defRPr sz="1100">
              <a:latin typeface="Arial"/>
            </a:defRPr>
          </a:lvl6pPr>
          <a:lvl7pPr marL="2743200" indent="0">
            <a:defRPr sz="1100">
              <a:latin typeface="Arial"/>
            </a:defRPr>
          </a:lvl7pPr>
          <a:lvl8pPr marL="3200400" indent="0">
            <a:defRPr sz="1100">
              <a:latin typeface="Arial"/>
            </a:defRPr>
          </a:lvl8pPr>
          <a:lvl9pPr marL="3657600" indent="0">
            <a:defRPr sz="1100">
              <a:latin typeface="Arial"/>
            </a:defRPr>
          </a:lvl9pPr>
        </a:lstStyle>
        <a:p xmlns:a="http://schemas.openxmlformats.org/drawingml/2006/main">
          <a:r>
            <a:rPr lang="nl-BE" sz="800">
              <a:latin typeface="Arial" pitchFamily="34" charset="0"/>
              <a:cs typeface="Arial" pitchFamily="34" charset="0"/>
            </a:rPr>
            <a:t>Controleperiode</a:t>
          </a:r>
        </a:p>
      </cdr:txBody>
    </cdr:sp>
  </cdr:relSizeAnchor>
  <cdr:relSizeAnchor xmlns:cdr="http://schemas.openxmlformats.org/drawingml/2006/chartDrawing">
    <cdr:from>
      <cdr:x>0.39341</cdr:x>
      <cdr:y>0.81521</cdr:y>
    </cdr:from>
    <cdr:to>
      <cdr:x>0.70291</cdr:x>
      <cdr:y>0.93907</cdr:y>
    </cdr:to>
    <cdr:sp macro="" textlink="">
      <cdr:nvSpPr>
        <cdr:cNvPr id="7" name="Tekstvak 1"/>
        <cdr:cNvSpPr txBox="1"/>
      </cdr:nvSpPr>
      <cdr:spPr>
        <a:xfrm xmlns:a="http://schemas.openxmlformats.org/drawingml/2006/main">
          <a:off x="1929816" y="2174165"/>
          <a:ext cx="1518234" cy="330335"/>
        </a:xfrm>
        <a:prstGeom xmlns:a="http://schemas.openxmlformats.org/drawingml/2006/main" prst="rect">
          <a:avLst/>
        </a:prstGeom>
        <a:scene3d xmlns:a="http://schemas.openxmlformats.org/drawingml/2006/main">
          <a:camera prst="orthographicFront">
            <a:rot lat="0" lon="0" rev="0"/>
          </a:camera>
          <a:lightRig rig="threePt" dir="t"/>
        </a:scene3d>
      </cdr:spPr>
      <cdr:txBody>
        <a:bodyPr xmlns:a="http://schemas.openxmlformats.org/drawingml/2006/main" wrap="square" rtlCol="0">
          <a:scene3d>
            <a:camera prst="orthographicFront">
              <a:rot lat="0" lon="0" rev="3000000"/>
            </a:camera>
            <a:lightRig rig="threePt" dir="t"/>
          </a:scene3d>
        </a:bodyPr>
        <a:lstStyle xmlns:a="http://schemas.openxmlformats.org/drawingml/2006/main">
          <a:lvl1pPr marL="0" indent="0">
            <a:defRPr sz="1100">
              <a:latin typeface="Arial"/>
            </a:defRPr>
          </a:lvl1pPr>
          <a:lvl2pPr marL="457200" indent="0">
            <a:defRPr sz="1100">
              <a:latin typeface="Arial"/>
            </a:defRPr>
          </a:lvl2pPr>
          <a:lvl3pPr marL="914400" indent="0">
            <a:defRPr sz="1100">
              <a:latin typeface="Arial"/>
            </a:defRPr>
          </a:lvl3pPr>
          <a:lvl4pPr marL="1371600" indent="0">
            <a:defRPr sz="1100">
              <a:latin typeface="Arial"/>
            </a:defRPr>
          </a:lvl4pPr>
          <a:lvl5pPr marL="1828800" indent="0">
            <a:defRPr sz="1100">
              <a:latin typeface="Arial"/>
            </a:defRPr>
          </a:lvl5pPr>
          <a:lvl6pPr marL="2286000" indent="0">
            <a:defRPr sz="1100">
              <a:latin typeface="Arial"/>
            </a:defRPr>
          </a:lvl6pPr>
          <a:lvl7pPr marL="2743200" indent="0">
            <a:defRPr sz="1100">
              <a:latin typeface="Arial"/>
            </a:defRPr>
          </a:lvl7pPr>
          <a:lvl8pPr marL="3200400" indent="0">
            <a:defRPr sz="1100">
              <a:latin typeface="Arial"/>
            </a:defRPr>
          </a:lvl8pPr>
          <a:lvl9pPr marL="3657600" indent="0">
            <a:defRPr sz="1100">
              <a:latin typeface="Arial"/>
            </a:defRPr>
          </a:lvl9pPr>
        </a:lstStyle>
        <a:p xmlns:a="http://schemas.openxmlformats.org/drawingml/2006/main">
          <a:r>
            <a:rPr lang="nl-BE" sz="800">
              <a:latin typeface="Arial" pitchFamily="34" charset="0"/>
              <a:cs typeface="Arial" pitchFamily="34" charset="0"/>
            </a:rPr>
            <a:t>Bicarbonaatsupplementatie</a:t>
          </a:r>
        </a:p>
      </cdr:txBody>
    </cdr:sp>
  </cdr:relSizeAnchor>
  <cdr:relSizeAnchor xmlns:cdr="http://schemas.openxmlformats.org/drawingml/2006/chartDrawing">
    <cdr:from>
      <cdr:x>0.76593</cdr:x>
      <cdr:y>0.81341</cdr:y>
    </cdr:from>
    <cdr:to>
      <cdr:x>0.99064</cdr:x>
      <cdr:y>0.98221</cdr:y>
    </cdr:to>
    <cdr:sp macro="" textlink="">
      <cdr:nvSpPr>
        <cdr:cNvPr id="8" name="Tekstvak 1"/>
        <cdr:cNvSpPr txBox="1"/>
      </cdr:nvSpPr>
      <cdr:spPr>
        <a:xfrm xmlns:a="http://schemas.openxmlformats.org/drawingml/2006/main">
          <a:off x="4191000" y="2169364"/>
          <a:ext cx="1229579" cy="450190"/>
        </a:xfrm>
        <a:prstGeom xmlns:a="http://schemas.openxmlformats.org/drawingml/2006/main" prst="rect">
          <a:avLst/>
        </a:prstGeom>
        <a:scene3d xmlns:a="http://schemas.openxmlformats.org/drawingml/2006/main">
          <a:camera prst="orthographicFront">
            <a:rot lat="0" lon="0" rev="0"/>
          </a:camera>
          <a:lightRig rig="threePt" dir="t"/>
        </a:scene3d>
      </cdr:spPr>
      <cdr:txBody>
        <a:bodyPr xmlns:a="http://schemas.openxmlformats.org/drawingml/2006/main" wrap="square" rtlCol="0">
          <a:scene3d>
            <a:camera prst="orthographicFront">
              <a:rot lat="0" lon="0" rev="3000000"/>
            </a:camera>
            <a:lightRig rig="threePt" dir="t"/>
          </a:scene3d>
        </a:bodyPr>
        <a:lstStyle xmlns:a="http://schemas.openxmlformats.org/drawingml/2006/main">
          <a:lvl1pPr marL="0" indent="0">
            <a:defRPr sz="1100">
              <a:latin typeface="Arial"/>
            </a:defRPr>
          </a:lvl1pPr>
          <a:lvl2pPr marL="457200" indent="0">
            <a:defRPr sz="1100">
              <a:latin typeface="Arial"/>
            </a:defRPr>
          </a:lvl2pPr>
          <a:lvl3pPr marL="914400" indent="0">
            <a:defRPr sz="1100">
              <a:latin typeface="Arial"/>
            </a:defRPr>
          </a:lvl3pPr>
          <a:lvl4pPr marL="1371600" indent="0">
            <a:defRPr sz="1100">
              <a:latin typeface="Arial"/>
            </a:defRPr>
          </a:lvl4pPr>
          <a:lvl5pPr marL="1828800" indent="0">
            <a:defRPr sz="1100">
              <a:latin typeface="Arial"/>
            </a:defRPr>
          </a:lvl5pPr>
          <a:lvl6pPr marL="2286000" indent="0">
            <a:defRPr sz="1100">
              <a:latin typeface="Arial"/>
            </a:defRPr>
          </a:lvl6pPr>
          <a:lvl7pPr marL="2743200" indent="0">
            <a:defRPr sz="1100">
              <a:latin typeface="Arial"/>
            </a:defRPr>
          </a:lvl7pPr>
          <a:lvl8pPr marL="3200400" indent="0">
            <a:defRPr sz="1100">
              <a:latin typeface="Arial"/>
            </a:defRPr>
          </a:lvl8pPr>
          <a:lvl9pPr marL="3657600" indent="0">
            <a:defRPr sz="1100">
              <a:latin typeface="Arial"/>
            </a:defRPr>
          </a:lvl9pPr>
        </a:lstStyle>
        <a:p xmlns:a="http://schemas.openxmlformats.org/drawingml/2006/main">
          <a:r>
            <a:rPr lang="nl-BE" sz="800">
              <a:latin typeface="Arial" pitchFamily="34" charset="0"/>
              <a:cs typeface="Arial" pitchFamily="34" charset="0"/>
            </a:rPr>
            <a:t>Controleperiode</a:t>
          </a:r>
        </a:p>
      </cdr:txBody>
    </cdr:sp>
  </cdr:relSizeAnchor>
</c:userShapes>
</file>

<file path=word/theme/theme1.xml><?xml version="1.0" encoding="utf-8"?>
<a:theme xmlns:a="http://schemas.openxmlformats.org/drawingml/2006/main" name="Office-thema">
  <a:themeElements>
    <a:clrScheme name="KULeuven-Themakleuren">
      <a:dk1>
        <a:srgbClr val="00407A"/>
      </a:dk1>
      <a:lt1>
        <a:srgbClr val="FFFFFF"/>
      </a:lt1>
      <a:dk2>
        <a:srgbClr val="00407A"/>
      </a:dk2>
      <a:lt2>
        <a:srgbClr val="FFFFFF"/>
      </a:lt2>
      <a:accent1>
        <a:srgbClr val="1D8DB0"/>
      </a:accent1>
      <a:accent2>
        <a:srgbClr val="116E8A"/>
      </a:accent2>
      <a:accent3>
        <a:srgbClr val="86BCE5"/>
      </a:accent3>
      <a:accent4>
        <a:srgbClr val="00407A"/>
      </a:accent4>
      <a:accent5>
        <a:srgbClr val="7F7F7F"/>
      </a:accent5>
      <a:accent6>
        <a:srgbClr val="595959"/>
      </a:accent6>
      <a:hlink>
        <a:srgbClr val="1D8DB0"/>
      </a:hlink>
      <a:folHlink>
        <a:srgbClr val="00407A"/>
      </a:folHlink>
    </a:clrScheme>
    <a:fontScheme name="KULeuv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2016-09-30T07:18:00Z</dcterms:created>
  <dcterms:modified xsi:type="dcterms:W3CDTF">2016-09-30T08:12:00Z</dcterms:modified>
</cp:coreProperties>
</file>