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02" w:rsidRDefault="00F72402"/>
    <w:p w:rsidR="00E7472B" w:rsidRDefault="00F72402">
      <w:bookmarkStart w:id="0" w:name="_GoBack"/>
      <w:r w:rsidRPr="002E4183">
        <w:rPr>
          <w:noProof/>
          <w:color w:val="00B050"/>
          <w:lang w:eastAsia="nl-BE"/>
        </w:rPr>
        <w:drawing>
          <wp:anchor distT="0" distB="0" distL="114300" distR="114300" simplePos="0" relativeHeight="251661312" behindDoc="1" locked="0" layoutInCell="1" allowOverlap="1" wp14:anchorId="0ECFF060" wp14:editId="5A4540F4">
            <wp:simplePos x="0" y="0"/>
            <wp:positionH relativeFrom="column">
              <wp:posOffset>0</wp:posOffset>
            </wp:positionH>
            <wp:positionV relativeFrom="paragraph">
              <wp:posOffset>1256665</wp:posOffset>
            </wp:positionV>
            <wp:extent cx="5334000" cy="2619375"/>
            <wp:effectExtent l="0" t="0" r="0" b="9525"/>
            <wp:wrapTopAndBottom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0785F">
        <w:rPr>
          <w:rFonts w:eastAsia="Arial Unicode MS" w:cstheme="minorHAnsi"/>
          <w:noProof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 wp14:anchorId="398E9957" wp14:editId="2E9D7C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28875" cy="965200"/>
            <wp:effectExtent l="0" t="0" r="9525" b="6350"/>
            <wp:wrapTopAndBottom/>
            <wp:docPr id="39" name="Picture 39" descr="C:\Users\Eva\Desktop\MasterThesis\Tabellen en figuren\Nut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va\Desktop\MasterThesis\Tabellen en figuren\Nut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02"/>
    <w:rsid w:val="00680B76"/>
    <w:rsid w:val="00E33005"/>
    <w:rsid w:val="00F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8038"/>
  <w15:chartTrackingRefBased/>
  <w15:docId w15:val="{7F9EDFDC-174F-4875-BA9C-CF439906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 sz="1400"/>
              <a:t>Gemiddelde Aankoopintentie </a:t>
            </a:r>
            <a:r>
              <a:rPr lang="nl-BE" sz="1400" baseline="0"/>
              <a:t> </a:t>
            </a:r>
          </a:p>
        </c:rich>
      </c:tx>
      <c:layout>
        <c:manualLayout>
          <c:xMode val="edge"/>
          <c:yMode val="edge"/>
          <c:x val="0.20198726644317974"/>
          <c:y val="9.412087951815939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>
        <c:manualLayout>
          <c:layoutTarget val="inner"/>
          <c:xMode val="edge"/>
          <c:yMode val="edge"/>
          <c:x val="0.12175799887362258"/>
          <c:y val="9.4655740706830249E-2"/>
          <c:w val="0.68903567216041317"/>
          <c:h val="0.8102765061344076"/>
        </c:manualLayout>
      </c:layout>
      <c:lineChart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Afwezigheid Nutri-Score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Sheet1!$A$3:$A$7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0">
                  <c:v>3.9430000000000001</c:v>
                </c:pt>
                <c:pt idx="1">
                  <c:v>3.3410000000000002</c:v>
                </c:pt>
                <c:pt idx="2">
                  <c:v>3.5470000000000002</c:v>
                </c:pt>
                <c:pt idx="3">
                  <c:v>3.6019999999999999</c:v>
                </c:pt>
                <c:pt idx="4">
                  <c:v>3.5259999999999998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64-42D4-84F9-804D5B121A23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Aanwezigheid Nutri-Score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5"/>
              </a:solidFill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Sheet1!$A$3:$A$7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Sheet1!$C$3:$C$7</c:f>
              <c:numCache>
                <c:formatCode>General</c:formatCode>
                <c:ptCount val="5"/>
                <c:pt idx="0">
                  <c:v>4.3929999999999998</c:v>
                </c:pt>
                <c:pt idx="1">
                  <c:v>3.8439999999999999</c:v>
                </c:pt>
                <c:pt idx="2">
                  <c:v>3.6869999999999998</c:v>
                </c:pt>
                <c:pt idx="3">
                  <c:v>3.4809999999999999</c:v>
                </c:pt>
                <c:pt idx="4">
                  <c:v>3.464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64-42D4-84F9-804D5B121A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78023456"/>
        <c:axId val="-778037600"/>
      </c:lineChart>
      <c:catAx>
        <c:axId val="-778023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BE" b="1"/>
                  <a:t>Nutri-Score: letter</a:t>
                </a:r>
              </a:p>
            </c:rich>
          </c:tx>
          <c:layout>
            <c:manualLayout>
              <c:xMode val="edge"/>
              <c:yMode val="edge"/>
              <c:x val="0.34542212024821395"/>
              <c:y val="0.846076857100478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B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-778037600"/>
        <c:crosses val="autoZero"/>
        <c:auto val="1"/>
        <c:lblAlgn val="ctr"/>
        <c:lblOffset val="100"/>
        <c:noMultiLvlLbl val="0"/>
      </c:catAx>
      <c:valAx>
        <c:axId val="-778037600"/>
        <c:scaling>
          <c:orientation val="minMax"/>
          <c:max val="4.5"/>
          <c:min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BE" b="1"/>
                  <a:t>Gemiddelde aankoopintentie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B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-778023456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6589074139011981"/>
          <c:y val="0.30407098821949585"/>
          <c:w val="0.23410927953824315"/>
          <c:h val="0.38546912006339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Heeremans</dc:creator>
  <cp:keywords/>
  <dc:description/>
  <cp:lastModifiedBy>Eva Heeremans</cp:lastModifiedBy>
  <cp:revision>1</cp:revision>
  <dcterms:created xsi:type="dcterms:W3CDTF">2019-10-04T07:15:00Z</dcterms:created>
  <dcterms:modified xsi:type="dcterms:W3CDTF">2019-10-04T07:19:00Z</dcterms:modified>
</cp:coreProperties>
</file>