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E956" w14:textId="75565F17" w:rsidR="00332F2E" w:rsidRDefault="00332F2E">
      <w:pPr>
        <w:rPr>
          <w:u w:val="single"/>
          <w:lang w:val="fr-BE"/>
        </w:rPr>
      </w:pPr>
    </w:p>
    <w:p w14:paraId="0D8ADFAF" w14:textId="23B3E676" w:rsidR="006B792C" w:rsidRDefault="006B792C">
      <w:pPr>
        <w:rPr>
          <w:u w:val="single"/>
          <w:lang w:val="fr-BE"/>
        </w:rPr>
      </w:pPr>
    </w:p>
    <w:tbl>
      <w:tblPr>
        <w:tblStyle w:val="Tablestyle"/>
        <w:tblpPr w:vertAnchor="page" w:horzAnchor="margin" w:tblpXSpec="right" w:tblpY="14591"/>
        <w:tblOverlap w:val="never"/>
        <w:tblW w:w="0" w:type="auto"/>
        <w:tblLook w:val="0600" w:firstRow="0" w:lastRow="0" w:firstColumn="0" w:lastColumn="0" w:noHBand="1" w:noVBand="1"/>
      </w:tblPr>
      <w:tblGrid>
        <w:gridCol w:w="8089"/>
      </w:tblGrid>
      <w:tr w:rsidR="00CF283D" w:rsidRPr="00A1445D" w14:paraId="5BB73006" w14:textId="77777777" w:rsidTr="00221977">
        <w:tc>
          <w:tcPr>
            <w:tcW w:w="8089" w:type="dxa"/>
          </w:tcPr>
          <w:p w14:paraId="2A6DBC1B" w14:textId="399AB5C6" w:rsidR="00EC1EE5" w:rsidRDefault="00CF283D" w:rsidP="00EC1EE5">
            <w:pPr>
              <w:suppressAutoHyphens/>
              <w:spacing w:line="260" w:lineRule="atLeast"/>
              <w:rPr>
                <w:rFonts w:ascii="Verdana" w:hAnsi="Verdana"/>
                <w:color w:val="FF6600"/>
                <w:szCs w:val="24"/>
              </w:rPr>
            </w:pPr>
            <w:r w:rsidRPr="00A1445D">
              <w:rPr>
                <w:rFonts w:ascii="Verdana" w:hAnsi="Verdana"/>
                <w:color w:val="FF6600"/>
                <w:szCs w:val="24"/>
              </w:rPr>
              <w:t>Promotor:</w:t>
            </w:r>
            <w:r w:rsidR="00B45381">
              <w:t xml:space="preserve"> </w:t>
            </w:r>
            <w:r w:rsidR="00B45381" w:rsidRPr="00B45381">
              <w:rPr>
                <w:rFonts w:ascii="Verdana" w:hAnsi="Verdana"/>
                <w:color w:val="FF6600"/>
                <w:szCs w:val="24"/>
              </w:rPr>
              <w:t xml:space="preserve">Karl Martin </w:t>
            </w:r>
            <w:proofErr w:type="spellStart"/>
            <w:r w:rsidR="00B45381" w:rsidRPr="00B45381">
              <w:rPr>
                <w:rFonts w:ascii="Verdana" w:hAnsi="Verdana"/>
                <w:color w:val="FF6600"/>
                <w:szCs w:val="24"/>
              </w:rPr>
              <w:t>Wissing</w:t>
            </w:r>
            <w:proofErr w:type="spellEnd"/>
            <w:r w:rsidR="00B45381" w:rsidRPr="00B45381">
              <w:rPr>
                <w:rFonts w:ascii="Verdana" w:hAnsi="Verdana"/>
                <w:color w:val="FF6600"/>
                <w:szCs w:val="24"/>
              </w:rPr>
              <w:t>, MD, PhD</w:t>
            </w:r>
            <w:r w:rsidRPr="00A1445D">
              <w:rPr>
                <w:rFonts w:ascii="Verdana" w:hAnsi="Verdana"/>
                <w:color w:val="FF6600"/>
                <w:szCs w:val="24"/>
              </w:rPr>
              <w:t xml:space="preserve"> </w:t>
            </w:r>
            <w:r w:rsidR="00EC1EE5">
              <w:t xml:space="preserve"> </w:t>
            </w:r>
          </w:p>
          <w:p w14:paraId="567B8557" w14:textId="1C7D49C9" w:rsidR="00CF283D" w:rsidRPr="00A1445D" w:rsidRDefault="00CF283D" w:rsidP="00EC1EE5">
            <w:pPr>
              <w:suppressAutoHyphens/>
              <w:spacing w:line="260" w:lineRule="atLeast"/>
              <w:rPr>
                <w:rFonts w:ascii="Verdana" w:hAnsi="Verdana"/>
                <w:color w:val="FF6600"/>
                <w:szCs w:val="24"/>
              </w:rPr>
            </w:pPr>
            <w:proofErr w:type="spellStart"/>
            <w:r w:rsidRPr="00A1445D">
              <w:rPr>
                <w:rFonts w:ascii="Verdana" w:hAnsi="Verdana"/>
                <w:color w:val="FF6600"/>
                <w:szCs w:val="24"/>
              </w:rPr>
              <w:t>Co-promotor</w:t>
            </w:r>
            <w:proofErr w:type="spellEnd"/>
            <w:r w:rsidRPr="00A1445D">
              <w:rPr>
                <w:rFonts w:ascii="Verdana" w:hAnsi="Verdana"/>
                <w:color w:val="FF6600"/>
                <w:szCs w:val="24"/>
              </w:rPr>
              <w:t xml:space="preserve">: </w:t>
            </w:r>
            <w:r w:rsidR="00C20AD2">
              <w:t xml:space="preserve"> </w:t>
            </w:r>
            <w:r w:rsidR="00C20AD2" w:rsidRPr="00C20AD2">
              <w:rPr>
                <w:rFonts w:ascii="Verdana" w:hAnsi="Verdana"/>
                <w:color w:val="FF6600"/>
                <w:szCs w:val="24"/>
              </w:rPr>
              <w:t>Els Van de Perre, MD</w:t>
            </w:r>
          </w:p>
        </w:tc>
      </w:tr>
      <w:tr w:rsidR="00CF283D" w:rsidRPr="00A1445D" w14:paraId="0B387CD6" w14:textId="77777777" w:rsidTr="00221977">
        <w:tc>
          <w:tcPr>
            <w:tcW w:w="8089" w:type="dxa"/>
          </w:tcPr>
          <w:p w14:paraId="1DBA32B8" w14:textId="77777777" w:rsidR="00CF283D" w:rsidRPr="00A1445D" w:rsidRDefault="00CF283D" w:rsidP="00221977">
            <w:pPr>
              <w:suppressAutoHyphens/>
              <w:spacing w:line="260" w:lineRule="atLeast"/>
              <w:rPr>
                <w:rFonts w:ascii="Verdana" w:hAnsi="Verdana"/>
                <w:color w:val="003399"/>
                <w:szCs w:val="24"/>
              </w:rPr>
            </w:pPr>
            <w:r w:rsidRPr="00A1445D">
              <w:rPr>
                <w:rFonts w:ascii="Verdana" w:hAnsi="Verdana"/>
                <w:color w:val="003399"/>
                <w:szCs w:val="24"/>
              </w:rPr>
              <w:t>Geneeskunde en Farmacie</w:t>
            </w:r>
          </w:p>
        </w:tc>
      </w:tr>
    </w:tbl>
    <w:p w14:paraId="479D04F3" w14:textId="6DD3AE13" w:rsidR="006B792C" w:rsidRDefault="006B792C">
      <w:pPr>
        <w:rPr>
          <w:u w:val="single"/>
          <w:lang w:val="fr-BE"/>
        </w:rPr>
      </w:pPr>
    </w:p>
    <w:tbl>
      <w:tblPr>
        <w:tblStyle w:val="Tablestyle"/>
        <w:tblpPr w:leftFromText="142" w:rightFromText="142" w:vertAnchor="page" w:horzAnchor="margin" w:tblpXSpec="right" w:tblpY="5661"/>
        <w:tblOverlap w:val="never"/>
        <w:tblW w:w="0" w:type="auto"/>
        <w:tblLook w:val="0600" w:firstRow="0" w:lastRow="0" w:firstColumn="0" w:lastColumn="0" w:noHBand="1" w:noVBand="1"/>
      </w:tblPr>
      <w:tblGrid>
        <w:gridCol w:w="8089"/>
      </w:tblGrid>
      <w:tr w:rsidR="00A1445D" w:rsidRPr="00A1445D" w14:paraId="3133F572" w14:textId="77777777" w:rsidTr="00FE2408">
        <w:tc>
          <w:tcPr>
            <w:tcW w:w="8089" w:type="dxa"/>
          </w:tcPr>
          <w:p w14:paraId="5CEDFDF1" w14:textId="77777777" w:rsidR="00A1445D" w:rsidRPr="00A1445D" w:rsidRDefault="00A1445D" w:rsidP="00FE2408">
            <w:pPr>
              <w:suppressAutoHyphens/>
              <w:spacing w:line="260" w:lineRule="atLeast"/>
              <w:rPr>
                <w:rFonts w:ascii="Verdana" w:hAnsi="Verdana"/>
                <w:color w:val="FF6600"/>
                <w:szCs w:val="24"/>
              </w:rPr>
            </w:pPr>
            <w:r w:rsidRPr="00A1445D">
              <w:rPr>
                <w:rFonts w:ascii="Verdana" w:hAnsi="Verdana"/>
                <w:color w:val="FF6600"/>
                <w:szCs w:val="24"/>
              </w:rPr>
              <w:t xml:space="preserve">Proef ingediend met het oog op het behalen </w:t>
            </w:r>
            <w:r w:rsidRPr="00A1445D">
              <w:rPr>
                <w:rFonts w:ascii="Verdana" w:hAnsi="Verdana"/>
                <w:color w:val="FF6600"/>
                <w:szCs w:val="24"/>
              </w:rPr>
              <w:br/>
              <w:t>van de graad van Master in de Geneeskunde</w:t>
            </w:r>
          </w:p>
        </w:tc>
      </w:tr>
      <w:tr w:rsidR="00A1445D" w:rsidRPr="00A1445D" w14:paraId="2E1FCAAB" w14:textId="77777777" w:rsidTr="00FE2408">
        <w:tc>
          <w:tcPr>
            <w:tcW w:w="8089" w:type="dxa"/>
            <w:tcMar>
              <w:top w:w="340" w:type="dxa"/>
            </w:tcMar>
          </w:tcPr>
          <w:p w14:paraId="315BE9A9" w14:textId="3460D27E" w:rsidR="00A1445D" w:rsidRPr="00A1445D" w:rsidRDefault="00BA5FE9" w:rsidP="00FE2408">
            <w:pPr>
              <w:suppressAutoHyphens/>
              <w:spacing w:line="260" w:lineRule="atLeast"/>
              <w:contextualSpacing/>
              <w:rPr>
                <w:rFonts w:ascii="Verdana" w:hAnsi="Verdana"/>
                <w:b/>
                <w:caps/>
                <w:color w:val="003399"/>
                <w:spacing w:val="-20"/>
                <w:kern w:val="28"/>
                <w:sz w:val="40"/>
                <w:szCs w:val="56"/>
              </w:rPr>
            </w:pPr>
            <w:r>
              <w:rPr>
                <w:rFonts w:ascii="Verdana" w:hAnsi="Verdana"/>
                <w:b/>
                <w:caps/>
                <w:color w:val="003399"/>
                <w:spacing w:val="-20"/>
                <w:kern w:val="28"/>
                <w:sz w:val="40"/>
                <w:szCs w:val="56"/>
              </w:rPr>
              <w:t>KIDNEY STONE PREVENTION</w:t>
            </w:r>
          </w:p>
        </w:tc>
      </w:tr>
      <w:tr w:rsidR="00A1445D" w:rsidRPr="00210A36" w14:paraId="10032308" w14:textId="77777777" w:rsidTr="00FE2408">
        <w:tc>
          <w:tcPr>
            <w:tcW w:w="8089" w:type="dxa"/>
            <w:tcMar>
              <w:top w:w="227" w:type="dxa"/>
            </w:tcMar>
          </w:tcPr>
          <w:p w14:paraId="14AEC689" w14:textId="4EB503DC" w:rsidR="00A1445D" w:rsidRPr="001B324E" w:rsidRDefault="0011295C" w:rsidP="00C93931">
            <w:pPr>
              <w:numPr>
                <w:ilvl w:val="1"/>
                <w:numId w:val="0"/>
              </w:numPr>
              <w:suppressAutoHyphens/>
              <w:spacing w:line="260" w:lineRule="atLeast"/>
              <w:jc w:val="both"/>
              <w:rPr>
                <w:rFonts w:ascii="Verdana" w:hAnsi="Verdana"/>
                <w:b/>
                <w:color w:val="003399"/>
                <w:spacing w:val="15"/>
                <w:sz w:val="24"/>
                <w:lang w:val="en-GB"/>
              </w:rPr>
            </w:pPr>
            <w:r w:rsidRPr="001B324E">
              <w:rPr>
                <w:rFonts w:ascii="Verdana" w:hAnsi="Verdana"/>
                <w:b/>
                <w:color w:val="003399"/>
                <w:spacing w:val="15"/>
                <w:sz w:val="24"/>
                <w:lang w:val="en-GB"/>
              </w:rPr>
              <w:t>Effect of kidney stone prevention on urinary risk factors for kid</w:t>
            </w:r>
            <w:r w:rsidR="006C3269">
              <w:rPr>
                <w:rFonts w:ascii="Verdana" w:hAnsi="Verdana"/>
                <w:b/>
                <w:color w:val="003399"/>
                <w:spacing w:val="15"/>
                <w:sz w:val="24"/>
                <w:lang w:val="en-GB"/>
              </w:rPr>
              <w:t>n</w:t>
            </w:r>
            <w:r w:rsidRPr="001B324E">
              <w:rPr>
                <w:rFonts w:ascii="Verdana" w:hAnsi="Verdana"/>
                <w:b/>
                <w:color w:val="003399"/>
                <w:spacing w:val="15"/>
                <w:sz w:val="24"/>
                <w:lang w:val="en-GB"/>
              </w:rPr>
              <w:t xml:space="preserve">ey stone formation and new stone formation: a single </w:t>
            </w:r>
            <w:r w:rsidR="0051075A" w:rsidRPr="001B324E">
              <w:rPr>
                <w:rFonts w:ascii="Verdana" w:hAnsi="Verdana"/>
                <w:b/>
                <w:color w:val="003399"/>
                <w:spacing w:val="15"/>
                <w:sz w:val="24"/>
                <w:lang w:val="en-GB"/>
              </w:rPr>
              <w:t>centre</w:t>
            </w:r>
            <w:r w:rsidRPr="001B324E">
              <w:rPr>
                <w:rFonts w:ascii="Verdana" w:hAnsi="Verdana"/>
                <w:b/>
                <w:color w:val="003399"/>
                <w:spacing w:val="15"/>
                <w:sz w:val="24"/>
                <w:lang w:val="en-GB"/>
              </w:rPr>
              <w:t xml:space="preserve"> retrospective cohort study</w:t>
            </w:r>
          </w:p>
        </w:tc>
      </w:tr>
      <w:tr w:rsidR="00A1445D" w:rsidRPr="00A1445D" w14:paraId="7FA540FF" w14:textId="77777777" w:rsidTr="00FE2408">
        <w:tc>
          <w:tcPr>
            <w:tcW w:w="8089" w:type="dxa"/>
            <w:tcMar>
              <w:top w:w="851" w:type="dxa"/>
            </w:tcMar>
          </w:tcPr>
          <w:p w14:paraId="6363924A" w14:textId="72A7AC51" w:rsidR="00A1445D" w:rsidRPr="00A1445D" w:rsidRDefault="0011295C" w:rsidP="00FE2408">
            <w:pPr>
              <w:suppressAutoHyphens/>
              <w:spacing w:line="260" w:lineRule="atLeast"/>
              <w:rPr>
                <w:rFonts w:ascii="Verdana" w:hAnsi="Verdana"/>
                <w:b/>
                <w:caps/>
                <w:color w:val="FF6600"/>
                <w:szCs w:val="24"/>
              </w:rPr>
            </w:pPr>
            <w:r>
              <w:rPr>
                <w:rFonts w:ascii="Verdana" w:hAnsi="Verdana"/>
                <w:b/>
                <w:caps/>
                <w:color w:val="FF6600"/>
                <w:szCs w:val="24"/>
              </w:rPr>
              <w:t>Florine janssens</w:t>
            </w:r>
          </w:p>
          <w:p w14:paraId="7DF01D69" w14:textId="4B68EE04" w:rsidR="00A1445D" w:rsidRPr="00A1445D" w:rsidRDefault="0011295C" w:rsidP="00FE2408">
            <w:pPr>
              <w:suppressAutoHyphens/>
              <w:spacing w:line="260" w:lineRule="atLeast"/>
              <w:rPr>
                <w:rFonts w:ascii="Verdana" w:hAnsi="Verdana"/>
                <w:b/>
                <w:color w:val="003399"/>
                <w:szCs w:val="24"/>
              </w:rPr>
            </w:pPr>
            <w:r>
              <w:rPr>
                <w:rFonts w:ascii="Verdana" w:hAnsi="Verdana"/>
                <w:b/>
                <w:color w:val="003399"/>
                <w:szCs w:val="24"/>
              </w:rPr>
              <w:t>2020-2021</w:t>
            </w:r>
          </w:p>
        </w:tc>
      </w:tr>
    </w:tbl>
    <w:p w14:paraId="6CC9F9E6" w14:textId="1A4ED948" w:rsidR="006B792C" w:rsidRDefault="006B792C" w:rsidP="00074D3D">
      <w:pPr>
        <w:rPr>
          <w:u w:val="single"/>
          <w:lang w:val="fr-BE"/>
        </w:rPr>
      </w:pPr>
    </w:p>
    <w:p w14:paraId="51EF4917" w14:textId="5173E9B3" w:rsidR="006B792C" w:rsidRDefault="006B792C">
      <w:pPr>
        <w:rPr>
          <w:u w:val="single"/>
          <w:lang w:val="fr-BE"/>
        </w:rPr>
      </w:pPr>
    </w:p>
    <w:p w14:paraId="66D94AE6" w14:textId="77777777" w:rsidR="00AC036D" w:rsidRDefault="00AC036D">
      <w:pPr>
        <w:rPr>
          <w:u w:val="single"/>
          <w:lang w:val="fr-BE"/>
        </w:rPr>
      </w:pPr>
    </w:p>
    <w:p w14:paraId="50B6D534" w14:textId="77777777" w:rsidR="006B792C" w:rsidRDefault="006B792C">
      <w:pPr>
        <w:rPr>
          <w:u w:val="single"/>
          <w:lang w:val="fr-BE"/>
        </w:rPr>
      </w:pPr>
    </w:p>
    <w:p w14:paraId="4B8BDD8A" w14:textId="4FBED94A" w:rsidR="006B792C" w:rsidRDefault="006B792C">
      <w:pPr>
        <w:rPr>
          <w:u w:val="single"/>
          <w:lang w:val="fr-BE"/>
        </w:rPr>
      </w:pPr>
    </w:p>
    <w:p w14:paraId="67A2C3C6" w14:textId="6A3D5F3D" w:rsidR="006B792C" w:rsidRDefault="006B792C">
      <w:pPr>
        <w:rPr>
          <w:u w:val="single"/>
          <w:lang w:val="fr-BE"/>
        </w:rPr>
      </w:pPr>
    </w:p>
    <w:p w14:paraId="4F7B9EF8" w14:textId="548E7AF1" w:rsidR="006B792C" w:rsidRDefault="006B792C">
      <w:pPr>
        <w:rPr>
          <w:u w:val="single"/>
          <w:lang w:val="fr-BE"/>
        </w:rPr>
      </w:pPr>
    </w:p>
    <w:p w14:paraId="790F4A23" w14:textId="5A9C11B5" w:rsidR="006B792C" w:rsidRDefault="006B792C">
      <w:pPr>
        <w:rPr>
          <w:u w:val="single"/>
          <w:lang w:val="fr-BE"/>
        </w:rPr>
      </w:pPr>
    </w:p>
    <w:p w14:paraId="3060234C" w14:textId="7336EC94" w:rsidR="006B792C" w:rsidRDefault="006B792C">
      <w:pPr>
        <w:rPr>
          <w:u w:val="single"/>
          <w:lang w:val="fr-BE"/>
        </w:rPr>
      </w:pPr>
    </w:p>
    <w:p w14:paraId="1D1EDF08" w14:textId="445EF3B9" w:rsidR="006B792C" w:rsidRDefault="006B792C">
      <w:pPr>
        <w:rPr>
          <w:u w:val="single"/>
          <w:lang w:val="fr-BE"/>
        </w:rPr>
      </w:pPr>
    </w:p>
    <w:p w14:paraId="09B8D46E" w14:textId="12BA39BC" w:rsidR="006B792C" w:rsidRDefault="006B792C">
      <w:pPr>
        <w:rPr>
          <w:u w:val="single"/>
          <w:lang w:val="fr-BE"/>
        </w:rPr>
      </w:pPr>
    </w:p>
    <w:p w14:paraId="0D459680" w14:textId="41AB5EA1" w:rsidR="006B792C" w:rsidRDefault="006B792C">
      <w:pPr>
        <w:rPr>
          <w:u w:val="single"/>
          <w:lang w:val="fr-BE"/>
        </w:rPr>
      </w:pPr>
    </w:p>
    <w:p w14:paraId="665A0DD1" w14:textId="27D10822" w:rsidR="006B792C" w:rsidRDefault="006B792C">
      <w:pPr>
        <w:rPr>
          <w:u w:val="single"/>
          <w:lang w:val="fr-BE"/>
        </w:rPr>
      </w:pPr>
    </w:p>
    <w:p w14:paraId="1931C7D6" w14:textId="25CC1B29" w:rsidR="006B792C" w:rsidRDefault="006B792C">
      <w:pPr>
        <w:rPr>
          <w:u w:val="single"/>
          <w:lang w:val="fr-BE"/>
        </w:rPr>
      </w:pPr>
    </w:p>
    <w:p w14:paraId="223AB323" w14:textId="40F704E1" w:rsidR="006B792C" w:rsidRDefault="006B792C">
      <w:pPr>
        <w:rPr>
          <w:u w:val="single"/>
          <w:lang w:val="fr-BE"/>
        </w:rPr>
      </w:pPr>
    </w:p>
    <w:p w14:paraId="5F830A4C" w14:textId="412EE84A" w:rsidR="006B792C" w:rsidRDefault="006B792C">
      <w:pPr>
        <w:rPr>
          <w:u w:val="single"/>
          <w:lang w:val="fr-BE"/>
        </w:rPr>
      </w:pPr>
    </w:p>
    <w:p w14:paraId="3F924130" w14:textId="68DBB443" w:rsidR="006B792C" w:rsidRDefault="006B792C">
      <w:pPr>
        <w:rPr>
          <w:u w:val="single"/>
          <w:lang w:val="fr-BE"/>
        </w:rPr>
      </w:pPr>
    </w:p>
    <w:p w14:paraId="4F9F68C6" w14:textId="31834621" w:rsidR="006B792C" w:rsidRDefault="006B792C">
      <w:pPr>
        <w:rPr>
          <w:u w:val="single"/>
          <w:lang w:val="fr-BE"/>
        </w:rPr>
      </w:pPr>
    </w:p>
    <w:p w14:paraId="14261D6F" w14:textId="1543DCB4" w:rsidR="006B792C" w:rsidRDefault="006B792C">
      <w:pPr>
        <w:rPr>
          <w:u w:val="single"/>
          <w:lang w:val="fr-BE"/>
        </w:rPr>
      </w:pPr>
    </w:p>
    <w:p w14:paraId="6776B3C3" w14:textId="4FDB3FE4" w:rsidR="006B792C" w:rsidRDefault="006B792C">
      <w:pPr>
        <w:rPr>
          <w:u w:val="single"/>
          <w:lang w:val="fr-BE"/>
        </w:rPr>
      </w:pPr>
    </w:p>
    <w:p w14:paraId="292EF7EE" w14:textId="09EA20BC" w:rsidR="006B792C" w:rsidRDefault="006B792C">
      <w:pPr>
        <w:rPr>
          <w:u w:val="single"/>
          <w:lang w:val="fr-BE"/>
        </w:rPr>
      </w:pPr>
    </w:p>
    <w:p w14:paraId="75F67368" w14:textId="0AB655F2" w:rsidR="006B792C" w:rsidRDefault="006B792C">
      <w:pPr>
        <w:rPr>
          <w:u w:val="single"/>
          <w:lang w:val="fr-BE"/>
        </w:rPr>
      </w:pPr>
    </w:p>
    <w:p w14:paraId="100BCD74" w14:textId="2FD598E2" w:rsidR="006B792C" w:rsidRDefault="006B792C">
      <w:pPr>
        <w:rPr>
          <w:u w:val="single"/>
          <w:lang w:val="fr-BE"/>
        </w:rPr>
      </w:pPr>
    </w:p>
    <w:p w14:paraId="3056E35B" w14:textId="105CD7F4" w:rsidR="006B792C" w:rsidRDefault="006B792C">
      <w:pPr>
        <w:rPr>
          <w:u w:val="single"/>
          <w:lang w:val="fr-BE"/>
        </w:rPr>
      </w:pPr>
    </w:p>
    <w:p w14:paraId="54D56077" w14:textId="18E2913F" w:rsidR="006B792C" w:rsidRDefault="006B792C">
      <w:pPr>
        <w:rPr>
          <w:u w:val="single"/>
          <w:lang w:val="fr-BE"/>
        </w:rPr>
      </w:pPr>
    </w:p>
    <w:p w14:paraId="46EAD376" w14:textId="39BF2AD6" w:rsidR="006B792C" w:rsidRDefault="006B792C">
      <w:pPr>
        <w:rPr>
          <w:u w:val="single"/>
          <w:lang w:val="fr-BE"/>
        </w:rPr>
      </w:pPr>
    </w:p>
    <w:p w14:paraId="75DB2CD4" w14:textId="7453C017" w:rsidR="006B792C" w:rsidRDefault="006B792C">
      <w:pPr>
        <w:rPr>
          <w:u w:val="single"/>
          <w:lang w:val="fr-BE"/>
        </w:rPr>
      </w:pPr>
    </w:p>
    <w:p w14:paraId="4BFD34F5" w14:textId="4BE5658F" w:rsidR="006B792C" w:rsidRDefault="006B792C">
      <w:pPr>
        <w:rPr>
          <w:u w:val="single"/>
          <w:lang w:val="fr-BE"/>
        </w:rPr>
      </w:pPr>
    </w:p>
    <w:sdt>
      <w:sdtPr>
        <w:rPr>
          <w:rFonts w:asciiTheme="minorHAnsi" w:eastAsiaTheme="minorHAnsi" w:hAnsiTheme="minorHAnsi" w:cstheme="minorBidi"/>
          <w:color w:val="auto"/>
          <w:sz w:val="22"/>
          <w:szCs w:val="22"/>
          <w:lang w:val="nl-NL" w:eastAsia="en-US"/>
        </w:rPr>
        <w:id w:val="1521818782"/>
        <w:docPartObj>
          <w:docPartGallery w:val="Table of Contents"/>
          <w:docPartUnique/>
        </w:docPartObj>
      </w:sdtPr>
      <w:sdtEndPr>
        <w:rPr>
          <w:b/>
          <w:bCs/>
        </w:rPr>
      </w:sdtEndPr>
      <w:sdtContent>
        <w:p w14:paraId="04BC28C3" w14:textId="227E4F2D" w:rsidR="00E832CA" w:rsidRPr="00C931D8" w:rsidRDefault="00E832CA" w:rsidP="00C931D8">
          <w:pPr>
            <w:pStyle w:val="Kopvaninhoudsopgave"/>
            <w:spacing w:after="240"/>
            <w:rPr>
              <w:rStyle w:val="Kop1Char"/>
              <w:color w:val="auto"/>
            </w:rPr>
          </w:pPr>
          <w:r w:rsidRPr="00C931D8">
            <w:rPr>
              <w:rStyle w:val="Kop1Char"/>
              <w:color w:val="auto"/>
            </w:rPr>
            <w:t>TABLE OF CONTENTS</w:t>
          </w:r>
        </w:p>
        <w:p w14:paraId="68781AE1" w14:textId="4B17A392" w:rsidR="00A40338" w:rsidRDefault="00E832CA">
          <w:pPr>
            <w:pStyle w:val="Inhopg1"/>
            <w:rPr>
              <w:rFonts w:eastAsiaTheme="minorEastAsia"/>
              <w:b w:val="0"/>
              <w:bCs w:val="0"/>
              <w:lang w:val="nl-BE" w:eastAsia="nl-BE"/>
            </w:rPr>
          </w:pPr>
          <w:r>
            <w:fldChar w:fldCharType="begin"/>
          </w:r>
          <w:r>
            <w:instrText xml:space="preserve"> TOC \o "1-3" \h \z \u </w:instrText>
          </w:r>
          <w:r>
            <w:fldChar w:fldCharType="separate"/>
          </w:r>
          <w:hyperlink w:anchor="_Toc70238540" w:history="1">
            <w:r w:rsidR="00A40338" w:rsidRPr="00D80F9C">
              <w:rPr>
                <w:rStyle w:val="Hyperlink"/>
                <w:lang w:val="en-US"/>
              </w:rPr>
              <w:t>ABSTRACT</w:t>
            </w:r>
            <w:r w:rsidR="00A40338">
              <w:rPr>
                <w:webHidden/>
              </w:rPr>
              <w:tab/>
            </w:r>
            <w:r w:rsidR="00A40338">
              <w:rPr>
                <w:webHidden/>
              </w:rPr>
              <w:fldChar w:fldCharType="begin"/>
            </w:r>
            <w:r w:rsidR="00A40338">
              <w:rPr>
                <w:webHidden/>
              </w:rPr>
              <w:instrText xml:space="preserve"> PAGEREF _Toc70238540 \h </w:instrText>
            </w:r>
            <w:r w:rsidR="00A40338">
              <w:rPr>
                <w:webHidden/>
              </w:rPr>
            </w:r>
            <w:r w:rsidR="00A40338">
              <w:rPr>
                <w:webHidden/>
              </w:rPr>
              <w:fldChar w:fldCharType="separate"/>
            </w:r>
            <w:r w:rsidR="0073106F">
              <w:rPr>
                <w:webHidden/>
              </w:rPr>
              <w:t>3</w:t>
            </w:r>
            <w:r w:rsidR="00A40338">
              <w:rPr>
                <w:webHidden/>
              </w:rPr>
              <w:fldChar w:fldCharType="end"/>
            </w:r>
          </w:hyperlink>
        </w:p>
        <w:p w14:paraId="62AC23DF" w14:textId="1C0F2D2A" w:rsidR="00A40338" w:rsidRDefault="00E90F5A">
          <w:pPr>
            <w:pStyle w:val="Inhopg1"/>
            <w:rPr>
              <w:rFonts w:eastAsiaTheme="minorEastAsia"/>
              <w:b w:val="0"/>
              <w:bCs w:val="0"/>
              <w:lang w:val="nl-BE" w:eastAsia="nl-BE"/>
            </w:rPr>
          </w:pPr>
          <w:hyperlink w:anchor="_Toc70238541" w:history="1">
            <w:r w:rsidR="00A40338" w:rsidRPr="00D80F9C">
              <w:rPr>
                <w:rStyle w:val="Hyperlink"/>
                <w:lang w:val="en-US"/>
              </w:rPr>
              <w:t>ABBREVIATIONS</w:t>
            </w:r>
            <w:r w:rsidR="00A40338">
              <w:rPr>
                <w:webHidden/>
              </w:rPr>
              <w:tab/>
            </w:r>
            <w:r w:rsidR="00A40338">
              <w:rPr>
                <w:webHidden/>
              </w:rPr>
              <w:fldChar w:fldCharType="begin"/>
            </w:r>
            <w:r w:rsidR="00A40338">
              <w:rPr>
                <w:webHidden/>
              </w:rPr>
              <w:instrText xml:space="preserve"> PAGEREF _Toc70238541 \h </w:instrText>
            </w:r>
            <w:r w:rsidR="00A40338">
              <w:rPr>
                <w:webHidden/>
              </w:rPr>
            </w:r>
            <w:r w:rsidR="00A40338">
              <w:rPr>
                <w:webHidden/>
              </w:rPr>
              <w:fldChar w:fldCharType="separate"/>
            </w:r>
            <w:r w:rsidR="0073106F">
              <w:rPr>
                <w:webHidden/>
              </w:rPr>
              <w:t>4</w:t>
            </w:r>
            <w:r w:rsidR="00A40338">
              <w:rPr>
                <w:webHidden/>
              </w:rPr>
              <w:fldChar w:fldCharType="end"/>
            </w:r>
          </w:hyperlink>
        </w:p>
        <w:p w14:paraId="00E8FEB4" w14:textId="152B1356" w:rsidR="00A40338" w:rsidRDefault="00E90F5A">
          <w:pPr>
            <w:pStyle w:val="Inhopg1"/>
            <w:rPr>
              <w:rFonts w:eastAsiaTheme="minorEastAsia"/>
              <w:b w:val="0"/>
              <w:bCs w:val="0"/>
              <w:lang w:val="nl-BE" w:eastAsia="nl-BE"/>
            </w:rPr>
          </w:pPr>
          <w:hyperlink w:anchor="_Toc70238542" w:history="1">
            <w:r w:rsidR="00A40338" w:rsidRPr="00D80F9C">
              <w:rPr>
                <w:rStyle w:val="Hyperlink"/>
                <w:lang w:val="en-US"/>
              </w:rPr>
              <w:t>INTRODUCTION</w:t>
            </w:r>
            <w:r w:rsidR="00A40338">
              <w:rPr>
                <w:webHidden/>
              </w:rPr>
              <w:tab/>
            </w:r>
            <w:r w:rsidR="00A40338">
              <w:rPr>
                <w:webHidden/>
              </w:rPr>
              <w:fldChar w:fldCharType="begin"/>
            </w:r>
            <w:r w:rsidR="00A40338">
              <w:rPr>
                <w:webHidden/>
              </w:rPr>
              <w:instrText xml:space="preserve"> PAGEREF _Toc70238542 \h </w:instrText>
            </w:r>
            <w:r w:rsidR="00A40338">
              <w:rPr>
                <w:webHidden/>
              </w:rPr>
            </w:r>
            <w:r w:rsidR="00A40338">
              <w:rPr>
                <w:webHidden/>
              </w:rPr>
              <w:fldChar w:fldCharType="separate"/>
            </w:r>
            <w:r w:rsidR="0073106F">
              <w:rPr>
                <w:webHidden/>
              </w:rPr>
              <w:t>5</w:t>
            </w:r>
            <w:r w:rsidR="00A40338">
              <w:rPr>
                <w:webHidden/>
              </w:rPr>
              <w:fldChar w:fldCharType="end"/>
            </w:r>
          </w:hyperlink>
        </w:p>
        <w:p w14:paraId="057FE6F5" w14:textId="5CC0FD47" w:rsidR="00A40338" w:rsidRDefault="00E90F5A">
          <w:pPr>
            <w:pStyle w:val="Inhopg1"/>
            <w:rPr>
              <w:rFonts w:eastAsiaTheme="minorEastAsia"/>
              <w:b w:val="0"/>
              <w:bCs w:val="0"/>
              <w:lang w:val="nl-BE" w:eastAsia="nl-BE"/>
            </w:rPr>
          </w:pPr>
          <w:hyperlink w:anchor="_Toc70238543" w:history="1">
            <w:r w:rsidR="00A40338" w:rsidRPr="00D80F9C">
              <w:rPr>
                <w:rStyle w:val="Hyperlink"/>
              </w:rPr>
              <w:t>PATIENTS AND METHODS</w:t>
            </w:r>
            <w:r w:rsidR="00A40338">
              <w:rPr>
                <w:webHidden/>
              </w:rPr>
              <w:tab/>
            </w:r>
            <w:r w:rsidR="00A40338">
              <w:rPr>
                <w:webHidden/>
              </w:rPr>
              <w:fldChar w:fldCharType="begin"/>
            </w:r>
            <w:r w:rsidR="00A40338">
              <w:rPr>
                <w:webHidden/>
              </w:rPr>
              <w:instrText xml:space="preserve"> PAGEREF _Toc70238543 \h </w:instrText>
            </w:r>
            <w:r w:rsidR="00A40338">
              <w:rPr>
                <w:webHidden/>
              </w:rPr>
            </w:r>
            <w:r w:rsidR="00A40338">
              <w:rPr>
                <w:webHidden/>
              </w:rPr>
              <w:fldChar w:fldCharType="separate"/>
            </w:r>
            <w:r w:rsidR="0073106F">
              <w:rPr>
                <w:webHidden/>
              </w:rPr>
              <w:t>13</w:t>
            </w:r>
            <w:r w:rsidR="00A40338">
              <w:rPr>
                <w:webHidden/>
              </w:rPr>
              <w:fldChar w:fldCharType="end"/>
            </w:r>
          </w:hyperlink>
        </w:p>
        <w:p w14:paraId="16CBF4E3" w14:textId="00154BD4" w:rsidR="00A40338" w:rsidRDefault="00E90F5A">
          <w:pPr>
            <w:pStyle w:val="Inhopg2"/>
            <w:tabs>
              <w:tab w:val="left" w:pos="660"/>
              <w:tab w:val="right" w:leader="dot" w:pos="9062"/>
            </w:tabs>
            <w:rPr>
              <w:rFonts w:eastAsiaTheme="minorEastAsia"/>
              <w:noProof/>
              <w:lang w:eastAsia="nl-BE"/>
            </w:rPr>
          </w:pPr>
          <w:hyperlink w:anchor="_Toc70238544" w:history="1">
            <w:r w:rsidR="00A40338" w:rsidRPr="00D80F9C">
              <w:rPr>
                <w:rStyle w:val="Hyperlink"/>
                <w:noProof/>
                <w:lang w:val="en-US"/>
              </w:rPr>
              <w:t>1.</w:t>
            </w:r>
            <w:r w:rsidR="00A40338">
              <w:rPr>
                <w:rFonts w:eastAsiaTheme="minorEastAsia"/>
                <w:noProof/>
                <w:lang w:eastAsia="nl-BE"/>
              </w:rPr>
              <w:tab/>
            </w:r>
            <w:r w:rsidR="00A40338" w:rsidRPr="00D80F9C">
              <w:rPr>
                <w:rStyle w:val="Hyperlink"/>
                <w:noProof/>
                <w:lang w:val="en-US"/>
              </w:rPr>
              <w:t>OVERALL STUDY DESIGN</w:t>
            </w:r>
            <w:r w:rsidR="00A40338">
              <w:rPr>
                <w:noProof/>
                <w:webHidden/>
              </w:rPr>
              <w:tab/>
            </w:r>
            <w:r w:rsidR="00A40338">
              <w:rPr>
                <w:noProof/>
                <w:webHidden/>
              </w:rPr>
              <w:fldChar w:fldCharType="begin"/>
            </w:r>
            <w:r w:rsidR="00A40338">
              <w:rPr>
                <w:noProof/>
                <w:webHidden/>
              </w:rPr>
              <w:instrText xml:space="preserve"> PAGEREF _Toc70238544 \h </w:instrText>
            </w:r>
            <w:r w:rsidR="00A40338">
              <w:rPr>
                <w:noProof/>
                <w:webHidden/>
              </w:rPr>
            </w:r>
            <w:r w:rsidR="00A40338">
              <w:rPr>
                <w:noProof/>
                <w:webHidden/>
              </w:rPr>
              <w:fldChar w:fldCharType="separate"/>
            </w:r>
            <w:r w:rsidR="0073106F">
              <w:rPr>
                <w:noProof/>
                <w:webHidden/>
              </w:rPr>
              <w:t>13</w:t>
            </w:r>
            <w:r w:rsidR="00A40338">
              <w:rPr>
                <w:noProof/>
                <w:webHidden/>
              </w:rPr>
              <w:fldChar w:fldCharType="end"/>
            </w:r>
          </w:hyperlink>
        </w:p>
        <w:p w14:paraId="297E6A10" w14:textId="5472D452" w:rsidR="00A40338" w:rsidRDefault="00E90F5A">
          <w:pPr>
            <w:pStyle w:val="Inhopg2"/>
            <w:tabs>
              <w:tab w:val="left" w:pos="660"/>
              <w:tab w:val="right" w:leader="dot" w:pos="9062"/>
            </w:tabs>
            <w:rPr>
              <w:rFonts w:eastAsiaTheme="minorEastAsia"/>
              <w:noProof/>
              <w:lang w:eastAsia="nl-BE"/>
            </w:rPr>
          </w:pPr>
          <w:hyperlink w:anchor="_Toc70238545" w:history="1">
            <w:r w:rsidR="00A40338" w:rsidRPr="00D80F9C">
              <w:rPr>
                <w:rStyle w:val="Hyperlink"/>
                <w:noProof/>
                <w:lang w:val="en-US"/>
              </w:rPr>
              <w:t>2.</w:t>
            </w:r>
            <w:r w:rsidR="00A40338">
              <w:rPr>
                <w:rFonts w:eastAsiaTheme="minorEastAsia"/>
                <w:noProof/>
                <w:lang w:eastAsia="nl-BE"/>
              </w:rPr>
              <w:tab/>
            </w:r>
            <w:r w:rsidR="00A40338" w:rsidRPr="00D80F9C">
              <w:rPr>
                <w:rStyle w:val="Hyperlink"/>
                <w:noProof/>
                <w:lang w:val="en-US"/>
              </w:rPr>
              <w:t>TREATMENT PROTOCOL OF THE KIDNEY STONE PREVENTION CLINIC</w:t>
            </w:r>
            <w:r w:rsidR="00A40338">
              <w:rPr>
                <w:noProof/>
                <w:webHidden/>
              </w:rPr>
              <w:tab/>
            </w:r>
            <w:r w:rsidR="00A40338">
              <w:rPr>
                <w:noProof/>
                <w:webHidden/>
              </w:rPr>
              <w:fldChar w:fldCharType="begin"/>
            </w:r>
            <w:r w:rsidR="00A40338">
              <w:rPr>
                <w:noProof/>
                <w:webHidden/>
              </w:rPr>
              <w:instrText xml:space="preserve"> PAGEREF _Toc70238545 \h </w:instrText>
            </w:r>
            <w:r w:rsidR="00A40338">
              <w:rPr>
                <w:noProof/>
                <w:webHidden/>
              </w:rPr>
            </w:r>
            <w:r w:rsidR="00A40338">
              <w:rPr>
                <w:noProof/>
                <w:webHidden/>
              </w:rPr>
              <w:fldChar w:fldCharType="separate"/>
            </w:r>
            <w:r w:rsidR="0073106F">
              <w:rPr>
                <w:noProof/>
                <w:webHidden/>
              </w:rPr>
              <w:t>13</w:t>
            </w:r>
            <w:r w:rsidR="00A40338">
              <w:rPr>
                <w:noProof/>
                <w:webHidden/>
              </w:rPr>
              <w:fldChar w:fldCharType="end"/>
            </w:r>
          </w:hyperlink>
        </w:p>
        <w:p w14:paraId="71B7A7DB" w14:textId="72D9B27B" w:rsidR="00A40338" w:rsidRDefault="00E90F5A">
          <w:pPr>
            <w:pStyle w:val="Inhopg2"/>
            <w:tabs>
              <w:tab w:val="left" w:pos="660"/>
              <w:tab w:val="right" w:leader="dot" w:pos="9062"/>
            </w:tabs>
            <w:rPr>
              <w:rFonts w:eastAsiaTheme="minorEastAsia"/>
              <w:noProof/>
              <w:lang w:eastAsia="nl-BE"/>
            </w:rPr>
          </w:pPr>
          <w:hyperlink w:anchor="_Toc70238546" w:history="1">
            <w:r w:rsidR="00A40338" w:rsidRPr="00D80F9C">
              <w:rPr>
                <w:rStyle w:val="Hyperlink"/>
                <w:noProof/>
                <w:lang w:val="en-US"/>
              </w:rPr>
              <w:t>3.</w:t>
            </w:r>
            <w:r w:rsidR="00A40338">
              <w:rPr>
                <w:rFonts w:eastAsiaTheme="minorEastAsia"/>
                <w:noProof/>
                <w:lang w:eastAsia="nl-BE"/>
              </w:rPr>
              <w:tab/>
            </w:r>
            <w:r w:rsidR="00A40338" w:rsidRPr="00D80F9C">
              <w:rPr>
                <w:rStyle w:val="Hyperlink"/>
                <w:noProof/>
                <w:lang w:val="en-US"/>
              </w:rPr>
              <w:t>DATA RETRIEVAL</w:t>
            </w:r>
            <w:r w:rsidR="00A40338">
              <w:rPr>
                <w:noProof/>
                <w:webHidden/>
              </w:rPr>
              <w:tab/>
            </w:r>
            <w:r w:rsidR="00A40338">
              <w:rPr>
                <w:noProof/>
                <w:webHidden/>
              </w:rPr>
              <w:fldChar w:fldCharType="begin"/>
            </w:r>
            <w:r w:rsidR="00A40338">
              <w:rPr>
                <w:noProof/>
                <w:webHidden/>
              </w:rPr>
              <w:instrText xml:space="preserve"> PAGEREF _Toc70238546 \h </w:instrText>
            </w:r>
            <w:r w:rsidR="00A40338">
              <w:rPr>
                <w:noProof/>
                <w:webHidden/>
              </w:rPr>
            </w:r>
            <w:r w:rsidR="00A40338">
              <w:rPr>
                <w:noProof/>
                <w:webHidden/>
              </w:rPr>
              <w:fldChar w:fldCharType="separate"/>
            </w:r>
            <w:r w:rsidR="0073106F">
              <w:rPr>
                <w:noProof/>
                <w:webHidden/>
              </w:rPr>
              <w:t>14</w:t>
            </w:r>
            <w:r w:rsidR="00A40338">
              <w:rPr>
                <w:noProof/>
                <w:webHidden/>
              </w:rPr>
              <w:fldChar w:fldCharType="end"/>
            </w:r>
          </w:hyperlink>
        </w:p>
        <w:p w14:paraId="2DAF69E1" w14:textId="509E2CBB" w:rsidR="00A40338" w:rsidRDefault="00E90F5A">
          <w:pPr>
            <w:pStyle w:val="Inhopg2"/>
            <w:tabs>
              <w:tab w:val="left" w:pos="660"/>
              <w:tab w:val="right" w:leader="dot" w:pos="9062"/>
            </w:tabs>
            <w:rPr>
              <w:rFonts w:eastAsiaTheme="minorEastAsia"/>
              <w:noProof/>
              <w:lang w:eastAsia="nl-BE"/>
            </w:rPr>
          </w:pPr>
          <w:hyperlink w:anchor="_Toc70238547" w:history="1">
            <w:r w:rsidR="00A40338" w:rsidRPr="00D80F9C">
              <w:rPr>
                <w:rStyle w:val="Hyperlink"/>
                <w:noProof/>
                <w:lang w:val="en-US"/>
              </w:rPr>
              <w:t>4.</w:t>
            </w:r>
            <w:r w:rsidR="00A40338">
              <w:rPr>
                <w:rFonts w:eastAsiaTheme="minorEastAsia"/>
                <w:noProof/>
                <w:lang w:eastAsia="nl-BE"/>
              </w:rPr>
              <w:tab/>
            </w:r>
            <w:r w:rsidR="00A40338" w:rsidRPr="00D80F9C">
              <w:rPr>
                <w:rStyle w:val="Hyperlink"/>
                <w:noProof/>
                <w:lang w:val="en-US"/>
              </w:rPr>
              <w:t>EVALUATION OF URINARY RISK FACTORS</w:t>
            </w:r>
            <w:r w:rsidR="00A40338">
              <w:rPr>
                <w:noProof/>
                <w:webHidden/>
              </w:rPr>
              <w:tab/>
            </w:r>
            <w:r w:rsidR="00A40338">
              <w:rPr>
                <w:noProof/>
                <w:webHidden/>
              </w:rPr>
              <w:fldChar w:fldCharType="begin"/>
            </w:r>
            <w:r w:rsidR="00A40338">
              <w:rPr>
                <w:noProof/>
                <w:webHidden/>
              </w:rPr>
              <w:instrText xml:space="preserve"> PAGEREF _Toc70238547 \h </w:instrText>
            </w:r>
            <w:r w:rsidR="00A40338">
              <w:rPr>
                <w:noProof/>
                <w:webHidden/>
              </w:rPr>
            </w:r>
            <w:r w:rsidR="00A40338">
              <w:rPr>
                <w:noProof/>
                <w:webHidden/>
              </w:rPr>
              <w:fldChar w:fldCharType="separate"/>
            </w:r>
            <w:r w:rsidR="0073106F">
              <w:rPr>
                <w:noProof/>
                <w:webHidden/>
              </w:rPr>
              <w:t>17</w:t>
            </w:r>
            <w:r w:rsidR="00A40338">
              <w:rPr>
                <w:noProof/>
                <w:webHidden/>
              </w:rPr>
              <w:fldChar w:fldCharType="end"/>
            </w:r>
          </w:hyperlink>
        </w:p>
        <w:p w14:paraId="3D7DB72D" w14:textId="73C98A12" w:rsidR="00A40338" w:rsidRDefault="00E90F5A">
          <w:pPr>
            <w:pStyle w:val="Inhopg2"/>
            <w:tabs>
              <w:tab w:val="left" w:pos="660"/>
              <w:tab w:val="right" w:leader="dot" w:pos="9062"/>
            </w:tabs>
            <w:rPr>
              <w:rFonts w:eastAsiaTheme="minorEastAsia"/>
              <w:noProof/>
              <w:lang w:eastAsia="nl-BE"/>
            </w:rPr>
          </w:pPr>
          <w:hyperlink w:anchor="_Toc70238548" w:history="1">
            <w:r w:rsidR="00A40338" w:rsidRPr="00D80F9C">
              <w:rPr>
                <w:rStyle w:val="Hyperlink"/>
                <w:noProof/>
                <w:lang w:val="en-US"/>
              </w:rPr>
              <w:t>5.</w:t>
            </w:r>
            <w:r w:rsidR="00A40338">
              <w:rPr>
                <w:rFonts w:eastAsiaTheme="minorEastAsia"/>
                <w:noProof/>
                <w:lang w:eastAsia="nl-BE"/>
              </w:rPr>
              <w:tab/>
            </w:r>
            <w:r w:rsidR="00A40338" w:rsidRPr="00D80F9C">
              <w:rPr>
                <w:rStyle w:val="Hyperlink"/>
                <w:noProof/>
                <w:lang w:val="en-US"/>
              </w:rPr>
              <w:t>DETERMINATION OF THE PRE- AND POSTTREATMENT RATES</w:t>
            </w:r>
            <w:r w:rsidR="00A40338">
              <w:rPr>
                <w:noProof/>
                <w:webHidden/>
              </w:rPr>
              <w:tab/>
            </w:r>
            <w:r w:rsidR="00A40338">
              <w:rPr>
                <w:noProof/>
                <w:webHidden/>
              </w:rPr>
              <w:fldChar w:fldCharType="begin"/>
            </w:r>
            <w:r w:rsidR="00A40338">
              <w:rPr>
                <w:noProof/>
                <w:webHidden/>
              </w:rPr>
              <w:instrText xml:space="preserve"> PAGEREF _Toc70238548 \h </w:instrText>
            </w:r>
            <w:r w:rsidR="00A40338">
              <w:rPr>
                <w:noProof/>
                <w:webHidden/>
              </w:rPr>
            </w:r>
            <w:r w:rsidR="00A40338">
              <w:rPr>
                <w:noProof/>
                <w:webHidden/>
              </w:rPr>
              <w:fldChar w:fldCharType="separate"/>
            </w:r>
            <w:r w:rsidR="0073106F">
              <w:rPr>
                <w:noProof/>
                <w:webHidden/>
              </w:rPr>
              <w:t>18</w:t>
            </w:r>
            <w:r w:rsidR="00A40338">
              <w:rPr>
                <w:noProof/>
                <w:webHidden/>
              </w:rPr>
              <w:fldChar w:fldCharType="end"/>
            </w:r>
          </w:hyperlink>
        </w:p>
        <w:p w14:paraId="0C9CC346" w14:textId="6A6BDC9B" w:rsidR="00A40338" w:rsidRDefault="00E90F5A">
          <w:pPr>
            <w:pStyle w:val="Inhopg2"/>
            <w:tabs>
              <w:tab w:val="left" w:pos="660"/>
              <w:tab w:val="right" w:leader="dot" w:pos="9062"/>
            </w:tabs>
            <w:rPr>
              <w:rFonts w:eastAsiaTheme="minorEastAsia"/>
              <w:noProof/>
              <w:lang w:eastAsia="nl-BE"/>
            </w:rPr>
          </w:pPr>
          <w:hyperlink w:anchor="_Toc70238553" w:history="1">
            <w:r w:rsidR="00A40338" w:rsidRPr="00D80F9C">
              <w:rPr>
                <w:rStyle w:val="Hyperlink"/>
                <w:noProof/>
                <w:lang w:val="en-US"/>
              </w:rPr>
              <w:t>6.</w:t>
            </w:r>
            <w:r w:rsidR="00A40338">
              <w:rPr>
                <w:rFonts w:eastAsiaTheme="minorEastAsia"/>
                <w:noProof/>
                <w:lang w:eastAsia="nl-BE"/>
              </w:rPr>
              <w:tab/>
            </w:r>
            <w:r w:rsidR="00A40338" w:rsidRPr="00D80F9C">
              <w:rPr>
                <w:rStyle w:val="Hyperlink"/>
                <w:noProof/>
                <w:lang w:val="en-US"/>
              </w:rPr>
              <w:t>DEFINITIONS</w:t>
            </w:r>
            <w:r w:rsidR="00A40338">
              <w:rPr>
                <w:noProof/>
                <w:webHidden/>
              </w:rPr>
              <w:tab/>
            </w:r>
            <w:r w:rsidR="00A40338">
              <w:rPr>
                <w:noProof/>
                <w:webHidden/>
              </w:rPr>
              <w:fldChar w:fldCharType="begin"/>
            </w:r>
            <w:r w:rsidR="00A40338">
              <w:rPr>
                <w:noProof/>
                <w:webHidden/>
              </w:rPr>
              <w:instrText xml:space="preserve"> PAGEREF _Toc70238553 \h </w:instrText>
            </w:r>
            <w:r w:rsidR="00A40338">
              <w:rPr>
                <w:noProof/>
                <w:webHidden/>
              </w:rPr>
            </w:r>
            <w:r w:rsidR="00A40338">
              <w:rPr>
                <w:noProof/>
                <w:webHidden/>
              </w:rPr>
              <w:fldChar w:fldCharType="separate"/>
            </w:r>
            <w:r w:rsidR="0073106F">
              <w:rPr>
                <w:noProof/>
                <w:webHidden/>
              </w:rPr>
              <w:t>21</w:t>
            </w:r>
            <w:r w:rsidR="00A40338">
              <w:rPr>
                <w:noProof/>
                <w:webHidden/>
              </w:rPr>
              <w:fldChar w:fldCharType="end"/>
            </w:r>
          </w:hyperlink>
        </w:p>
        <w:p w14:paraId="2D9E7D48" w14:textId="26F69B55" w:rsidR="00A40338" w:rsidRDefault="00E90F5A" w:rsidP="00A40338">
          <w:pPr>
            <w:pStyle w:val="Inhopg2"/>
            <w:tabs>
              <w:tab w:val="left" w:pos="660"/>
              <w:tab w:val="right" w:leader="dot" w:pos="9062"/>
            </w:tabs>
            <w:rPr>
              <w:rFonts w:eastAsiaTheme="minorEastAsia"/>
              <w:noProof/>
              <w:lang w:eastAsia="nl-BE"/>
            </w:rPr>
          </w:pPr>
          <w:hyperlink w:anchor="_Toc70238556" w:history="1">
            <w:r w:rsidR="00A40338" w:rsidRPr="00D80F9C">
              <w:rPr>
                <w:rStyle w:val="Hyperlink"/>
                <w:noProof/>
                <w:lang w:val="en-US"/>
              </w:rPr>
              <w:t>7.</w:t>
            </w:r>
            <w:r w:rsidR="00A40338">
              <w:rPr>
                <w:rFonts w:eastAsiaTheme="minorEastAsia"/>
                <w:noProof/>
                <w:lang w:eastAsia="nl-BE"/>
              </w:rPr>
              <w:tab/>
            </w:r>
            <w:r w:rsidR="00A40338" w:rsidRPr="00D80F9C">
              <w:rPr>
                <w:rStyle w:val="Hyperlink"/>
                <w:noProof/>
                <w:lang w:val="en-US"/>
              </w:rPr>
              <w:t>STATISTICAL ANALYSIS</w:t>
            </w:r>
            <w:r w:rsidR="00A40338">
              <w:rPr>
                <w:noProof/>
                <w:webHidden/>
              </w:rPr>
              <w:tab/>
            </w:r>
            <w:r w:rsidR="00A40338">
              <w:rPr>
                <w:noProof/>
                <w:webHidden/>
              </w:rPr>
              <w:fldChar w:fldCharType="begin"/>
            </w:r>
            <w:r w:rsidR="00A40338">
              <w:rPr>
                <w:noProof/>
                <w:webHidden/>
              </w:rPr>
              <w:instrText xml:space="preserve"> PAGEREF _Toc70238556 \h </w:instrText>
            </w:r>
            <w:r w:rsidR="00A40338">
              <w:rPr>
                <w:noProof/>
                <w:webHidden/>
              </w:rPr>
            </w:r>
            <w:r w:rsidR="00A40338">
              <w:rPr>
                <w:noProof/>
                <w:webHidden/>
              </w:rPr>
              <w:fldChar w:fldCharType="separate"/>
            </w:r>
            <w:r w:rsidR="0073106F">
              <w:rPr>
                <w:noProof/>
                <w:webHidden/>
              </w:rPr>
              <w:t>22</w:t>
            </w:r>
            <w:r w:rsidR="00A40338">
              <w:rPr>
                <w:noProof/>
                <w:webHidden/>
              </w:rPr>
              <w:fldChar w:fldCharType="end"/>
            </w:r>
          </w:hyperlink>
        </w:p>
        <w:p w14:paraId="3438FB50" w14:textId="084BA91F" w:rsidR="00A40338" w:rsidRDefault="00E90F5A">
          <w:pPr>
            <w:pStyle w:val="Inhopg2"/>
            <w:tabs>
              <w:tab w:val="left" w:pos="660"/>
              <w:tab w:val="right" w:leader="dot" w:pos="9062"/>
            </w:tabs>
            <w:rPr>
              <w:rFonts w:eastAsiaTheme="minorEastAsia"/>
              <w:noProof/>
              <w:lang w:eastAsia="nl-BE"/>
            </w:rPr>
          </w:pPr>
          <w:hyperlink w:anchor="_Toc70238560" w:history="1">
            <w:r w:rsidR="00A40338" w:rsidRPr="00D80F9C">
              <w:rPr>
                <w:rStyle w:val="Hyperlink"/>
                <w:noProof/>
                <w:lang w:val="en-US"/>
              </w:rPr>
              <w:t>8.</w:t>
            </w:r>
            <w:r w:rsidR="00A40338">
              <w:rPr>
                <w:rFonts w:eastAsiaTheme="minorEastAsia"/>
                <w:noProof/>
                <w:lang w:eastAsia="nl-BE"/>
              </w:rPr>
              <w:tab/>
            </w:r>
            <w:r w:rsidR="00A40338" w:rsidRPr="00D80F9C">
              <w:rPr>
                <w:rStyle w:val="Hyperlink"/>
                <w:noProof/>
                <w:lang w:val="en-US"/>
              </w:rPr>
              <w:t>ETHICS</w:t>
            </w:r>
            <w:r w:rsidR="00A40338">
              <w:rPr>
                <w:noProof/>
                <w:webHidden/>
              </w:rPr>
              <w:tab/>
            </w:r>
            <w:r w:rsidR="00A40338">
              <w:rPr>
                <w:noProof/>
                <w:webHidden/>
              </w:rPr>
              <w:fldChar w:fldCharType="begin"/>
            </w:r>
            <w:r w:rsidR="00A40338">
              <w:rPr>
                <w:noProof/>
                <w:webHidden/>
              </w:rPr>
              <w:instrText xml:space="preserve"> PAGEREF _Toc70238560 \h </w:instrText>
            </w:r>
            <w:r w:rsidR="00A40338">
              <w:rPr>
                <w:noProof/>
                <w:webHidden/>
              </w:rPr>
            </w:r>
            <w:r w:rsidR="00A40338">
              <w:rPr>
                <w:noProof/>
                <w:webHidden/>
              </w:rPr>
              <w:fldChar w:fldCharType="separate"/>
            </w:r>
            <w:r w:rsidR="0073106F">
              <w:rPr>
                <w:noProof/>
                <w:webHidden/>
              </w:rPr>
              <w:t>23</w:t>
            </w:r>
            <w:r w:rsidR="00A40338">
              <w:rPr>
                <w:noProof/>
                <w:webHidden/>
              </w:rPr>
              <w:fldChar w:fldCharType="end"/>
            </w:r>
          </w:hyperlink>
        </w:p>
        <w:p w14:paraId="090E02D5" w14:textId="78D57749" w:rsidR="00A40338" w:rsidRDefault="00E90F5A">
          <w:pPr>
            <w:pStyle w:val="Inhopg1"/>
            <w:rPr>
              <w:rFonts w:eastAsiaTheme="minorEastAsia"/>
              <w:b w:val="0"/>
              <w:bCs w:val="0"/>
              <w:lang w:val="nl-BE" w:eastAsia="nl-BE"/>
            </w:rPr>
          </w:pPr>
          <w:hyperlink w:anchor="_Toc70238561" w:history="1">
            <w:r w:rsidR="00A40338" w:rsidRPr="00D80F9C">
              <w:rPr>
                <w:rStyle w:val="Hyperlink"/>
                <w:lang w:val="fr-BE"/>
              </w:rPr>
              <w:t>RESULTS</w:t>
            </w:r>
            <w:r w:rsidR="00A40338">
              <w:rPr>
                <w:webHidden/>
              </w:rPr>
              <w:tab/>
            </w:r>
            <w:r w:rsidR="00A40338">
              <w:rPr>
                <w:webHidden/>
              </w:rPr>
              <w:fldChar w:fldCharType="begin"/>
            </w:r>
            <w:r w:rsidR="00A40338">
              <w:rPr>
                <w:webHidden/>
              </w:rPr>
              <w:instrText xml:space="preserve"> PAGEREF _Toc70238561 \h </w:instrText>
            </w:r>
            <w:r w:rsidR="00A40338">
              <w:rPr>
                <w:webHidden/>
              </w:rPr>
            </w:r>
            <w:r w:rsidR="00A40338">
              <w:rPr>
                <w:webHidden/>
              </w:rPr>
              <w:fldChar w:fldCharType="separate"/>
            </w:r>
            <w:r w:rsidR="0073106F">
              <w:rPr>
                <w:webHidden/>
              </w:rPr>
              <w:t>24</w:t>
            </w:r>
            <w:r w:rsidR="00A40338">
              <w:rPr>
                <w:webHidden/>
              </w:rPr>
              <w:fldChar w:fldCharType="end"/>
            </w:r>
          </w:hyperlink>
        </w:p>
        <w:p w14:paraId="71C49328" w14:textId="436E78AE" w:rsidR="00A40338" w:rsidRDefault="00E90F5A" w:rsidP="00A40338">
          <w:pPr>
            <w:pStyle w:val="Inhopg2"/>
            <w:tabs>
              <w:tab w:val="left" w:pos="660"/>
              <w:tab w:val="right" w:leader="dot" w:pos="9062"/>
            </w:tabs>
            <w:rPr>
              <w:rFonts w:eastAsiaTheme="minorEastAsia"/>
              <w:noProof/>
              <w:lang w:eastAsia="nl-BE"/>
            </w:rPr>
          </w:pPr>
          <w:hyperlink w:anchor="_Toc70238562" w:history="1">
            <w:r w:rsidR="00A40338" w:rsidRPr="00D80F9C">
              <w:rPr>
                <w:rStyle w:val="Hyperlink"/>
                <w:noProof/>
                <w:lang w:val="en-GB"/>
              </w:rPr>
              <w:t>1.</w:t>
            </w:r>
            <w:r w:rsidR="00A40338">
              <w:rPr>
                <w:rFonts w:eastAsiaTheme="minorEastAsia"/>
                <w:noProof/>
                <w:lang w:eastAsia="nl-BE"/>
              </w:rPr>
              <w:tab/>
            </w:r>
            <w:r w:rsidR="00A40338" w:rsidRPr="00D80F9C">
              <w:rPr>
                <w:rStyle w:val="Hyperlink"/>
                <w:noProof/>
                <w:lang w:val="en-GB"/>
              </w:rPr>
              <w:t>BASELINE CHARACTERISTICS OF THE STUDY POPULATION</w:t>
            </w:r>
            <w:r w:rsidR="00A40338">
              <w:rPr>
                <w:noProof/>
                <w:webHidden/>
              </w:rPr>
              <w:tab/>
            </w:r>
            <w:r w:rsidR="00A40338">
              <w:rPr>
                <w:noProof/>
                <w:webHidden/>
              </w:rPr>
              <w:fldChar w:fldCharType="begin"/>
            </w:r>
            <w:r w:rsidR="00A40338">
              <w:rPr>
                <w:noProof/>
                <w:webHidden/>
              </w:rPr>
              <w:instrText xml:space="preserve"> PAGEREF _Toc70238562 \h </w:instrText>
            </w:r>
            <w:r w:rsidR="00A40338">
              <w:rPr>
                <w:noProof/>
                <w:webHidden/>
              </w:rPr>
            </w:r>
            <w:r w:rsidR="00A40338">
              <w:rPr>
                <w:noProof/>
                <w:webHidden/>
              </w:rPr>
              <w:fldChar w:fldCharType="separate"/>
            </w:r>
            <w:r w:rsidR="0073106F">
              <w:rPr>
                <w:noProof/>
                <w:webHidden/>
              </w:rPr>
              <w:t>24</w:t>
            </w:r>
            <w:r w:rsidR="00A40338">
              <w:rPr>
                <w:noProof/>
                <w:webHidden/>
              </w:rPr>
              <w:fldChar w:fldCharType="end"/>
            </w:r>
          </w:hyperlink>
        </w:p>
        <w:p w14:paraId="58E92061" w14:textId="45FD492E" w:rsidR="00A40338" w:rsidRDefault="00E90F5A" w:rsidP="00A40338">
          <w:pPr>
            <w:pStyle w:val="Inhopg2"/>
            <w:tabs>
              <w:tab w:val="left" w:pos="660"/>
              <w:tab w:val="right" w:leader="dot" w:pos="9062"/>
            </w:tabs>
            <w:rPr>
              <w:rFonts w:eastAsiaTheme="minorEastAsia"/>
              <w:noProof/>
              <w:lang w:eastAsia="nl-BE"/>
            </w:rPr>
          </w:pPr>
          <w:hyperlink w:anchor="_Toc70238566" w:history="1">
            <w:r w:rsidR="00A40338" w:rsidRPr="00D80F9C">
              <w:rPr>
                <w:rStyle w:val="Hyperlink"/>
                <w:noProof/>
                <w:lang w:val="en-GB"/>
              </w:rPr>
              <w:t>2.</w:t>
            </w:r>
            <w:r w:rsidR="00A40338">
              <w:rPr>
                <w:rFonts w:eastAsiaTheme="minorEastAsia"/>
                <w:noProof/>
                <w:lang w:eastAsia="nl-BE"/>
              </w:rPr>
              <w:tab/>
            </w:r>
            <w:r w:rsidR="00A40338" w:rsidRPr="00D80F9C">
              <w:rPr>
                <w:rStyle w:val="Hyperlink"/>
                <w:noProof/>
                <w:lang w:val="en-GB"/>
              </w:rPr>
              <w:t>PRE-TREATMENT FINDINGS</w:t>
            </w:r>
            <w:r w:rsidR="00A40338">
              <w:rPr>
                <w:noProof/>
                <w:webHidden/>
              </w:rPr>
              <w:tab/>
            </w:r>
            <w:r w:rsidR="00A40338">
              <w:rPr>
                <w:noProof/>
                <w:webHidden/>
              </w:rPr>
              <w:fldChar w:fldCharType="begin"/>
            </w:r>
            <w:r w:rsidR="00A40338">
              <w:rPr>
                <w:noProof/>
                <w:webHidden/>
              </w:rPr>
              <w:instrText xml:space="preserve"> PAGEREF _Toc70238566 \h </w:instrText>
            </w:r>
            <w:r w:rsidR="00A40338">
              <w:rPr>
                <w:noProof/>
                <w:webHidden/>
              </w:rPr>
            </w:r>
            <w:r w:rsidR="00A40338">
              <w:rPr>
                <w:noProof/>
                <w:webHidden/>
              </w:rPr>
              <w:fldChar w:fldCharType="separate"/>
            </w:r>
            <w:r w:rsidR="0073106F">
              <w:rPr>
                <w:noProof/>
                <w:webHidden/>
              </w:rPr>
              <w:t>28</w:t>
            </w:r>
            <w:r w:rsidR="00A40338">
              <w:rPr>
                <w:noProof/>
                <w:webHidden/>
              </w:rPr>
              <w:fldChar w:fldCharType="end"/>
            </w:r>
          </w:hyperlink>
        </w:p>
        <w:p w14:paraId="028BFEE3" w14:textId="4BB51B78" w:rsidR="00A40338" w:rsidRDefault="00E90F5A">
          <w:pPr>
            <w:pStyle w:val="Inhopg2"/>
            <w:tabs>
              <w:tab w:val="left" w:pos="660"/>
              <w:tab w:val="right" w:leader="dot" w:pos="9062"/>
            </w:tabs>
            <w:rPr>
              <w:rFonts w:eastAsiaTheme="minorEastAsia"/>
              <w:noProof/>
              <w:lang w:eastAsia="nl-BE"/>
            </w:rPr>
          </w:pPr>
          <w:hyperlink w:anchor="_Toc70238569" w:history="1">
            <w:r w:rsidR="00A40338" w:rsidRPr="00D80F9C">
              <w:rPr>
                <w:rStyle w:val="Hyperlink"/>
                <w:noProof/>
                <w:lang w:val="en-GB"/>
              </w:rPr>
              <w:t>3.</w:t>
            </w:r>
            <w:r w:rsidR="00A40338">
              <w:rPr>
                <w:rFonts w:eastAsiaTheme="minorEastAsia"/>
                <w:noProof/>
                <w:lang w:eastAsia="nl-BE"/>
              </w:rPr>
              <w:tab/>
            </w:r>
            <w:r w:rsidR="00A40338" w:rsidRPr="00D80F9C">
              <w:rPr>
                <w:rStyle w:val="Hyperlink"/>
                <w:noProof/>
                <w:lang w:val="en-GB"/>
              </w:rPr>
              <w:t>POST-TREATMENT FINDINGS</w:t>
            </w:r>
            <w:r w:rsidR="00A40338">
              <w:rPr>
                <w:noProof/>
                <w:webHidden/>
              </w:rPr>
              <w:tab/>
            </w:r>
            <w:r w:rsidR="00A40338">
              <w:rPr>
                <w:noProof/>
                <w:webHidden/>
              </w:rPr>
              <w:fldChar w:fldCharType="begin"/>
            </w:r>
            <w:r w:rsidR="00A40338">
              <w:rPr>
                <w:noProof/>
                <w:webHidden/>
              </w:rPr>
              <w:instrText xml:space="preserve"> PAGEREF _Toc70238569 \h </w:instrText>
            </w:r>
            <w:r w:rsidR="00A40338">
              <w:rPr>
                <w:noProof/>
                <w:webHidden/>
              </w:rPr>
            </w:r>
            <w:r w:rsidR="00A40338">
              <w:rPr>
                <w:noProof/>
                <w:webHidden/>
              </w:rPr>
              <w:fldChar w:fldCharType="separate"/>
            </w:r>
            <w:r w:rsidR="0073106F">
              <w:rPr>
                <w:noProof/>
                <w:webHidden/>
              </w:rPr>
              <w:t>35</w:t>
            </w:r>
            <w:r w:rsidR="00A40338">
              <w:rPr>
                <w:noProof/>
                <w:webHidden/>
              </w:rPr>
              <w:fldChar w:fldCharType="end"/>
            </w:r>
          </w:hyperlink>
        </w:p>
        <w:p w14:paraId="061B76A5" w14:textId="528BF974" w:rsidR="00A40338" w:rsidRDefault="00E90F5A">
          <w:pPr>
            <w:pStyle w:val="Inhopg1"/>
            <w:rPr>
              <w:rFonts w:eastAsiaTheme="minorEastAsia"/>
              <w:b w:val="0"/>
              <w:bCs w:val="0"/>
              <w:lang w:val="nl-BE" w:eastAsia="nl-BE"/>
            </w:rPr>
          </w:pPr>
          <w:hyperlink w:anchor="_Toc70238572" w:history="1">
            <w:r w:rsidR="00A40338" w:rsidRPr="00D80F9C">
              <w:rPr>
                <w:rStyle w:val="Hyperlink"/>
              </w:rPr>
              <w:t>DISCUSSION</w:t>
            </w:r>
            <w:r w:rsidR="00A40338">
              <w:rPr>
                <w:webHidden/>
              </w:rPr>
              <w:tab/>
            </w:r>
            <w:r w:rsidR="00A40338">
              <w:rPr>
                <w:webHidden/>
              </w:rPr>
              <w:fldChar w:fldCharType="begin"/>
            </w:r>
            <w:r w:rsidR="00A40338">
              <w:rPr>
                <w:webHidden/>
              </w:rPr>
              <w:instrText xml:space="preserve"> PAGEREF _Toc70238572 \h </w:instrText>
            </w:r>
            <w:r w:rsidR="00A40338">
              <w:rPr>
                <w:webHidden/>
              </w:rPr>
            </w:r>
            <w:r w:rsidR="00A40338">
              <w:rPr>
                <w:webHidden/>
              </w:rPr>
              <w:fldChar w:fldCharType="separate"/>
            </w:r>
            <w:r w:rsidR="0073106F">
              <w:rPr>
                <w:webHidden/>
              </w:rPr>
              <w:t>40</w:t>
            </w:r>
            <w:r w:rsidR="00A40338">
              <w:rPr>
                <w:webHidden/>
              </w:rPr>
              <w:fldChar w:fldCharType="end"/>
            </w:r>
          </w:hyperlink>
        </w:p>
        <w:p w14:paraId="66A339A8" w14:textId="627FBE43" w:rsidR="00A40338" w:rsidRDefault="00E90F5A">
          <w:pPr>
            <w:pStyle w:val="Inhopg1"/>
            <w:rPr>
              <w:rFonts w:eastAsiaTheme="minorEastAsia"/>
              <w:b w:val="0"/>
              <w:bCs w:val="0"/>
              <w:lang w:val="nl-BE" w:eastAsia="nl-BE"/>
            </w:rPr>
          </w:pPr>
          <w:hyperlink w:anchor="_Toc70238573" w:history="1">
            <w:r w:rsidR="00A40338" w:rsidRPr="00D80F9C">
              <w:rPr>
                <w:rStyle w:val="Hyperlink"/>
              </w:rPr>
              <w:t>CONCLUSION</w:t>
            </w:r>
            <w:r w:rsidR="00A40338">
              <w:rPr>
                <w:webHidden/>
              </w:rPr>
              <w:tab/>
            </w:r>
            <w:r w:rsidR="00A40338">
              <w:rPr>
                <w:webHidden/>
              </w:rPr>
              <w:fldChar w:fldCharType="begin"/>
            </w:r>
            <w:r w:rsidR="00A40338">
              <w:rPr>
                <w:webHidden/>
              </w:rPr>
              <w:instrText xml:space="preserve"> PAGEREF _Toc70238573 \h </w:instrText>
            </w:r>
            <w:r w:rsidR="00A40338">
              <w:rPr>
                <w:webHidden/>
              </w:rPr>
            </w:r>
            <w:r w:rsidR="00A40338">
              <w:rPr>
                <w:webHidden/>
              </w:rPr>
              <w:fldChar w:fldCharType="separate"/>
            </w:r>
            <w:r w:rsidR="0073106F">
              <w:rPr>
                <w:webHidden/>
              </w:rPr>
              <w:t>48</w:t>
            </w:r>
            <w:r w:rsidR="00A40338">
              <w:rPr>
                <w:webHidden/>
              </w:rPr>
              <w:fldChar w:fldCharType="end"/>
            </w:r>
          </w:hyperlink>
        </w:p>
        <w:p w14:paraId="1EE7D832" w14:textId="4515BB9A" w:rsidR="00A40338" w:rsidRDefault="00E90F5A">
          <w:pPr>
            <w:pStyle w:val="Inhopg1"/>
            <w:rPr>
              <w:rFonts w:eastAsiaTheme="minorEastAsia"/>
              <w:b w:val="0"/>
              <w:bCs w:val="0"/>
              <w:lang w:val="nl-BE" w:eastAsia="nl-BE"/>
            </w:rPr>
          </w:pPr>
          <w:hyperlink w:anchor="_Toc70238574" w:history="1">
            <w:r w:rsidR="00A40338" w:rsidRPr="00D80F9C">
              <w:rPr>
                <w:rStyle w:val="Hyperlink"/>
              </w:rPr>
              <w:t>ACKNOWLEDGEMENTS</w:t>
            </w:r>
            <w:r w:rsidR="00A40338">
              <w:rPr>
                <w:webHidden/>
              </w:rPr>
              <w:tab/>
            </w:r>
            <w:r w:rsidR="00A40338">
              <w:rPr>
                <w:webHidden/>
              </w:rPr>
              <w:fldChar w:fldCharType="begin"/>
            </w:r>
            <w:r w:rsidR="00A40338">
              <w:rPr>
                <w:webHidden/>
              </w:rPr>
              <w:instrText xml:space="preserve"> PAGEREF _Toc70238574 \h </w:instrText>
            </w:r>
            <w:r w:rsidR="00A40338">
              <w:rPr>
                <w:webHidden/>
              </w:rPr>
            </w:r>
            <w:r w:rsidR="00A40338">
              <w:rPr>
                <w:webHidden/>
              </w:rPr>
              <w:fldChar w:fldCharType="separate"/>
            </w:r>
            <w:r w:rsidR="0073106F">
              <w:rPr>
                <w:webHidden/>
              </w:rPr>
              <w:t>49</w:t>
            </w:r>
            <w:r w:rsidR="00A40338">
              <w:rPr>
                <w:webHidden/>
              </w:rPr>
              <w:fldChar w:fldCharType="end"/>
            </w:r>
          </w:hyperlink>
        </w:p>
        <w:p w14:paraId="3F5DBACC" w14:textId="17A4FDCD" w:rsidR="00A40338" w:rsidRDefault="00E90F5A">
          <w:pPr>
            <w:pStyle w:val="Inhopg1"/>
            <w:rPr>
              <w:rFonts w:eastAsiaTheme="minorEastAsia"/>
              <w:b w:val="0"/>
              <w:bCs w:val="0"/>
              <w:lang w:val="nl-BE" w:eastAsia="nl-BE"/>
            </w:rPr>
          </w:pPr>
          <w:hyperlink w:anchor="_Toc70238575" w:history="1">
            <w:r w:rsidR="00A40338" w:rsidRPr="00D80F9C">
              <w:rPr>
                <w:rStyle w:val="Hyperlink"/>
              </w:rPr>
              <w:t>REFERENCES</w:t>
            </w:r>
            <w:r w:rsidR="00A40338">
              <w:rPr>
                <w:webHidden/>
              </w:rPr>
              <w:tab/>
            </w:r>
            <w:r w:rsidR="00A40338">
              <w:rPr>
                <w:webHidden/>
              </w:rPr>
              <w:fldChar w:fldCharType="begin"/>
            </w:r>
            <w:r w:rsidR="00A40338">
              <w:rPr>
                <w:webHidden/>
              </w:rPr>
              <w:instrText xml:space="preserve"> PAGEREF _Toc70238575 \h </w:instrText>
            </w:r>
            <w:r w:rsidR="00A40338">
              <w:rPr>
                <w:webHidden/>
              </w:rPr>
            </w:r>
            <w:r w:rsidR="00A40338">
              <w:rPr>
                <w:webHidden/>
              </w:rPr>
              <w:fldChar w:fldCharType="separate"/>
            </w:r>
            <w:r w:rsidR="0073106F">
              <w:rPr>
                <w:webHidden/>
              </w:rPr>
              <w:t>50</w:t>
            </w:r>
            <w:r w:rsidR="00A40338">
              <w:rPr>
                <w:webHidden/>
              </w:rPr>
              <w:fldChar w:fldCharType="end"/>
            </w:r>
          </w:hyperlink>
        </w:p>
        <w:p w14:paraId="26F58B9A" w14:textId="11011F5D" w:rsidR="00A40338" w:rsidRDefault="00E90F5A">
          <w:pPr>
            <w:pStyle w:val="Inhopg1"/>
            <w:rPr>
              <w:rFonts w:eastAsiaTheme="minorEastAsia"/>
              <w:b w:val="0"/>
              <w:bCs w:val="0"/>
              <w:lang w:val="nl-BE" w:eastAsia="nl-BE"/>
            </w:rPr>
          </w:pPr>
          <w:hyperlink w:anchor="_Toc70238577" w:history="1">
            <w:r w:rsidR="00A40338" w:rsidRPr="00D80F9C">
              <w:rPr>
                <w:rStyle w:val="Hyperlink"/>
              </w:rPr>
              <w:t>ATTACHMENT 1: stone compositions according to the European Renal Stone Network Survey</w:t>
            </w:r>
            <w:r w:rsidR="00A40338">
              <w:rPr>
                <w:webHidden/>
              </w:rPr>
              <w:tab/>
            </w:r>
            <w:r w:rsidR="00A40338">
              <w:rPr>
                <w:webHidden/>
              </w:rPr>
              <w:fldChar w:fldCharType="begin"/>
            </w:r>
            <w:r w:rsidR="00A40338">
              <w:rPr>
                <w:webHidden/>
              </w:rPr>
              <w:instrText xml:space="preserve"> PAGEREF _Toc70238577 \h </w:instrText>
            </w:r>
            <w:r w:rsidR="00A40338">
              <w:rPr>
                <w:webHidden/>
              </w:rPr>
            </w:r>
            <w:r w:rsidR="00A40338">
              <w:rPr>
                <w:webHidden/>
              </w:rPr>
              <w:fldChar w:fldCharType="separate"/>
            </w:r>
            <w:r w:rsidR="0073106F">
              <w:rPr>
                <w:webHidden/>
              </w:rPr>
              <w:t>55</w:t>
            </w:r>
            <w:r w:rsidR="00A40338">
              <w:rPr>
                <w:webHidden/>
              </w:rPr>
              <w:fldChar w:fldCharType="end"/>
            </w:r>
          </w:hyperlink>
        </w:p>
        <w:p w14:paraId="34F96A3D" w14:textId="3641AF72" w:rsidR="00A40338" w:rsidRDefault="00E90F5A">
          <w:pPr>
            <w:pStyle w:val="Inhopg1"/>
            <w:rPr>
              <w:rFonts w:eastAsiaTheme="minorEastAsia"/>
              <w:b w:val="0"/>
              <w:bCs w:val="0"/>
              <w:lang w:val="nl-BE" w:eastAsia="nl-BE"/>
            </w:rPr>
          </w:pPr>
          <w:hyperlink w:anchor="_Toc70238578" w:history="1">
            <w:r w:rsidR="00A40338" w:rsidRPr="00D80F9C">
              <w:rPr>
                <w:rStyle w:val="Hyperlink"/>
              </w:rPr>
              <w:t>ATTACHMENT 2: ICH GCP certificate</w:t>
            </w:r>
            <w:r w:rsidR="00A40338">
              <w:rPr>
                <w:webHidden/>
              </w:rPr>
              <w:tab/>
            </w:r>
            <w:r w:rsidR="00A40338">
              <w:rPr>
                <w:webHidden/>
              </w:rPr>
              <w:fldChar w:fldCharType="begin"/>
            </w:r>
            <w:r w:rsidR="00A40338">
              <w:rPr>
                <w:webHidden/>
              </w:rPr>
              <w:instrText xml:space="preserve"> PAGEREF _Toc70238578 \h </w:instrText>
            </w:r>
            <w:r w:rsidR="00A40338">
              <w:rPr>
                <w:webHidden/>
              </w:rPr>
            </w:r>
            <w:r w:rsidR="00A40338">
              <w:rPr>
                <w:webHidden/>
              </w:rPr>
              <w:fldChar w:fldCharType="separate"/>
            </w:r>
            <w:r w:rsidR="0073106F">
              <w:rPr>
                <w:webHidden/>
              </w:rPr>
              <w:t>55</w:t>
            </w:r>
            <w:r w:rsidR="00A40338">
              <w:rPr>
                <w:webHidden/>
              </w:rPr>
              <w:fldChar w:fldCharType="end"/>
            </w:r>
          </w:hyperlink>
        </w:p>
        <w:p w14:paraId="5F6D7116" w14:textId="0C55EA65" w:rsidR="00A40338" w:rsidRDefault="00E90F5A">
          <w:pPr>
            <w:pStyle w:val="Inhopg1"/>
            <w:rPr>
              <w:rFonts w:eastAsiaTheme="minorEastAsia"/>
              <w:b w:val="0"/>
              <w:bCs w:val="0"/>
              <w:lang w:val="nl-BE" w:eastAsia="nl-BE"/>
            </w:rPr>
          </w:pPr>
          <w:hyperlink w:anchor="_Toc70238579" w:history="1">
            <w:r w:rsidR="00A40338" w:rsidRPr="00D80F9C">
              <w:rPr>
                <w:rStyle w:val="Hyperlink"/>
              </w:rPr>
              <w:t>ATTACHMENT 3: approvals of the Ethics committee</w:t>
            </w:r>
            <w:r w:rsidR="00A40338">
              <w:rPr>
                <w:webHidden/>
              </w:rPr>
              <w:tab/>
            </w:r>
            <w:r w:rsidR="00A40338">
              <w:rPr>
                <w:webHidden/>
              </w:rPr>
              <w:fldChar w:fldCharType="begin"/>
            </w:r>
            <w:r w:rsidR="00A40338">
              <w:rPr>
                <w:webHidden/>
              </w:rPr>
              <w:instrText xml:space="preserve"> PAGEREF _Toc70238579 \h </w:instrText>
            </w:r>
            <w:r w:rsidR="00A40338">
              <w:rPr>
                <w:webHidden/>
              </w:rPr>
            </w:r>
            <w:r w:rsidR="00A40338">
              <w:rPr>
                <w:webHidden/>
              </w:rPr>
              <w:fldChar w:fldCharType="separate"/>
            </w:r>
            <w:r w:rsidR="0073106F">
              <w:rPr>
                <w:webHidden/>
              </w:rPr>
              <w:t>56</w:t>
            </w:r>
            <w:r w:rsidR="00A40338">
              <w:rPr>
                <w:webHidden/>
              </w:rPr>
              <w:fldChar w:fldCharType="end"/>
            </w:r>
          </w:hyperlink>
        </w:p>
        <w:p w14:paraId="41746FD2" w14:textId="6191BCA1" w:rsidR="00E832CA" w:rsidRDefault="00E832CA">
          <w:r>
            <w:rPr>
              <w:b/>
              <w:bCs/>
              <w:lang w:val="nl-NL"/>
            </w:rPr>
            <w:fldChar w:fldCharType="end"/>
          </w:r>
        </w:p>
      </w:sdtContent>
    </w:sdt>
    <w:p w14:paraId="549C8646" w14:textId="77777777" w:rsidR="00B4275C" w:rsidRDefault="00B4275C" w:rsidP="00B4275C">
      <w:pPr>
        <w:rPr>
          <w:lang w:val="en-US"/>
        </w:rPr>
      </w:pPr>
    </w:p>
    <w:p w14:paraId="6320A4C9" w14:textId="77777777" w:rsidR="00B4275C" w:rsidRDefault="00B4275C" w:rsidP="00B4275C">
      <w:pPr>
        <w:rPr>
          <w:lang w:val="en-US"/>
        </w:rPr>
      </w:pPr>
    </w:p>
    <w:p w14:paraId="27ACFECC" w14:textId="61756563" w:rsidR="00B4275C" w:rsidRDefault="00B4275C" w:rsidP="00B4275C">
      <w:pPr>
        <w:rPr>
          <w:lang w:val="en-US"/>
        </w:rPr>
      </w:pPr>
    </w:p>
    <w:p w14:paraId="6FBF6EF6" w14:textId="77777777" w:rsidR="00B4275C" w:rsidRDefault="00B4275C" w:rsidP="00B4275C">
      <w:pPr>
        <w:rPr>
          <w:lang w:val="en-US"/>
        </w:rPr>
      </w:pPr>
    </w:p>
    <w:p w14:paraId="1833B5BD" w14:textId="12CFD7B3" w:rsidR="00966AAB" w:rsidRDefault="00966AAB" w:rsidP="00B4275C">
      <w:pPr>
        <w:rPr>
          <w:lang w:val="en-US"/>
        </w:rPr>
      </w:pPr>
    </w:p>
    <w:p w14:paraId="4A929ECE" w14:textId="77777777" w:rsidR="00966AAB" w:rsidRDefault="00966AAB" w:rsidP="00B4275C">
      <w:pPr>
        <w:rPr>
          <w:lang w:val="en-US"/>
        </w:rPr>
      </w:pPr>
    </w:p>
    <w:p w14:paraId="5A4CF503" w14:textId="77777777" w:rsidR="00B4275C" w:rsidRDefault="00B4275C" w:rsidP="00B4275C">
      <w:pPr>
        <w:rPr>
          <w:lang w:val="en-US"/>
        </w:rPr>
      </w:pPr>
    </w:p>
    <w:p w14:paraId="1FF20327" w14:textId="77777777" w:rsidR="005769F3" w:rsidRDefault="005769F3" w:rsidP="00B4275C">
      <w:pPr>
        <w:rPr>
          <w:lang w:val="en-US"/>
        </w:rPr>
        <w:sectPr w:rsidR="005769F3" w:rsidSect="00740F87">
          <w:footerReference w:type="default" r:id="rId11"/>
          <w:headerReference w:type="first" r:id="rId12"/>
          <w:type w:val="continuous"/>
          <w:pgSz w:w="11906" w:h="16838"/>
          <w:pgMar w:top="1417" w:right="1417" w:bottom="1417" w:left="1417" w:header="567" w:footer="0" w:gutter="0"/>
          <w:cols w:space="708"/>
          <w:titlePg/>
          <w:docGrid w:linePitch="360"/>
        </w:sectPr>
      </w:pPr>
    </w:p>
    <w:p w14:paraId="5D47F64B" w14:textId="44B5C9A7" w:rsidR="009170A2" w:rsidRDefault="009170A2" w:rsidP="001D63E1">
      <w:pPr>
        <w:pStyle w:val="Kop1"/>
        <w:spacing w:after="240"/>
        <w:rPr>
          <w:lang w:val="en-US"/>
        </w:rPr>
      </w:pPr>
      <w:bookmarkStart w:id="0" w:name="_Toc70238540"/>
      <w:r>
        <w:rPr>
          <w:lang w:val="en-US"/>
        </w:rPr>
        <w:lastRenderedPageBreak/>
        <w:t>ABSTRACT</w:t>
      </w:r>
      <w:bookmarkEnd w:id="0"/>
    </w:p>
    <w:p w14:paraId="3376BE1A" w14:textId="15BD3C2E" w:rsidR="009D0514" w:rsidRPr="005A1FEF" w:rsidRDefault="009D0514" w:rsidP="009D0514">
      <w:pPr>
        <w:spacing w:line="360" w:lineRule="auto"/>
        <w:jc w:val="both"/>
        <w:rPr>
          <w:rFonts w:cstheme="minorHAnsi"/>
          <w:lang w:val="en-GB"/>
        </w:rPr>
      </w:pPr>
      <w:bookmarkStart w:id="1" w:name="_Hlk67901677"/>
      <w:r w:rsidRPr="005A1FEF">
        <w:rPr>
          <w:rFonts w:cstheme="minorHAnsi"/>
          <w:b/>
          <w:bCs/>
          <w:lang w:val="en-GB"/>
        </w:rPr>
        <w:t>Objective</w:t>
      </w:r>
      <w:r w:rsidRPr="005A1FEF">
        <w:rPr>
          <w:rFonts w:cstheme="minorHAnsi"/>
          <w:lang w:val="en-GB"/>
        </w:rPr>
        <w:t xml:space="preserve">- Nephrolithiasis is an increasingly prevalent and highly recurrent condition. The </w:t>
      </w:r>
      <w:r w:rsidR="00647A91">
        <w:rPr>
          <w:rFonts w:cstheme="minorHAnsi"/>
          <w:lang w:val="en-GB"/>
        </w:rPr>
        <w:t>role</w:t>
      </w:r>
      <w:r w:rsidR="00647A91" w:rsidRPr="005A1FEF">
        <w:rPr>
          <w:rFonts w:cstheme="minorHAnsi"/>
          <w:lang w:val="en-GB"/>
        </w:rPr>
        <w:t xml:space="preserve"> </w:t>
      </w:r>
      <w:r w:rsidRPr="005A1FEF">
        <w:rPr>
          <w:rFonts w:cstheme="minorHAnsi"/>
          <w:lang w:val="en-GB"/>
        </w:rPr>
        <w:t xml:space="preserve">of individual preventive measures </w:t>
      </w:r>
      <w:r w:rsidR="00647A91">
        <w:rPr>
          <w:rFonts w:cstheme="minorHAnsi"/>
          <w:lang w:val="en-GB"/>
        </w:rPr>
        <w:t xml:space="preserve">in preventing recurrence </w:t>
      </w:r>
      <w:r w:rsidRPr="005A1FEF">
        <w:rPr>
          <w:rFonts w:cstheme="minorHAnsi"/>
          <w:lang w:val="en-GB"/>
        </w:rPr>
        <w:t xml:space="preserve">has been established by several randomized controlled trials. However, </w:t>
      </w:r>
      <w:r>
        <w:rPr>
          <w:rFonts w:cstheme="minorHAnsi"/>
          <w:lang w:val="en-GB"/>
        </w:rPr>
        <w:t xml:space="preserve">there is a </w:t>
      </w:r>
      <w:r w:rsidRPr="005A1FEF">
        <w:rPr>
          <w:rFonts w:cstheme="minorHAnsi"/>
          <w:lang w:val="en-GB"/>
        </w:rPr>
        <w:t xml:space="preserve">lack of studies demonstrating the efficacy of combined preventive measures. This </w:t>
      </w:r>
      <w:r>
        <w:rPr>
          <w:rFonts w:cstheme="minorHAnsi"/>
          <w:lang w:val="en-GB"/>
        </w:rPr>
        <w:t xml:space="preserve">single centre </w:t>
      </w:r>
      <w:r w:rsidRPr="005A1FEF">
        <w:rPr>
          <w:rFonts w:cstheme="minorHAnsi"/>
          <w:lang w:val="en-GB"/>
        </w:rPr>
        <w:t xml:space="preserve">retrospective cohort study </w:t>
      </w:r>
      <w:r>
        <w:rPr>
          <w:rFonts w:cstheme="minorHAnsi"/>
          <w:lang w:val="en-GB"/>
        </w:rPr>
        <w:t xml:space="preserve">evaluated the influence </w:t>
      </w:r>
      <w:r w:rsidRPr="005A1FEF">
        <w:rPr>
          <w:rFonts w:cstheme="minorHAnsi"/>
          <w:lang w:val="en-GB"/>
        </w:rPr>
        <w:t xml:space="preserve">of combined preventive measures on the urinary risk factors for kidney stone </w:t>
      </w:r>
      <w:r>
        <w:rPr>
          <w:rFonts w:cstheme="minorHAnsi"/>
          <w:lang w:val="en-GB"/>
        </w:rPr>
        <w:t xml:space="preserve">formation, </w:t>
      </w:r>
      <w:r w:rsidRPr="005A1FEF">
        <w:rPr>
          <w:rFonts w:cstheme="minorHAnsi"/>
          <w:lang w:val="en-GB"/>
        </w:rPr>
        <w:t xml:space="preserve">symptomatic renal colic </w:t>
      </w:r>
      <w:r>
        <w:rPr>
          <w:rFonts w:cstheme="minorHAnsi"/>
          <w:lang w:val="en-GB"/>
        </w:rPr>
        <w:t>rate</w:t>
      </w:r>
      <w:r w:rsidRPr="005A1FEF">
        <w:rPr>
          <w:rFonts w:cstheme="minorHAnsi"/>
          <w:lang w:val="en-GB"/>
        </w:rPr>
        <w:t>, kidney stone formation rate and rate of performance of urological procedures</w:t>
      </w:r>
      <w:r>
        <w:rPr>
          <w:rFonts w:cstheme="minorHAnsi"/>
          <w:lang w:val="en-GB"/>
        </w:rPr>
        <w:t xml:space="preserve">. </w:t>
      </w:r>
      <w:r w:rsidRPr="005A1FEF">
        <w:rPr>
          <w:rFonts w:cstheme="minorHAnsi"/>
          <w:lang w:val="en-GB"/>
        </w:rPr>
        <w:t xml:space="preserve"> </w:t>
      </w:r>
    </w:p>
    <w:p w14:paraId="6D67BB2B" w14:textId="17BA6FF4" w:rsidR="009D0514" w:rsidRPr="005A1FEF" w:rsidRDefault="009D0514" w:rsidP="009D0514">
      <w:pPr>
        <w:spacing w:line="360" w:lineRule="auto"/>
        <w:jc w:val="both"/>
        <w:rPr>
          <w:rFonts w:cstheme="minorHAnsi"/>
          <w:lang w:val="en-GB"/>
        </w:rPr>
      </w:pPr>
      <w:r w:rsidRPr="005A1FEF">
        <w:rPr>
          <w:rFonts w:cstheme="minorHAnsi"/>
          <w:b/>
          <w:bCs/>
          <w:lang w:val="en-GB"/>
        </w:rPr>
        <w:t>Patients and methods</w:t>
      </w:r>
      <w:r w:rsidRPr="005A1FEF">
        <w:rPr>
          <w:rFonts w:cstheme="minorHAnsi"/>
          <w:lang w:val="en-GB"/>
        </w:rPr>
        <w:t xml:space="preserve">- </w:t>
      </w:r>
      <w:r>
        <w:rPr>
          <w:rFonts w:cstheme="minorHAnsi"/>
          <w:lang w:val="en-GB"/>
        </w:rPr>
        <w:t>Data</w:t>
      </w:r>
      <w:r w:rsidRPr="005A1FEF">
        <w:rPr>
          <w:rFonts w:cstheme="minorHAnsi"/>
          <w:lang w:val="en-GB"/>
        </w:rPr>
        <w:t xml:space="preserve"> of nephrolithiasis and nephrocalcinosis patients </w:t>
      </w:r>
      <w:r>
        <w:rPr>
          <w:rFonts w:cstheme="minorHAnsi"/>
          <w:lang w:val="en-GB"/>
        </w:rPr>
        <w:t>attending the</w:t>
      </w:r>
      <w:r w:rsidRPr="005A1FEF">
        <w:rPr>
          <w:rFonts w:cstheme="minorHAnsi"/>
          <w:lang w:val="en-GB"/>
        </w:rPr>
        <w:t xml:space="preserve"> Kidney stone Prevention clinic (UZ Brussel) between </w:t>
      </w:r>
      <w:r>
        <w:rPr>
          <w:rFonts w:cstheme="minorHAnsi"/>
          <w:lang w:val="en-GB"/>
        </w:rPr>
        <w:t>22/12/</w:t>
      </w:r>
      <w:r w:rsidRPr="005A1FEF">
        <w:rPr>
          <w:rFonts w:cstheme="minorHAnsi"/>
          <w:lang w:val="en-GB"/>
        </w:rPr>
        <w:t xml:space="preserve">2004 </w:t>
      </w:r>
      <w:r w:rsidR="00647A91">
        <w:rPr>
          <w:rFonts w:cstheme="minorHAnsi"/>
          <w:lang w:val="en-GB"/>
        </w:rPr>
        <w:t>and</w:t>
      </w:r>
      <w:r w:rsidR="00647A91" w:rsidRPr="005A1FEF">
        <w:rPr>
          <w:rFonts w:cstheme="minorHAnsi"/>
          <w:lang w:val="en-GB"/>
        </w:rPr>
        <w:t xml:space="preserve"> </w:t>
      </w:r>
      <w:r>
        <w:rPr>
          <w:rFonts w:cstheme="minorHAnsi"/>
          <w:lang w:val="en-GB"/>
        </w:rPr>
        <w:t>31/12/</w:t>
      </w:r>
      <w:r w:rsidRPr="005A1FEF">
        <w:rPr>
          <w:rFonts w:cstheme="minorHAnsi"/>
          <w:lang w:val="en-GB"/>
        </w:rPr>
        <w:t xml:space="preserve">2020 </w:t>
      </w:r>
      <w:r>
        <w:rPr>
          <w:rFonts w:cstheme="minorHAnsi"/>
          <w:lang w:val="en-GB"/>
        </w:rPr>
        <w:t>were</w:t>
      </w:r>
      <w:r w:rsidRPr="005A1FEF">
        <w:rPr>
          <w:rFonts w:cstheme="minorHAnsi"/>
          <w:lang w:val="en-GB"/>
        </w:rPr>
        <w:t xml:space="preserve"> collected in a database. Retrospective cohort analysis was performed by means of </w:t>
      </w:r>
      <w:r>
        <w:rPr>
          <w:rFonts w:cstheme="minorHAnsi"/>
          <w:lang w:val="en-GB"/>
        </w:rPr>
        <w:t>a Wilcoxon signed rank test to compare pre- and posttreatment urinary risk factors in patients with at least six months of follow-up. In patients with at least twelve months follow-up and excluding those with nephrocalcinosis, symptomatic renal colic rate, stone formation rate and urological intervention rate were evaluated</w:t>
      </w:r>
      <w:r w:rsidR="00A40338">
        <w:rPr>
          <w:rFonts w:cstheme="minorHAnsi"/>
          <w:lang w:val="en-GB"/>
        </w:rPr>
        <w:t xml:space="preserve"> by means of the same test</w:t>
      </w:r>
      <w:r>
        <w:rPr>
          <w:rFonts w:cstheme="minorHAnsi"/>
          <w:lang w:val="en-GB"/>
        </w:rPr>
        <w:t>.</w:t>
      </w:r>
    </w:p>
    <w:p w14:paraId="3F8444A7" w14:textId="01080480" w:rsidR="009D0514" w:rsidRPr="005A1FEF" w:rsidRDefault="009D0514" w:rsidP="009D0514">
      <w:pPr>
        <w:spacing w:line="360" w:lineRule="auto"/>
        <w:jc w:val="both"/>
        <w:rPr>
          <w:rFonts w:cstheme="minorHAnsi"/>
          <w:lang w:val="en-GB"/>
        </w:rPr>
      </w:pPr>
      <w:r w:rsidRPr="005A1FEF">
        <w:rPr>
          <w:rFonts w:cstheme="minorHAnsi"/>
          <w:b/>
          <w:bCs/>
          <w:lang w:val="en-GB"/>
        </w:rPr>
        <w:t>Results</w:t>
      </w:r>
      <w:r>
        <w:rPr>
          <w:rFonts w:cstheme="minorHAnsi"/>
          <w:lang w:val="en-GB"/>
        </w:rPr>
        <w:t xml:space="preserve">- </w:t>
      </w:r>
      <w:r w:rsidRPr="00BF7DC9">
        <w:rPr>
          <w:rFonts w:cstheme="minorHAnsi"/>
          <w:lang w:val="en-GB"/>
        </w:rPr>
        <w:t>835 nephrolithiasis and nephrocalcinosis patients (537 males, 298 females) were evaluated at baseline. In 355 patients, effect of combined preventive measures on urinary risk factors was evaluated. Combined preventive measures significantly reduced median sodium excretion (</w:t>
      </w:r>
      <w:r w:rsidR="00B776D3" w:rsidRPr="00B776D3">
        <w:rPr>
          <w:rFonts w:cstheme="minorHAnsi"/>
          <w:i/>
          <w:iCs/>
          <w:lang w:val="en-GB"/>
        </w:rPr>
        <w:t>P</w:t>
      </w:r>
      <w:r w:rsidR="00D7749A">
        <w:rPr>
          <w:rFonts w:cstheme="minorHAnsi"/>
          <w:lang w:val="en-GB"/>
        </w:rPr>
        <w:t>&lt;</w:t>
      </w:r>
      <w:r w:rsidR="007750BB">
        <w:rPr>
          <w:rFonts w:cstheme="minorHAnsi"/>
          <w:lang w:val="en-GB"/>
        </w:rPr>
        <w:t>0.</w:t>
      </w:r>
      <w:r w:rsidR="00D7749A">
        <w:rPr>
          <w:rFonts w:cstheme="minorHAnsi"/>
          <w:lang w:val="en-GB"/>
        </w:rPr>
        <w:t>05</w:t>
      </w:r>
      <w:r w:rsidRPr="00BF7DC9">
        <w:rPr>
          <w:rFonts w:cstheme="minorHAnsi"/>
          <w:lang w:val="en-GB"/>
        </w:rPr>
        <w:t>), calciuria (</w:t>
      </w:r>
      <w:r w:rsidR="00B776D3" w:rsidRPr="00B776D3">
        <w:rPr>
          <w:rFonts w:cstheme="minorHAnsi"/>
          <w:i/>
          <w:iCs/>
          <w:lang w:val="en-GB"/>
        </w:rPr>
        <w:t>P</w:t>
      </w:r>
      <w:r w:rsidRPr="00882CE4">
        <w:rPr>
          <w:lang w:val="en-GB"/>
        </w:rPr>
        <w:t>&lt;</w:t>
      </w:r>
      <w:r w:rsidR="007750BB">
        <w:rPr>
          <w:lang w:val="en-GB"/>
        </w:rPr>
        <w:t>0.0001</w:t>
      </w:r>
      <w:r w:rsidRPr="00BF7DC9">
        <w:rPr>
          <w:rFonts w:cstheme="minorHAnsi"/>
          <w:lang w:val="en-GB"/>
        </w:rPr>
        <w:t xml:space="preserve">), uricosuria </w:t>
      </w:r>
      <w:r w:rsidR="007750BB" w:rsidRPr="00BF7DC9">
        <w:rPr>
          <w:rFonts w:cstheme="minorHAnsi"/>
          <w:lang w:val="en-GB"/>
        </w:rPr>
        <w:t>(</w:t>
      </w:r>
      <w:r w:rsidR="00B776D3" w:rsidRPr="00B776D3">
        <w:rPr>
          <w:rFonts w:cstheme="minorHAnsi"/>
          <w:i/>
          <w:iCs/>
          <w:lang w:val="en-GB"/>
        </w:rPr>
        <w:t>P</w:t>
      </w:r>
      <w:r w:rsidR="007750BB" w:rsidRPr="00882CE4">
        <w:rPr>
          <w:lang w:val="en-GB"/>
        </w:rPr>
        <w:t>&lt;</w:t>
      </w:r>
      <w:r w:rsidR="007750BB">
        <w:rPr>
          <w:lang w:val="en-GB"/>
        </w:rPr>
        <w:t>0.0001</w:t>
      </w:r>
      <w:r w:rsidRPr="00BF7DC9">
        <w:rPr>
          <w:rFonts w:cstheme="minorHAnsi"/>
          <w:lang w:val="en-GB"/>
        </w:rPr>
        <w:t>) and phosphaturia (</w:t>
      </w:r>
      <w:r w:rsidR="00B776D3" w:rsidRPr="00B776D3">
        <w:rPr>
          <w:rFonts w:cstheme="minorHAnsi"/>
          <w:i/>
          <w:iCs/>
          <w:lang w:val="en-GB"/>
        </w:rPr>
        <w:t>P</w:t>
      </w:r>
      <w:r w:rsidR="007750BB" w:rsidRPr="00882CE4">
        <w:rPr>
          <w:lang w:val="en-GB"/>
        </w:rPr>
        <w:t>&lt;</w:t>
      </w:r>
      <w:r w:rsidR="007750BB">
        <w:rPr>
          <w:lang w:val="en-GB"/>
        </w:rPr>
        <w:t>0.00</w:t>
      </w:r>
      <w:r w:rsidR="00424C9D">
        <w:rPr>
          <w:lang w:val="en-GB"/>
        </w:rPr>
        <w:t>5</w:t>
      </w:r>
      <w:r w:rsidRPr="00BF7DC9">
        <w:rPr>
          <w:rFonts w:cstheme="minorHAnsi"/>
          <w:lang w:val="en-GB"/>
        </w:rPr>
        <w:t>) and significantly increased median urinary volume</w:t>
      </w:r>
      <w:r w:rsidR="007750BB">
        <w:rPr>
          <w:rFonts w:cstheme="minorHAnsi"/>
          <w:lang w:val="en-GB"/>
        </w:rPr>
        <w:t xml:space="preserve"> </w:t>
      </w:r>
      <w:r w:rsidR="007750BB" w:rsidRPr="00BF7DC9">
        <w:rPr>
          <w:rFonts w:cstheme="minorHAnsi"/>
          <w:lang w:val="en-GB"/>
        </w:rPr>
        <w:t>(</w:t>
      </w:r>
      <w:r w:rsidR="00B776D3" w:rsidRPr="00B776D3">
        <w:rPr>
          <w:rFonts w:cstheme="minorHAnsi"/>
          <w:i/>
          <w:iCs/>
          <w:lang w:val="en-GB"/>
        </w:rPr>
        <w:t>P</w:t>
      </w:r>
      <w:r w:rsidR="007750BB" w:rsidRPr="00882CE4">
        <w:rPr>
          <w:lang w:val="en-GB"/>
        </w:rPr>
        <w:t>&lt;</w:t>
      </w:r>
      <w:r w:rsidR="007750BB">
        <w:rPr>
          <w:lang w:val="en-GB"/>
        </w:rPr>
        <w:t>0.0001</w:t>
      </w:r>
      <w:r w:rsidRPr="00BF7DC9">
        <w:rPr>
          <w:rFonts w:cstheme="minorHAnsi"/>
          <w:lang w:val="en-GB"/>
        </w:rPr>
        <w:t xml:space="preserve">). In patients with hyperoxaluria, increased protein intake, hypocitraturia and low urinary pH at baseline evaluation, combined preventive measures significantly reduced median oxalate excretion </w:t>
      </w:r>
      <w:r w:rsidR="007750BB" w:rsidRPr="00BF7DC9">
        <w:rPr>
          <w:rFonts w:cstheme="minorHAnsi"/>
          <w:lang w:val="en-GB"/>
        </w:rPr>
        <w:t>(</w:t>
      </w:r>
      <w:r w:rsidR="00B776D3" w:rsidRPr="00B776D3">
        <w:rPr>
          <w:rFonts w:cstheme="minorHAnsi"/>
          <w:i/>
          <w:iCs/>
          <w:lang w:val="en-GB"/>
        </w:rPr>
        <w:t>P</w:t>
      </w:r>
      <w:r w:rsidR="007750BB" w:rsidRPr="00882CE4">
        <w:rPr>
          <w:lang w:val="en-GB"/>
        </w:rPr>
        <w:t>&lt;</w:t>
      </w:r>
      <w:r w:rsidR="007750BB">
        <w:rPr>
          <w:lang w:val="en-GB"/>
        </w:rPr>
        <w:t>0.0001</w:t>
      </w:r>
      <w:r w:rsidR="007750BB" w:rsidRPr="00BF7DC9">
        <w:rPr>
          <w:rFonts w:cstheme="minorHAnsi"/>
          <w:lang w:val="en-GB"/>
        </w:rPr>
        <w:t>)</w:t>
      </w:r>
      <w:r w:rsidR="007750BB">
        <w:rPr>
          <w:rFonts w:cstheme="minorHAnsi"/>
          <w:lang w:val="en-GB"/>
        </w:rPr>
        <w:t xml:space="preserve"> </w:t>
      </w:r>
      <w:r w:rsidRPr="00BF7DC9">
        <w:rPr>
          <w:rFonts w:cstheme="minorHAnsi"/>
          <w:lang w:val="en-GB"/>
        </w:rPr>
        <w:t xml:space="preserve">and protein intake </w:t>
      </w:r>
      <w:r w:rsidR="007750BB" w:rsidRPr="00BF7DC9">
        <w:rPr>
          <w:rFonts w:cstheme="minorHAnsi"/>
          <w:lang w:val="en-GB"/>
        </w:rPr>
        <w:t>(</w:t>
      </w:r>
      <w:r w:rsidR="00B776D3" w:rsidRPr="00B776D3">
        <w:rPr>
          <w:rFonts w:cstheme="minorHAnsi"/>
          <w:i/>
          <w:iCs/>
          <w:lang w:val="en-GB"/>
        </w:rPr>
        <w:t>P</w:t>
      </w:r>
      <w:r w:rsidR="007750BB" w:rsidRPr="00882CE4">
        <w:rPr>
          <w:lang w:val="en-GB"/>
        </w:rPr>
        <w:t>&lt;</w:t>
      </w:r>
      <w:r w:rsidR="007750BB">
        <w:rPr>
          <w:lang w:val="en-GB"/>
        </w:rPr>
        <w:t>0.0001</w:t>
      </w:r>
      <w:r w:rsidR="007750BB" w:rsidRPr="00BF7DC9">
        <w:rPr>
          <w:rFonts w:cstheme="minorHAnsi"/>
          <w:lang w:val="en-GB"/>
        </w:rPr>
        <w:t>)</w:t>
      </w:r>
      <w:r w:rsidR="007750BB">
        <w:rPr>
          <w:rFonts w:cstheme="minorHAnsi"/>
          <w:lang w:val="en-GB"/>
        </w:rPr>
        <w:t xml:space="preserve"> </w:t>
      </w:r>
      <w:r w:rsidRPr="00BF7DC9">
        <w:rPr>
          <w:rFonts w:cstheme="minorHAnsi"/>
          <w:lang w:val="en-GB"/>
        </w:rPr>
        <w:t xml:space="preserve">and significantly increased median citrate excretion </w:t>
      </w:r>
      <w:r w:rsidR="007750BB" w:rsidRPr="00BF7DC9">
        <w:rPr>
          <w:rFonts w:cstheme="minorHAnsi"/>
          <w:lang w:val="en-GB"/>
        </w:rPr>
        <w:t>(</w:t>
      </w:r>
      <w:r w:rsidR="00B776D3" w:rsidRPr="00B776D3">
        <w:rPr>
          <w:rFonts w:cstheme="minorHAnsi"/>
          <w:i/>
          <w:iCs/>
          <w:lang w:val="en-GB"/>
        </w:rPr>
        <w:t>P</w:t>
      </w:r>
      <w:r w:rsidR="007750BB" w:rsidRPr="00882CE4">
        <w:rPr>
          <w:lang w:val="en-GB"/>
        </w:rPr>
        <w:t>&lt;</w:t>
      </w:r>
      <w:r w:rsidR="007750BB">
        <w:rPr>
          <w:lang w:val="en-GB"/>
        </w:rPr>
        <w:t>0.0001</w:t>
      </w:r>
      <w:r w:rsidR="007750BB" w:rsidRPr="00BF7DC9">
        <w:rPr>
          <w:rFonts w:cstheme="minorHAnsi"/>
          <w:lang w:val="en-GB"/>
        </w:rPr>
        <w:t xml:space="preserve">) </w:t>
      </w:r>
      <w:r w:rsidRPr="00BF7DC9">
        <w:rPr>
          <w:rFonts w:cstheme="minorHAnsi"/>
          <w:lang w:val="en-GB"/>
        </w:rPr>
        <w:t xml:space="preserve">and urinary pH </w:t>
      </w:r>
      <w:r w:rsidR="007750BB" w:rsidRPr="00BF7DC9">
        <w:rPr>
          <w:rFonts w:cstheme="minorHAnsi"/>
          <w:lang w:val="en-GB"/>
        </w:rPr>
        <w:t>(</w:t>
      </w:r>
      <w:r w:rsidR="00B776D3" w:rsidRPr="00B776D3">
        <w:rPr>
          <w:rFonts w:cstheme="minorHAnsi"/>
          <w:i/>
          <w:iCs/>
          <w:lang w:val="en-GB"/>
        </w:rPr>
        <w:t>P</w:t>
      </w:r>
      <w:r w:rsidR="007750BB" w:rsidRPr="00882CE4">
        <w:rPr>
          <w:lang w:val="en-GB"/>
        </w:rPr>
        <w:t>&lt;</w:t>
      </w:r>
      <w:r w:rsidR="007750BB">
        <w:rPr>
          <w:lang w:val="en-GB"/>
        </w:rPr>
        <w:t>0.0001</w:t>
      </w:r>
      <w:r w:rsidR="007750BB" w:rsidRPr="00BF7DC9">
        <w:rPr>
          <w:rFonts w:cstheme="minorHAnsi"/>
          <w:lang w:val="en-GB"/>
        </w:rPr>
        <w:t>),</w:t>
      </w:r>
      <w:r w:rsidRPr="00BF7DC9">
        <w:rPr>
          <w:rFonts w:cstheme="minorHAnsi"/>
          <w:lang w:val="en-GB"/>
        </w:rPr>
        <w:t xml:space="preserve"> respectively. Combined preventive measures significantly reduced median </w:t>
      </w:r>
      <w:r>
        <w:rPr>
          <w:rFonts w:cstheme="minorHAnsi"/>
          <w:lang w:val="en-GB"/>
        </w:rPr>
        <w:t xml:space="preserve">symptomatic </w:t>
      </w:r>
      <w:r w:rsidRPr="00BF7DC9">
        <w:rPr>
          <w:rFonts w:cstheme="minorHAnsi"/>
          <w:lang w:val="en-GB"/>
        </w:rPr>
        <w:t xml:space="preserve">renal colic rate in 257 patients </w:t>
      </w:r>
      <w:r>
        <w:rPr>
          <w:rFonts w:cstheme="minorHAnsi"/>
          <w:lang w:val="en-GB"/>
        </w:rPr>
        <w:t>(</w:t>
      </w:r>
      <w:r w:rsidR="00B776D3" w:rsidRPr="00B776D3">
        <w:rPr>
          <w:rFonts w:cstheme="minorHAnsi"/>
          <w:i/>
          <w:iCs/>
          <w:lang w:val="en-GB"/>
        </w:rPr>
        <w:t>P</w:t>
      </w:r>
      <w:r w:rsidR="007750BB" w:rsidRPr="00882CE4">
        <w:rPr>
          <w:lang w:val="en-GB"/>
        </w:rPr>
        <w:t>&lt;</w:t>
      </w:r>
      <w:r w:rsidR="007750BB">
        <w:rPr>
          <w:lang w:val="en-GB"/>
        </w:rPr>
        <w:t>0.0001</w:t>
      </w:r>
      <w:r w:rsidR="007750BB" w:rsidRPr="00BF7DC9">
        <w:rPr>
          <w:rFonts w:cstheme="minorHAnsi"/>
          <w:lang w:val="en-GB"/>
        </w:rPr>
        <w:t xml:space="preserve">), </w:t>
      </w:r>
      <w:r w:rsidR="000C3B37">
        <w:rPr>
          <w:rFonts w:cstheme="minorHAnsi"/>
          <w:lang w:val="en-GB"/>
        </w:rPr>
        <w:t xml:space="preserve">and </w:t>
      </w:r>
      <w:r w:rsidRPr="00BF7DC9">
        <w:rPr>
          <w:rFonts w:cstheme="minorHAnsi"/>
          <w:lang w:val="en-GB"/>
        </w:rPr>
        <w:t>median urological intervention rate in 254 patients (</w:t>
      </w:r>
      <w:r w:rsidR="00B776D3" w:rsidRPr="00B776D3">
        <w:rPr>
          <w:rFonts w:cstheme="minorHAnsi"/>
          <w:i/>
          <w:iCs/>
          <w:lang w:val="en-GB"/>
        </w:rPr>
        <w:t>P</w:t>
      </w:r>
      <w:r w:rsidR="007750BB" w:rsidRPr="00882CE4">
        <w:rPr>
          <w:lang w:val="en-GB"/>
        </w:rPr>
        <w:t>&lt;</w:t>
      </w:r>
      <w:r w:rsidR="007750BB">
        <w:rPr>
          <w:lang w:val="en-GB"/>
        </w:rPr>
        <w:t>0.0001</w:t>
      </w:r>
      <w:r w:rsidR="007750BB" w:rsidRPr="00BF7DC9">
        <w:rPr>
          <w:rFonts w:cstheme="minorHAnsi"/>
          <w:lang w:val="en-GB"/>
        </w:rPr>
        <w:t>)</w:t>
      </w:r>
      <w:r w:rsidR="007750BB">
        <w:rPr>
          <w:rFonts w:cstheme="minorHAnsi"/>
          <w:lang w:val="en-GB"/>
        </w:rPr>
        <w:t xml:space="preserve">. </w:t>
      </w:r>
      <w:r w:rsidR="000C3B37">
        <w:rPr>
          <w:rFonts w:cstheme="minorHAnsi"/>
          <w:lang w:val="en-GB"/>
        </w:rPr>
        <w:t xml:space="preserve">The effect </w:t>
      </w:r>
      <w:r w:rsidR="00647A91">
        <w:rPr>
          <w:rFonts w:cstheme="minorHAnsi"/>
          <w:lang w:val="en-GB"/>
        </w:rPr>
        <w:t xml:space="preserve">of preventive measures </w:t>
      </w:r>
      <w:r w:rsidR="000C3B37">
        <w:rPr>
          <w:rFonts w:cstheme="minorHAnsi"/>
          <w:lang w:val="en-GB"/>
        </w:rPr>
        <w:t xml:space="preserve">on the stone formation rate </w:t>
      </w:r>
      <w:r w:rsidR="00647A91">
        <w:rPr>
          <w:rFonts w:cstheme="minorHAnsi"/>
          <w:lang w:val="en-GB"/>
        </w:rPr>
        <w:t>did not attain statistical significance</w:t>
      </w:r>
      <w:r w:rsidR="000C3B37" w:rsidRPr="005A1FEF">
        <w:rPr>
          <w:rFonts w:cstheme="minorHAnsi"/>
          <w:lang w:val="en-GB"/>
        </w:rPr>
        <w:t xml:space="preserve">. </w:t>
      </w:r>
    </w:p>
    <w:p w14:paraId="504A8106" w14:textId="33446207" w:rsidR="009D0514" w:rsidRPr="005A1FEF" w:rsidRDefault="009D0514" w:rsidP="009D0514">
      <w:pPr>
        <w:spacing w:line="360" w:lineRule="auto"/>
        <w:jc w:val="both"/>
        <w:rPr>
          <w:rFonts w:cstheme="minorHAnsi"/>
          <w:lang w:val="en-GB"/>
        </w:rPr>
      </w:pPr>
      <w:r w:rsidRPr="005A1FEF">
        <w:rPr>
          <w:rFonts w:cstheme="minorHAnsi"/>
          <w:b/>
          <w:bCs/>
          <w:lang w:val="en-GB"/>
        </w:rPr>
        <w:t>Conclusions</w:t>
      </w:r>
      <w:r w:rsidRPr="005A1FEF">
        <w:rPr>
          <w:rFonts w:cstheme="minorHAnsi"/>
          <w:lang w:val="en-GB"/>
        </w:rPr>
        <w:t>- Combined preventive measures</w:t>
      </w:r>
      <w:r>
        <w:rPr>
          <w:rFonts w:cstheme="minorHAnsi"/>
          <w:lang w:val="en-GB"/>
        </w:rPr>
        <w:t xml:space="preserve"> have a significant effect on urinary risk factors. Additionally, it </w:t>
      </w:r>
      <w:r w:rsidRPr="005A1FEF">
        <w:rPr>
          <w:rFonts w:cstheme="minorHAnsi"/>
          <w:lang w:val="en-GB"/>
        </w:rPr>
        <w:t>lead</w:t>
      </w:r>
      <w:r>
        <w:rPr>
          <w:rFonts w:cstheme="minorHAnsi"/>
          <w:lang w:val="en-GB"/>
        </w:rPr>
        <w:t>s</w:t>
      </w:r>
      <w:r w:rsidRPr="005A1FEF">
        <w:rPr>
          <w:rFonts w:cstheme="minorHAnsi"/>
          <w:lang w:val="en-GB"/>
        </w:rPr>
        <w:t xml:space="preserve"> to a significant </w:t>
      </w:r>
      <w:r w:rsidR="00257BEC">
        <w:rPr>
          <w:rFonts w:cstheme="minorHAnsi"/>
          <w:lang w:val="en-GB"/>
        </w:rPr>
        <w:t xml:space="preserve">decrease </w:t>
      </w:r>
      <w:r>
        <w:rPr>
          <w:rFonts w:cstheme="minorHAnsi"/>
          <w:lang w:val="en-GB"/>
        </w:rPr>
        <w:t>in symptomatic renal colic rate</w:t>
      </w:r>
      <w:r w:rsidR="000C3B37">
        <w:rPr>
          <w:rFonts w:cstheme="minorHAnsi"/>
          <w:lang w:val="en-GB"/>
        </w:rPr>
        <w:t xml:space="preserve"> and </w:t>
      </w:r>
      <w:r>
        <w:rPr>
          <w:rFonts w:cstheme="minorHAnsi"/>
          <w:lang w:val="en-GB"/>
        </w:rPr>
        <w:t>urological intervention rate</w:t>
      </w:r>
      <w:r w:rsidR="000C3B37">
        <w:rPr>
          <w:rFonts w:cstheme="minorHAnsi"/>
          <w:lang w:val="en-GB"/>
        </w:rPr>
        <w:t xml:space="preserve">. </w:t>
      </w:r>
      <w:r w:rsidRPr="009D0514">
        <w:rPr>
          <w:rFonts w:cstheme="minorHAnsi"/>
          <w:lang w:val="en-GB"/>
        </w:rPr>
        <w:t>These are clinically relevant results for patient</w:t>
      </w:r>
      <w:r w:rsidR="00257BEC">
        <w:rPr>
          <w:rFonts w:cstheme="minorHAnsi"/>
          <w:lang w:val="en-GB"/>
        </w:rPr>
        <w:t>s</w:t>
      </w:r>
      <w:r w:rsidRPr="009D0514">
        <w:rPr>
          <w:rFonts w:cstheme="minorHAnsi"/>
          <w:lang w:val="en-GB"/>
        </w:rPr>
        <w:t xml:space="preserve"> and are likely to </w:t>
      </w:r>
      <w:r>
        <w:rPr>
          <w:rFonts w:cstheme="minorHAnsi"/>
          <w:lang w:val="en-GB"/>
        </w:rPr>
        <w:t xml:space="preserve">cause a decrease in nephrolithiasis-related </w:t>
      </w:r>
      <w:r w:rsidR="00E832CA">
        <w:rPr>
          <w:rFonts w:cstheme="minorHAnsi"/>
          <w:lang w:val="en-GB"/>
        </w:rPr>
        <w:t xml:space="preserve">complications and </w:t>
      </w:r>
      <w:r>
        <w:rPr>
          <w:rFonts w:cstheme="minorHAnsi"/>
          <w:lang w:val="en-GB"/>
        </w:rPr>
        <w:t>health care costs.</w:t>
      </w:r>
    </w:p>
    <w:p w14:paraId="5544B286" w14:textId="7C8629B6" w:rsidR="009D0514" w:rsidRPr="005A1FEF" w:rsidRDefault="009D0514" w:rsidP="009D0514">
      <w:pPr>
        <w:spacing w:line="360" w:lineRule="auto"/>
        <w:jc w:val="both"/>
        <w:rPr>
          <w:rFonts w:cstheme="minorHAnsi"/>
          <w:lang w:val="en-GB"/>
        </w:rPr>
      </w:pPr>
      <w:r w:rsidRPr="005A1FEF">
        <w:rPr>
          <w:rFonts w:cstheme="minorHAnsi"/>
          <w:b/>
          <w:bCs/>
          <w:lang w:val="en-GB"/>
        </w:rPr>
        <w:t>Keywords</w:t>
      </w:r>
      <w:r w:rsidRPr="005A1FEF">
        <w:rPr>
          <w:rFonts w:cstheme="minorHAnsi"/>
          <w:lang w:val="en-GB"/>
        </w:rPr>
        <w:t xml:space="preserve">- nephrolithiasis; </w:t>
      </w:r>
      <w:r w:rsidR="004C183B" w:rsidRPr="005A1FEF">
        <w:rPr>
          <w:rFonts w:cstheme="minorHAnsi"/>
          <w:lang w:val="en-GB"/>
        </w:rPr>
        <w:t xml:space="preserve">prevention; </w:t>
      </w:r>
      <w:r w:rsidRPr="005A1FEF">
        <w:rPr>
          <w:rFonts w:cstheme="minorHAnsi"/>
          <w:lang w:val="en-GB"/>
        </w:rPr>
        <w:t xml:space="preserve">recurrence; </w:t>
      </w:r>
    </w:p>
    <w:bookmarkEnd w:id="1"/>
    <w:p w14:paraId="0D05D2DA" w14:textId="77777777" w:rsidR="009D0514" w:rsidRPr="009D0514" w:rsidRDefault="009D0514" w:rsidP="009D0514">
      <w:pPr>
        <w:rPr>
          <w:lang w:val="en-US"/>
        </w:rPr>
      </w:pPr>
    </w:p>
    <w:p w14:paraId="028E8829" w14:textId="310A483D" w:rsidR="009170A2" w:rsidRDefault="009170A2" w:rsidP="009170A2">
      <w:pPr>
        <w:rPr>
          <w:lang w:val="en-US"/>
        </w:rPr>
      </w:pPr>
    </w:p>
    <w:p w14:paraId="38D3DD12" w14:textId="1A417C3D" w:rsidR="001D63E1" w:rsidRPr="00545712" w:rsidRDefault="009769CD" w:rsidP="001D63E1">
      <w:pPr>
        <w:pStyle w:val="Kop1"/>
        <w:spacing w:after="240"/>
        <w:rPr>
          <w:lang w:val="en-US"/>
        </w:rPr>
      </w:pPr>
      <w:bookmarkStart w:id="2" w:name="_Toc70238541"/>
      <w:r w:rsidRPr="00545712">
        <w:rPr>
          <w:lang w:val="en-US"/>
        </w:rPr>
        <w:lastRenderedPageBreak/>
        <w:t>ABBREVIATIONS</w:t>
      </w:r>
      <w:bookmarkEnd w:id="2"/>
      <w:r w:rsidRPr="00480785">
        <w:rPr>
          <w:lang w:val="en-US"/>
        </w:rPr>
        <w:t xml:space="preserve"> </w:t>
      </w:r>
    </w:p>
    <w:p w14:paraId="32D4DB60" w14:textId="77777777" w:rsidR="001D63E1" w:rsidRDefault="001D63E1" w:rsidP="001D63E1">
      <w:pPr>
        <w:shd w:val="clear" w:color="auto" w:fill="FFFFFF"/>
        <w:spacing w:after="0" w:line="360" w:lineRule="auto"/>
        <w:rPr>
          <w:rFonts w:cstheme="minorHAnsi"/>
          <w:lang w:val="en-US"/>
        </w:rPr>
      </w:pPr>
      <w:r w:rsidRPr="007031CB">
        <w:rPr>
          <w:rFonts w:cstheme="minorHAnsi"/>
          <w:lang w:val="en-US"/>
        </w:rPr>
        <w:t xml:space="preserve">ADPKD </w:t>
      </w:r>
      <w:r>
        <w:rPr>
          <w:rFonts w:cstheme="minorHAnsi"/>
          <w:lang w:val="en-US"/>
        </w:rPr>
        <w:tab/>
      </w:r>
      <w:r>
        <w:rPr>
          <w:rFonts w:cstheme="minorHAnsi"/>
          <w:lang w:val="en-US"/>
        </w:rPr>
        <w:tab/>
        <w:t>A</w:t>
      </w:r>
      <w:r w:rsidRPr="007031CB">
        <w:rPr>
          <w:rFonts w:cstheme="minorHAnsi"/>
          <w:lang w:val="en-US"/>
        </w:rPr>
        <w:t xml:space="preserve">utosomal </w:t>
      </w:r>
      <w:r>
        <w:rPr>
          <w:rFonts w:cstheme="minorHAnsi"/>
          <w:lang w:val="en-US"/>
        </w:rPr>
        <w:t>D</w:t>
      </w:r>
      <w:r w:rsidRPr="007031CB">
        <w:rPr>
          <w:rFonts w:cstheme="minorHAnsi"/>
          <w:lang w:val="en-US"/>
        </w:rPr>
        <w:t xml:space="preserve">ominant </w:t>
      </w:r>
      <w:r>
        <w:rPr>
          <w:rFonts w:cstheme="minorHAnsi"/>
          <w:lang w:val="en-US"/>
        </w:rPr>
        <w:t>P</w:t>
      </w:r>
      <w:r w:rsidRPr="007031CB">
        <w:rPr>
          <w:rFonts w:cstheme="minorHAnsi"/>
          <w:lang w:val="en-US"/>
        </w:rPr>
        <w:t xml:space="preserve">olycystic </w:t>
      </w:r>
      <w:r>
        <w:rPr>
          <w:rFonts w:cstheme="minorHAnsi"/>
          <w:lang w:val="en-US"/>
        </w:rPr>
        <w:t>K</w:t>
      </w:r>
      <w:r w:rsidRPr="007031CB">
        <w:rPr>
          <w:rFonts w:cstheme="minorHAnsi"/>
          <w:lang w:val="en-US"/>
        </w:rPr>
        <w:t xml:space="preserve">idney </w:t>
      </w:r>
      <w:r>
        <w:rPr>
          <w:rFonts w:cstheme="minorHAnsi"/>
          <w:lang w:val="en-US"/>
        </w:rPr>
        <w:t>D</w:t>
      </w:r>
      <w:r w:rsidRPr="007031CB">
        <w:rPr>
          <w:rFonts w:cstheme="minorHAnsi"/>
          <w:lang w:val="en-US"/>
        </w:rPr>
        <w:t>isease</w:t>
      </w:r>
    </w:p>
    <w:p w14:paraId="2AF0B191" w14:textId="77777777" w:rsidR="001D63E1" w:rsidRDefault="001D63E1" w:rsidP="001D63E1">
      <w:pPr>
        <w:shd w:val="clear" w:color="auto" w:fill="FFFFFF"/>
        <w:spacing w:after="0" w:line="360" w:lineRule="auto"/>
        <w:rPr>
          <w:rFonts w:cstheme="minorHAnsi"/>
          <w:lang w:val="en-US"/>
        </w:rPr>
      </w:pPr>
      <w:r w:rsidRPr="007031CB">
        <w:rPr>
          <w:rFonts w:cstheme="minorHAnsi"/>
          <w:lang w:val="en-US"/>
        </w:rPr>
        <w:t>AHT</w:t>
      </w:r>
      <w:r w:rsidRPr="007031CB">
        <w:rPr>
          <w:rFonts w:cstheme="minorHAnsi"/>
          <w:lang w:val="en-US"/>
        </w:rPr>
        <w:tab/>
      </w:r>
      <w:r w:rsidRPr="007031CB">
        <w:rPr>
          <w:rFonts w:cstheme="minorHAnsi"/>
          <w:lang w:val="en-US"/>
        </w:rPr>
        <w:tab/>
      </w:r>
      <w:r>
        <w:rPr>
          <w:rFonts w:cstheme="minorHAnsi"/>
          <w:lang w:val="en-US"/>
        </w:rPr>
        <w:t>A</w:t>
      </w:r>
      <w:r w:rsidRPr="007031CB">
        <w:rPr>
          <w:rFonts w:cstheme="minorHAnsi"/>
          <w:lang w:val="en-US"/>
        </w:rPr>
        <w:t xml:space="preserve">rterial </w:t>
      </w:r>
      <w:r>
        <w:rPr>
          <w:rFonts w:cstheme="minorHAnsi"/>
          <w:lang w:val="en-US"/>
        </w:rPr>
        <w:t>H</w:t>
      </w:r>
      <w:r w:rsidRPr="007031CB">
        <w:rPr>
          <w:rFonts w:cstheme="minorHAnsi"/>
          <w:lang w:val="en-US"/>
        </w:rPr>
        <w:t>ypertension</w:t>
      </w:r>
    </w:p>
    <w:p w14:paraId="6ED8CA49" w14:textId="77777777" w:rsidR="001D63E1" w:rsidRDefault="001D63E1" w:rsidP="001D63E1">
      <w:pPr>
        <w:shd w:val="clear" w:color="auto" w:fill="FFFFFF"/>
        <w:spacing w:after="0" w:line="360" w:lineRule="auto"/>
        <w:rPr>
          <w:rFonts w:cstheme="minorHAnsi"/>
          <w:lang w:val="en-US"/>
        </w:rPr>
      </w:pPr>
      <w:r w:rsidRPr="00B978D0">
        <w:rPr>
          <w:rFonts w:cstheme="minorHAnsi"/>
          <w:lang w:val="en-US"/>
        </w:rPr>
        <w:t>AMI</w:t>
      </w:r>
      <w:r>
        <w:rPr>
          <w:rFonts w:cstheme="minorHAnsi"/>
          <w:lang w:val="en-US"/>
        </w:rPr>
        <w:tab/>
      </w:r>
      <w:r>
        <w:rPr>
          <w:rFonts w:cstheme="minorHAnsi"/>
          <w:lang w:val="en-US"/>
        </w:rPr>
        <w:tab/>
      </w:r>
      <w:r w:rsidRPr="00B978D0">
        <w:rPr>
          <w:rFonts w:cstheme="minorHAnsi"/>
          <w:lang w:val="en-US"/>
        </w:rPr>
        <w:t xml:space="preserve">Acute </w:t>
      </w:r>
      <w:r>
        <w:rPr>
          <w:rFonts w:cstheme="minorHAnsi"/>
          <w:lang w:val="en-US"/>
        </w:rPr>
        <w:t>M</w:t>
      </w:r>
      <w:r w:rsidRPr="00B978D0">
        <w:rPr>
          <w:rFonts w:cstheme="minorHAnsi"/>
          <w:lang w:val="en-US"/>
        </w:rPr>
        <w:t xml:space="preserve">yocardial </w:t>
      </w:r>
      <w:r>
        <w:rPr>
          <w:rFonts w:cstheme="minorHAnsi"/>
          <w:lang w:val="en-US"/>
        </w:rPr>
        <w:t>I</w:t>
      </w:r>
      <w:r w:rsidRPr="00B978D0">
        <w:rPr>
          <w:rFonts w:cstheme="minorHAnsi"/>
          <w:lang w:val="en-US"/>
        </w:rPr>
        <w:t>nfarction</w:t>
      </w:r>
    </w:p>
    <w:p w14:paraId="0DD53EB8" w14:textId="77777777" w:rsidR="001D63E1" w:rsidRPr="007031CB" w:rsidRDefault="001D63E1" w:rsidP="001D63E1">
      <w:pPr>
        <w:shd w:val="clear" w:color="auto" w:fill="FFFFFF"/>
        <w:spacing w:after="0" w:line="360" w:lineRule="auto"/>
        <w:rPr>
          <w:rFonts w:cstheme="minorHAnsi"/>
          <w:lang w:val="en-US"/>
        </w:rPr>
      </w:pPr>
      <w:r w:rsidRPr="007031CB">
        <w:rPr>
          <w:rFonts w:cstheme="minorHAnsi"/>
          <w:lang w:val="en-US"/>
        </w:rPr>
        <w:t>BMI</w:t>
      </w:r>
      <w:r w:rsidRPr="007031CB">
        <w:rPr>
          <w:rFonts w:cstheme="minorHAnsi"/>
          <w:lang w:val="en-US"/>
        </w:rPr>
        <w:tab/>
      </w:r>
      <w:r w:rsidRPr="007031CB">
        <w:rPr>
          <w:rFonts w:cstheme="minorHAnsi"/>
          <w:lang w:val="en-US"/>
        </w:rPr>
        <w:tab/>
      </w:r>
      <w:r>
        <w:rPr>
          <w:rFonts w:cstheme="minorHAnsi"/>
          <w:lang w:val="en-US"/>
        </w:rPr>
        <w:t>B</w:t>
      </w:r>
      <w:r w:rsidRPr="007031CB">
        <w:rPr>
          <w:rFonts w:cstheme="minorHAnsi"/>
          <w:lang w:val="en-US"/>
        </w:rPr>
        <w:t xml:space="preserve">ody </w:t>
      </w:r>
      <w:r>
        <w:rPr>
          <w:rFonts w:cstheme="minorHAnsi"/>
          <w:lang w:val="en-US"/>
        </w:rPr>
        <w:t>M</w:t>
      </w:r>
      <w:r w:rsidRPr="007031CB">
        <w:rPr>
          <w:rFonts w:cstheme="minorHAnsi"/>
          <w:lang w:val="en-US"/>
        </w:rPr>
        <w:t xml:space="preserve">ass </w:t>
      </w:r>
      <w:r>
        <w:rPr>
          <w:rFonts w:cstheme="minorHAnsi"/>
          <w:lang w:val="en-US"/>
        </w:rPr>
        <w:t>I</w:t>
      </w:r>
      <w:r w:rsidRPr="007031CB">
        <w:rPr>
          <w:rFonts w:cstheme="minorHAnsi"/>
          <w:lang w:val="en-US"/>
        </w:rPr>
        <w:t>ndex</w:t>
      </w:r>
    </w:p>
    <w:p w14:paraId="48D3D769" w14:textId="77777777" w:rsidR="001D63E1" w:rsidRDefault="001D63E1" w:rsidP="001D63E1">
      <w:pPr>
        <w:shd w:val="clear" w:color="auto" w:fill="FFFFFF"/>
        <w:spacing w:after="0" w:line="360" w:lineRule="auto"/>
        <w:rPr>
          <w:rFonts w:cstheme="minorHAnsi"/>
          <w:lang w:val="en-US"/>
        </w:rPr>
      </w:pPr>
      <w:r>
        <w:rPr>
          <w:rFonts w:cstheme="minorHAnsi"/>
          <w:lang w:val="en-US"/>
        </w:rPr>
        <w:t>BPH</w:t>
      </w:r>
      <w:r>
        <w:rPr>
          <w:rFonts w:cstheme="minorHAnsi"/>
          <w:lang w:val="en-US"/>
        </w:rPr>
        <w:tab/>
      </w:r>
      <w:r>
        <w:rPr>
          <w:rFonts w:cstheme="minorHAnsi"/>
          <w:lang w:val="en-US"/>
        </w:rPr>
        <w:tab/>
        <w:t>Benign Prostatic Hypertrophy</w:t>
      </w:r>
    </w:p>
    <w:p w14:paraId="01FBA453" w14:textId="77777777" w:rsidR="001D63E1" w:rsidRDefault="001D63E1" w:rsidP="001D63E1">
      <w:pPr>
        <w:shd w:val="clear" w:color="auto" w:fill="FFFFFF"/>
        <w:spacing w:after="0" w:line="360" w:lineRule="auto"/>
        <w:rPr>
          <w:rFonts w:cstheme="minorHAnsi"/>
          <w:lang w:val="en-US"/>
        </w:rPr>
      </w:pPr>
      <w:r w:rsidRPr="00B978D0">
        <w:rPr>
          <w:rFonts w:cstheme="minorHAnsi"/>
          <w:lang w:val="en-US"/>
        </w:rPr>
        <w:t>CABG</w:t>
      </w:r>
      <w:r>
        <w:rPr>
          <w:rFonts w:cstheme="minorHAnsi"/>
          <w:lang w:val="en-US"/>
        </w:rPr>
        <w:tab/>
      </w:r>
      <w:r>
        <w:rPr>
          <w:rFonts w:cstheme="minorHAnsi"/>
          <w:lang w:val="en-US"/>
        </w:rPr>
        <w:tab/>
      </w:r>
      <w:r w:rsidRPr="00B978D0">
        <w:rPr>
          <w:rFonts w:cstheme="minorHAnsi"/>
          <w:lang w:val="en-US"/>
        </w:rPr>
        <w:t xml:space="preserve">Coronary </w:t>
      </w:r>
      <w:r>
        <w:rPr>
          <w:rFonts w:cstheme="minorHAnsi"/>
          <w:lang w:val="en-US"/>
        </w:rPr>
        <w:t>A</w:t>
      </w:r>
      <w:r w:rsidRPr="00B978D0">
        <w:rPr>
          <w:rFonts w:cstheme="minorHAnsi"/>
          <w:lang w:val="en-US"/>
        </w:rPr>
        <w:t xml:space="preserve">rtery </w:t>
      </w:r>
      <w:r>
        <w:rPr>
          <w:rFonts w:cstheme="minorHAnsi"/>
          <w:lang w:val="en-US"/>
        </w:rPr>
        <w:t>B</w:t>
      </w:r>
      <w:r w:rsidRPr="00B978D0">
        <w:rPr>
          <w:rFonts w:cstheme="minorHAnsi"/>
          <w:lang w:val="en-US"/>
        </w:rPr>
        <w:t xml:space="preserve">ypass </w:t>
      </w:r>
      <w:r>
        <w:rPr>
          <w:rFonts w:cstheme="minorHAnsi"/>
          <w:lang w:val="en-US"/>
        </w:rPr>
        <w:t>G</w:t>
      </w:r>
      <w:r w:rsidRPr="00B978D0">
        <w:rPr>
          <w:rFonts w:cstheme="minorHAnsi"/>
          <w:lang w:val="en-US"/>
        </w:rPr>
        <w:t>raft surgery</w:t>
      </w:r>
    </w:p>
    <w:p w14:paraId="2DDBBB14" w14:textId="77777777" w:rsidR="001D63E1" w:rsidRDefault="001D63E1" w:rsidP="001D63E1">
      <w:pPr>
        <w:shd w:val="clear" w:color="auto" w:fill="FFFFFF"/>
        <w:spacing w:after="0" w:line="360" w:lineRule="auto"/>
        <w:rPr>
          <w:rFonts w:cstheme="minorHAnsi"/>
          <w:lang w:val="en-US"/>
        </w:rPr>
      </w:pPr>
      <w:r w:rsidRPr="00B978D0">
        <w:rPr>
          <w:rFonts w:cstheme="minorHAnsi"/>
          <w:lang w:val="en-US"/>
        </w:rPr>
        <w:t>CAD</w:t>
      </w:r>
      <w:r>
        <w:rPr>
          <w:rFonts w:cstheme="minorHAnsi"/>
          <w:lang w:val="en-US"/>
        </w:rPr>
        <w:tab/>
      </w:r>
      <w:r>
        <w:rPr>
          <w:rFonts w:cstheme="minorHAnsi"/>
          <w:lang w:val="en-US"/>
        </w:rPr>
        <w:tab/>
        <w:t>Coronary Artery Disease</w:t>
      </w:r>
    </w:p>
    <w:p w14:paraId="61A4A736" w14:textId="77777777" w:rsidR="001D63E1" w:rsidRDefault="001D63E1" w:rsidP="001D63E1">
      <w:pPr>
        <w:shd w:val="clear" w:color="auto" w:fill="FFFFFF"/>
        <w:spacing w:after="0" w:line="360" w:lineRule="auto"/>
        <w:rPr>
          <w:rFonts w:cstheme="minorHAnsi"/>
          <w:lang w:val="en-US"/>
        </w:rPr>
      </w:pPr>
      <w:r>
        <w:rPr>
          <w:rFonts w:cstheme="minorHAnsi"/>
          <w:lang w:val="en-US"/>
        </w:rPr>
        <w:t>CKD</w:t>
      </w:r>
      <w:r>
        <w:rPr>
          <w:rFonts w:cstheme="minorHAnsi"/>
          <w:lang w:val="en-US"/>
        </w:rPr>
        <w:tab/>
      </w:r>
      <w:r>
        <w:rPr>
          <w:rFonts w:cstheme="minorHAnsi"/>
          <w:lang w:val="en-US"/>
        </w:rPr>
        <w:tab/>
        <w:t xml:space="preserve">Chronic Kidney Disease </w:t>
      </w:r>
    </w:p>
    <w:p w14:paraId="04AFB543" w14:textId="77777777" w:rsidR="001D63E1" w:rsidRDefault="001D63E1" w:rsidP="001D63E1">
      <w:pPr>
        <w:shd w:val="clear" w:color="auto" w:fill="FFFFFF"/>
        <w:spacing w:after="0" w:line="360" w:lineRule="auto"/>
        <w:rPr>
          <w:rFonts w:cstheme="minorHAnsi"/>
          <w:lang w:val="en-US"/>
        </w:rPr>
      </w:pPr>
      <w:r>
        <w:rPr>
          <w:rFonts w:cstheme="minorHAnsi"/>
          <w:lang w:val="en-US"/>
        </w:rPr>
        <w:t>CKD-EPI</w:t>
      </w:r>
      <w:r>
        <w:rPr>
          <w:rFonts w:cstheme="minorHAnsi"/>
          <w:lang w:val="en-US"/>
        </w:rPr>
        <w:tab/>
      </w:r>
      <w:r w:rsidRPr="00E9115D">
        <w:rPr>
          <w:rFonts w:cstheme="minorHAnsi"/>
          <w:lang w:val="en-US"/>
        </w:rPr>
        <w:t>Chronic Kidney Disease Epidemiology Collaboration</w:t>
      </w:r>
    </w:p>
    <w:p w14:paraId="63C97B5E" w14:textId="02650475" w:rsidR="001D63E1" w:rsidRDefault="001D63E1" w:rsidP="001D63E1">
      <w:pPr>
        <w:shd w:val="clear" w:color="auto" w:fill="FFFFFF"/>
        <w:spacing w:after="0" w:line="360" w:lineRule="auto"/>
        <w:rPr>
          <w:rFonts w:cstheme="minorHAnsi"/>
          <w:lang w:val="en-US"/>
        </w:rPr>
      </w:pPr>
      <w:r>
        <w:rPr>
          <w:rFonts w:cstheme="minorHAnsi"/>
          <w:lang w:val="en-US"/>
        </w:rPr>
        <w:t xml:space="preserve">CT </w:t>
      </w:r>
      <w:r>
        <w:rPr>
          <w:rFonts w:cstheme="minorHAnsi"/>
          <w:lang w:val="en-US"/>
        </w:rPr>
        <w:tab/>
      </w:r>
      <w:r>
        <w:rPr>
          <w:rFonts w:cstheme="minorHAnsi"/>
          <w:lang w:val="en-US"/>
        </w:rPr>
        <w:tab/>
        <w:t xml:space="preserve">Computed Tomography </w:t>
      </w:r>
    </w:p>
    <w:p w14:paraId="7868AD21" w14:textId="58C30B4B" w:rsidR="00CC7174" w:rsidRDefault="00CC7174" w:rsidP="001D63E1">
      <w:pPr>
        <w:shd w:val="clear" w:color="auto" w:fill="FFFFFF"/>
        <w:spacing w:after="0" w:line="360" w:lineRule="auto"/>
        <w:rPr>
          <w:rFonts w:cstheme="minorHAnsi"/>
          <w:lang w:val="en-US"/>
        </w:rPr>
      </w:pPr>
      <w:r>
        <w:rPr>
          <w:rFonts w:cstheme="minorHAnsi"/>
          <w:lang w:val="en-US"/>
        </w:rPr>
        <w:t>CV</w:t>
      </w:r>
      <w:r>
        <w:rPr>
          <w:rFonts w:cstheme="minorHAnsi"/>
          <w:lang w:val="en-US"/>
        </w:rPr>
        <w:tab/>
      </w:r>
      <w:r>
        <w:rPr>
          <w:rFonts w:cstheme="minorHAnsi"/>
          <w:lang w:val="en-US"/>
        </w:rPr>
        <w:tab/>
        <w:t>Cardiovascular</w:t>
      </w:r>
    </w:p>
    <w:p w14:paraId="438EAF8C" w14:textId="77777777" w:rsidR="001D63E1" w:rsidRDefault="001D63E1" w:rsidP="001D63E1">
      <w:pPr>
        <w:shd w:val="clear" w:color="auto" w:fill="FFFFFF"/>
        <w:spacing w:after="0" w:line="360" w:lineRule="auto"/>
        <w:rPr>
          <w:rFonts w:cstheme="minorHAnsi"/>
          <w:lang w:val="en-US"/>
        </w:rPr>
      </w:pPr>
      <w:r>
        <w:rPr>
          <w:rFonts w:cstheme="minorHAnsi"/>
          <w:lang w:val="en-US"/>
        </w:rPr>
        <w:t>eGFR</w:t>
      </w:r>
      <w:r>
        <w:rPr>
          <w:rFonts w:cstheme="minorHAnsi"/>
          <w:lang w:val="en-US"/>
        </w:rPr>
        <w:tab/>
      </w:r>
      <w:r>
        <w:rPr>
          <w:rFonts w:cstheme="minorHAnsi"/>
          <w:lang w:val="en-US"/>
        </w:rPr>
        <w:tab/>
      </w:r>
      <w:r w:rsidRPr="007031CB">
        <w:rPr>
          <w:rFonts w:cstheme="minorHAnsi"/>
          <w:lang w:val="en-US"/>
        </w:rPr>
        <w:t xml:space="preserve">Estimated </w:t>
      </w:r>
      <w:r>
        <w:rPr>
          <w:rFonts w:cstheme="minorHAnsi"/>
          <w:lang w:val="en-US"/>
        </w:rPr>
        <w:t>G</w:t>
      </w:r>
      <w:r w:rsidRPr="007031CB">
        <w:rPr>
          <w:rFonts w:cstheme="minorHAnsi"/>
          <w:lang w:val="en-US"/>
        </w:rPr>
        <w:t xml:space="preserve">lomerular </w:t>
      </w:r>
      <w:r>
        <w:rPr>
          <w:rFonts w:cstheme="minorHAnsi"/>
          <w:lang w:val="en-US"/>
        </w:rPr>
        <w:t>F</w:t>
      </w:r>
      <w:r w:rsidRPr="007031CB">
        <w:rPr>
          <w:rFonts w:cstheme="minorHAnsi"/>
          <w:lang w:val="en-US"/>
        </w:rPr>
        <w:t xml:space="preserve">iltration </w:t>
      </w:r>
      <w:r>
        <w:rPr>
          <w:rFonts w:cstheme="minorHAnsi"/>
          <w:lang w:val="en-US"/>
        </w:rPr>
        <w:t>R</w:t>
      </w:r>
      <w:r w:rsidRPr="007031CB">
        <w:rPr>
          <w:rFonts w:cstheme="minorHAnsi"/>
          <w:lang w:val="en-US"/>
        </w:rPr>
        <w:t>ate</w:t>
      </w:r>
    </w:p>
    <w:p w14:paraId="53F16500" w14:textId="77777777" w:rsidR="001D63E1" w:rsidRDefault="001D63E1" w:rsidP="001D63E1">
      <w:pPr>
        <w:shd w:val="clear" w:color="auto" w:fill="FFFFFF"/>
        <w:spacing w:after="0" w:line="360" w:lineRule="auto"/>
        <w:rPr>
          <w:rFonts w:cstheme="minorHAnsi"/>
          <w:lang w:val="en-US"/>
        </w:rPr>
      </w:pPr>
      <w:r>
        <w:rPr>
          <w:rFonts w:cstheme="minorHAnsi"/>
          <w:lang w:val="en-US"/>
        </w:rPr>
        <w:t>ESWL</w:t>
      </w:r>
      <w:r>
        <w:rPr>
          <w:rFonts w:cstheme="minorHAnsi"/>
          <w:lang w:val="en-US"/>
        </w:rPr>
        <w:tab/>
      </w:r>
      <w:r>
        <w:rPr>
          <w:rFonts w:cstheme="minorHAnsi"/>
          <w:lang w:val="en-US"/>
        </w:rPr>
        <w:tab/>
        <w:t>E</w:t>
      </w:r>
      <w:r w:rsidRPr="00F51608">
        <w:rPr>
          <w:rFonts w:cstheme="minorHAnsi"/>
          <w:lang w:val="en-US"/>
        </w:rPr>
        <w:t>xtracorporeal shock wave lithotripsy</w:t>
      </w:r>
    </w:p>
    <w:p w14:paraId="6EBC945A" w14:textId="77777777" w:rsidR="001D63E1" w:rsidRPr="007031CB" w:rsidRDefault="001D63E1" w:rsidP="001D63E1">
      <w:pPr>
        <w:shd w:val="clear" w:color="auto" w:fill="FFFFFF"/>
        <w:spacing w:after="0" w:line="360" w:lineRule="auto"/>
        <w:rPr>
          <w:rFonts w:cstheme="minorHAnsi"/>
          <w:lang w:val="en-US"/>
        </w:rPr>
      </w:pPr>
      <w:r w:rsidRPr="007031CB">
        <w:rPr>
          <w:rFonts w:cstheme="minorHAnsi"/>
          <w:lang w:val="en-US"/>
        </w:rPr>
        <w:t>HIV</w:t>
      </w:r>
      <w:r>
        <w:rPr>
          <w:rFonts w:cstheme="minorHAnsi"/>
          <w:lang w:val="en-US"/>
        </w:rPr>
        <w:tab/>
      </w:r>
      <w:r>
        <w:rPr>
          <w:rFonts w:cstheme="minorHAnsi"/>
          <w:lang w:val="en-US"/>
        </w:rPr>
        <w:tab/>
        <w:t>H</w:t>
      </w:r>
      <w:r w:rsidRPr="007031CB">
        <w:rPr>
          <w:rFonts w:cstheme="minorHAnsi"/>
          <w:lang w:val="en-US"/>
        </w:rPr>
        <w:t xml:space="preserve">uman </w:t>
      </w:r>
      <w:r>
        <w:rPr>
          <w:rFonts w:cstheme="minorHAnsi"/>
          <w:lang w:val="en-US"/>
        </w:rPr>
        <w:t>I</w:t>
      </w:r>
      <w:r w:rsidRPr="007031CB">
        <w:rPr>
          <w:rFonts w:cstheme="minorHAnsi"/>
          <w:lang w:val="en-US"/>
        </w:rPr>
        <w:t xml:space="preserve">mmunodeficiency </w:t>
      </w:r>
      <w:r>
        <w:rPr>
          <w:rFonts w:cstheme="minorHAnsi"/>
          <w:lang w:val="en-US"/>
        </w:rPr>
        <w:t>V</w:t>
      </w:r>
      <w:r w:rsidRPr="007031CB">
        <w:rPr>
          <w:rFonts w:cstheme="minorHAnsi"/>
          <w:lang w:val="en-US"/>
        </w:rPr>
        <w:t>irus</w:t>
      </w:r>
    </w:p>
    <w:p w14:paraId="512DD853" w14:textId="2BFADEE4" w:rsidR="000B3BEF" w:rsidRDefault="001D63E1" w:rsidP="001D63E1">
      <w:pPr>
        <w:shd w:val="clear" w:color="auto" w:fill="FFFFFF"/>
        <w:spacing w:after="0" w:line="360" w:lineRule="auto"/>
        <w:rPr>
          <w:rFonts w:cstheme="minorHAnsi"/>
          <w:lang w:val="en-US"/>
        </w:rPr>
      </w:pPr>
      <w:r w:rsidRPr="007031CB">
        <w:rPr>
          <w:rFonts w:cstheme="minorHAnsi"/>
          <w:lang w:val="en-US"/>
        </w:rPr>
        <w:t xml:space="preserve">IBD </w:t>
      </w:r>
      <w:r>
        <w:rPr>
          <w:rFonts w:cstheme="minorHAnsi"/>
          <w:lang w:val="en-US"/>
        </w:rPr>
        <w:tab/>
      </w:r>
      <w:r>
        <w:rPr>
          <w:rFonts w:cstheme="minorHAnsi"/>
          <w:lang w:val="en-US"/>
        </w:rPr>
        <w:tab/>
        <w:t>I</w:t>
      </w:r>
      <w:r w:rsidRPr="007031CB">
        <w:rPr>
          <w:rFonts w:cstheme="minorHAnsi"/>
          <w:lang w:val="en-US"/>
        </w:rPr>
        <w:t xml:space="preserve">nflammatory </w:t>
      </w:r>
      <w:r>
        <w:rPr>
          <w:rFonts w:cstheme="minorHAnsi"/>
          <w:lang w:val="en-US"/>
        </w:rPr>
        <w:t>B</w:t>
      </w:r>
      <w:r w:rsidRPr="007031CB">
        <w:rPr>
          <w:rFonts w:cstheme="minorHAnsi"/>
          <w:lang w:val="en-US"/>
        </w:rPr>
        <w:t xml:space="preserve">owel </w:t>
      </w:r>
      <w:r>
        <w:rPr>
          <w:rFonts w:cstheme="minorHAnsi"/>
          <w:lang w:val="en-US"/>
        </w:rPr>
        <w:t>D</w:t>
      </w:r>
      <w:r w:rsidRPr="007031CB">
        <w:rPr>
          <w:rFonts w:cstheme="minorHAnsi"/>
          <w:lang w:val="en-US"/>
        </w:rPr>
        <w:t>isease</w:t>
      </w:r>
    </w:p>
    <w:p w14:paraId="5413466A" w14:textId="675073FE" w:rsidR="00B4275C" w:rsidRPr="00EF292F" w:rsidRDefault="00B4275C" w:rsidP="00B4275C">
      <w:pPr>
        <w:rPr>
          <w:lang w:val="en-GB"/>
        </w:rPr>
      </w:pPr>
      <w:r w:rsidRPr="000F3DFE">
        <w:rPr>
          <w:lang w:val="en-GB"/>
        </w:rPr>
        <w:t>ICH GCP</w:t>
      </w:r>
      <w:r>
        <w:rPr>
          <w:lang w:val="en-GB"/>
        </w:rPr>
        <w:tab/>
      </w:r>
      <w:r w:rsidRPr="000F3DFE">
        <w:rPr>
          <w:lang w:val="en-GB"/>
        </w:rPr>
        <w:t>International Conference on Harmonisation Good Clinical Practice</w:t>
      </w:r>
    </w:p>
    <w:p w14:paraId="53943B5A" w14:textId="4D53D285" w:rsidR="001D63E1" w:rsidRPr="007031CB" w:rsidRDefault="000B3BEF" w:rsidP="001D63E1">
      <w:pPr>
        <w:shd w:val="clear" w:color="auto" w:fill="FFFFFF"/>
        <w:spacing w:after="0" w:line="360" w:lineRule="auto"/>
        <w:rPr>
          <w:rFonts w:cstheme="minorHAnsi"/>
          <w:lang w:val="en-US"/>
        </w:rPr>
      </w:pPr>
      <w:r>
        <w:rPr>
          <w:rFonts w:cstheme="minorHAnsi"/>
          <w:lang w:val="en-US"/>
        </w:rPr>
        <w:t>IQR</w:t>
      </w:r>
      <w:r>
        <w:rPr>
          <w:rFonts w:cstheme="minorHAnsi"/>
          <w:lang w:val="en-US"/>
        </w:rPr>
        <w:tab/>
      </w:r>
      <w:r>
        <w:rPr>
          <w:rFonts w:cstheme="minorHAnsi"/>
          <w:lang w:val="en-US"/>
        </w:rPr>
        <w:tab/>
        <w:t>Interquartile range</w:t>
      </w:r>
      <w:r w:rsidR="001D63E1" w:rsidRPr="007031CB">
        <w:rPr>
          <w:rFonts w:cstheme="minorHAnsi"/>
          <w:lang w:val="en-US"/>
        </w:rPr>
        <w:t xml:space="preserve"> </w:t>
      </w:r>
    </w:p>
    <w:p w14:paraId="78B5D2DE" w14:textId="4D951170" w:rsidR="001D63E1" w:rsidRDefault="001D63E1" w:rsidP="001D63E1">
      <w:pPr>
        <w:shd w:val="clear" w:color="auto" w:fill="FFFFFF"/>
        <w:spacing w:after="0" w:line="360" w:lineRule="auto"/>
        <w:rPr>
          <w:rFonts w:cstheme="minorHAnsi"/>
          <w:lang w:val="en-US"/>
        </w:rPr>
      </w:pPr>
      <w:r>
        <w:rPr>
          <w:rFonts w:cstheme="minorHAnsi"/>
          <w:lang w:val="en-US"/>
        </w:rPr>
        <w:t>MDRD</w:t>
      </w:r>
      <w:r>
        <w:rPr>
          <w:rFonts w:cstheme="minorHAnsi"/>
          <w:lang w:val="en-US"/>
        </w:rPr>
        <w:tab/>
      </w:r>
      <w:r>
        <w:rPr>
          <w:rFonts w:cstheme="minorHAnsi"/>
          <w:lang w:val="en-US"/>
        </w:rPr>
        <w:tab/>
      </w:r>
      <w:r w:rsidRPr="007031CB">
        <w:rPr>
          <w:rFonts w:cstheme="minorHAnsi"/>
          <w:lang w:val="en-US"/>
        </w:rPr>
        <w:t>Modification of Diet in Renal Disease</w:t>
      </w:r>
    </w:p>
    <w:p w14:paraId="6ACAE3AE" w14:textId="70D15420" w:rsidR="00CC7174" w:rsidRDefault="00CC7174" w:rsidP="001D63E1">
      <w:pPr>
        <w:shd w:val="clear" w:color="auto" w:fill="FFFFFF"/>
        <w:spacing w:after="0" w:line="360" w:lineRule="auto"/>
        <w:rPr>
          <w:rFonts w:cstheme="minorHAnsi"/>
          <w:lang w:val="en-US"/>
        </w:rPr>
      </w:pPr>
      <w:r>
        <w:rPr>
          <w:rFonts w:cstheme="minorHAnsi"/>
          <w:lang w:val="en-US"/>
        </w:rPr>
        <w:t>MSK</w:t>
      </w:r>
      <w:r>
        <w:rPr>
          <w:rFonts w:cstheme="minorHAnsi"/>
          <w:lang w:val="en-US"/>
        </w:rPr>
        <w:tab/>
      </w:r>
      <w:r>
        <w:rPr>
          <w:rFonts w:cstheme="minorHAnsi"/>
          <w:lang w:val="en-US"/>
        </w:rPr>
        <w:tab/>
        <w:t>Medullary Sponge Kidney</w:t>
      </w:r>
    </w:p>
    <w:p w14:paraId="38C73141" w14:textId="45525CDB" w:rsidR="00647720" w:rsidRPr="00A37428" w:rsidRDefault="00647720" w:rsidP="001D63E1">
      <w:pPr>
        <w:shd w:val="clear" w:color="auto" w:fill="FFFFFF"/>
        <w:spacing w:after="0" w:line="360" w:lineRule="auto"/>
        <w:rPr>
          <w:rFonts w:cstheme="minorHAnsi"/>
          <w:lang w:val="en-GB"/>
        </w:rPr>
      </w:pPr>
      <w:r w:rsidRPr="00A37428">
        <w:rPr>
          <w:rFonts w:cstheme="minorHAnsi"/>
          <w:lang w:val="en-GB"/>
        </w:rPr>
        <w:t>NaCl</w:t>
      </w:r>
      <w:r w:rsidRPr="00A37428">
        <w:rPr>
          <w:rFonts w:cstheme="minorHAnsi"/>
          <w:lang w:val="en-GB"/>
        </w:rPr>
        <w:tab/>
      </w:r>
      <w:r w:rsidRPr="00A37428">
        <w:rPr>
          <w:rFonts w:cstheme="minorHAnsi"/>
          <w:lang w:val="en-GB"/>
        </w:rPr>
        <w:tab/>
        <w:t>Sodium Chloride</w:t>
      </w:r>
    </w:p>
    <w:p w14:paraId="7267936B" w14:textId="0FB5493C" w:rsidR="001D63E1" w:rsidRPr="007031CB" w:rsidRDefault="001D63E1" w:rsidP="001D63E1">
      <w:pPr>
        <w:shd w:val="clear" w:color="auto" w:fill="FFFFFF"/>
        <w:spacing w:after="0" w:line="360" w:lineRule="auto"/>
        <w:rPr>
          <w:rFonts w:cstheme="minorHAnsi"/>
          <w:lang w:val="en-US"/>
        </w:rPr>
      </w:pPr>
      <w:r>
        <w:rPr>
          <w:rFonts w:cstheme="minorHAnsi"/>
          <w:lang w:val="en-US"/>
        </w:rPr>
        <w:t xml:space="preserve">NC </w:t>
      </w:r>
      <w:r>
        <w:rPr>
          <w:rFonts w:cstheme="minorHAnsi"/>
          <w:lang w:val="en-US"/>
        </w:rPr>
        <w:tab/>
      </w:r>
      <w:r>
        <w:rPr>
          <w:rFonts w:cstheme="minorHAnsi"/>
          <w:lang w:val="en-US"/>
        </w:rPr>
        <w:tab/>
        <w:t>Nephrocalcinosis</w:t>
      </w:r>
    </w:p>
    <w:p w14:paraId="0A8F6AFB" w14:textId="77777777" w:rsidR="001D63E1" w:rsidRDefault="001D63E1" w:rsidP="001D63E1">
      <w:pPr>
        <w:shd w:val="clear" w:color="auto" w:fill="FFFFFF"/>
        <w:spacing w:after="0" w:line="360" w:lineRule="auto"/>
        <w:rPr>
          <w:rFonts w:cstheme="minorHAnsi"/>
          <w:lang w:val="en-US"/>
        </w:rPr>
      </w:pPr>
      <w:r w:rsidRPr="00480785">
        <w:rPr>
          <w:lang w:val="en-US"/>
        </w:rPr>
        <w:t>NHANES</w:t>
      </w:r>
      <w:r>
        <w:rPr>
          <w:rFonts w:cstheme="minorHAnsi"/>
          <w:lang w:val="en-US"/>
        </w:rPr>
        <w:tab/>
      </w:r>
      <w:r w:rsidRPr="007031CB">
        <w:rPr>
          <w:rFonts w:cstheme="minorHAnsi"/>
          <w:lang w:val="en-US"/>
        </w:rPr>
        <w:t>Health and Nutrition Examination Survey</w:t>
      </w:r>
    </w:p>
    <w:p w14:paraId="3B07E372" w14:textId="77777777" w:rsidR="001D63E1" w:rsidRDefault="001D63E1" w:rsidP="001D63E1">
      <w:pPr>
        <w:shd w:val="clear" w:color="auto" w:fill="FFFFFF"/>
        <w:spacing w:after="0" w:line="360" w:lineRule="auto"/>
        <w:rPr>
          <w:rFonts w:cstheme="minorHAnsi"/>
          <w:lang w:val="en-US"/>
        </w:rPr>
      </w:pPr>
      <w:r>
        <w:rPr>
          <w:rFonts w:cstheme="minorHAnsi"/>
          <w:lang w:val="en-US"/>
        </w:rPr>
        <w:t>NL</w:t>
      </w:r>
      <w:r>
        <w:rPr>
          <w:rFonts w:cstheme="minorHAnsi"/>
          <w:lang w:val="en-US"/>
        </w:rPr>
        <w:tab/>
      </w:r>
      <w:r>
        <w:rPr>
          <w:rFonts w:cstheme="minorHAnsi"/>
          <w:lang w:val="en-US"/>
        </w:rPr>
        <w:tab/>
        <w:t>Nephrolithiasis</w:t>
      </w:r>
    </w:p>
    <w:p w14:paraId="38AD5219" w14:textId="77777777" w:rsidR="001D63E1" w:rsidRPr="007031CB" w:rsidRDefault="001D63E1" w:rsidP="001D63E1">
      <w:pPr>
        <w:shd w:val="clear" w:color="auto" w:fill="FFFFFF"/>
        <w:spacing w:after="0" w:line="360" w:lineRule="auto"/>
        <w:rPr>
          <w:rFonts w:cstheme="minorHAnsi"/>
          <w:lang w:val="en-US"/>
        </w:rPr>
      </w:pPr>
      <w:r>
        <w:rPr>
          <w:rFonts w:cstheme="minorHAnsi"/>
          <w:lang w:val="en-US"/>
        </w:rPr>
        <w:t xml:space="preserve">OSAS </w:t>
      </w:r>
      <w:r>
        <w:rPr>
          <w:rFonts w:cstheme="minorHAnsi"/>
          <w:lang w:val="en-US"/>
        </w:rPr>
        <w:tab/>
      </w:r>
      <w:r>
        <w:rPr>
          <w:rFonts w:cstheme="minorHAnsi"/>
          <w:lang w:val="en-US"/>
        </w:rPr>
        <w:tab/>
        <w:t>Obstructive Sleep Apnea Syndrome</w:t>
      </w:r>
    </w:p>
    <w:p w14:paraId="6C336012" w14:textId="77777777" w:rsidR="001D63E1" w:rsidRDefault="001D63E1" w:rsidP="001D63E1">
      <w:pPr>
        <w:shd w:val="clear" w:color="auto" w:fill="FFFFFF"/>
        <w:spacing w:after="0" w:line="360" w:lineRule="auto"/>
        <w:rPr>
          <w:rFonts w:cstheme="minorHAnsi"/>
          <w:lang w:val="en-US"/>
        </w:rPr>
      </w:pPr>
      <w:r w:rsidRPr="00B978D0">
        <w:rPr>
          <w:rFonts w:cstheme="minorHAnsi"/>
          <w:lang w:val="en-US"/>
        </w:rPr>
        <w:t>PAD</w:t>
      </w:r>
      <w:r>
        <w:rPr>
          <w:rFonts w:cstheme="minorHAnsi"/>
          <w:lang w:val="en-US"/>
        </w:rPr>
        <w:tab/>
      </w:r>
      <w:r>
        <w:rPr>
          <w:rFonts w:cstheme="minorHAnsi"/>
          <w:lang w:val="en-US"/>
        </w:rPr>
        <w:tab/>
      </w:r>
      <w:r w:rsidRPr="005647FD">
        <w:rPr>
          <w:rFonts w:cstheme="minorHAnsi"/>
          <w:lang w:val="en-US"/>
        </w:rPr>
        <w:t xml:space="preserve">Peripheral </w:t>
      </w:r>
      <w:r>
        <w:rPr>
          <w:rFonts w:cstheme="minorHAnsi"/>
          <w:lang w:val="en-US"/>
        </w:rPr>
        <w:t>A</w:t>
      </w:r>
      <w:r w:rsidRPr="005647FD">
        <w:rPr>
          <w:rFonts w:cstheme="minorHAnsi"/>
          <w:lang w:val="en-US"/>
        </w:rPr>
        <w:t xml:space="preserve">rtery </w:t>
      </w:r>
      <w:r>
        <w:rPr>
          <w:rFonts w:cstheme="minorHAnsi"/>
          <w:lang w:val="en-US"/>
        </w:rPr>
        <w:t>D</w:t>
      </w:r>
      <w:r w:rsidRPr="005647FD">
        <w:rPr>
          <w:rFonts w:cstheme="minorHAnsi"/>
          <w:lang w:val="en-US"/>
        </w:rPr>
        <w:t>isease</w:t>
      </w:r>
    </w:p>
    <w:p w14:paraId="09F98E53" w14:textId="77777777" w:rsidR="001D63E1" w:rsidRDefault="001D63E1" w:rsidP="001D63E1">
      <w:pPr>
        <w:shd w:val="clear" w:color="auto" w:fill="FFFFFF"/>
        <w:spacing w:after="0" w:line="360" w:lineRule="auto"/>
        <w:rPr>
          <w:rFonts w:cstheme="minorHAnsi"/>
          <w:lang w:val="en-US"/>
        </w:rPr>
      </w:pPr>
      <w:r>
        <w:rPr>
          <w:rFonts w:cstheme="minorHAnsi"/>
          <w:lang w:val="en-US"/>
        </w:rPr>
        <w:t>PNL</w:t>
      </w:r>
      <w:r>
        <w:rPr>
          <w:rFonts w:cstheme="minorHAnsi"/>
          <w:lang w:val="en-US"/>
        </w:rPr>
        <w:tab/>
      </w:r>
      <w:r>
        <w:rPr>
          <w:rFonts w:cstheme="minorHAnsi"/>
          <w:lang w:val="en-US"/>
        </w:rPr>
        <w:tab/>
      </w:r>
      <w:r w:rsidRPr="00D90F8B">
        <w:rPr>
          <w:rFonts w:cstheme="minorHAnsi"/>
          <w:lang w:val="en-US"/>
        </w:rPr>
        <w:t>Percutaneous nephrolithotomy</w:t>
      </w:r>
    </w:p>
    <w:p w14:paraId="45D5BC53" w14:textId="77777777" w:rsidR="001D63E1" w:rsidRDefault="001D63E1" w:rsidP="001D63E1">
      <w:pPr>
        <w:shd w:val="clear" w:color="auto" w:fill="FFFFFF"/>
        <w:spacing w:after="0" w:line="360" w:lineRule="auto"/>
        <w:rPr>
          <w:rFonts w:cstheme="minorHAnsi"/>
          <w:lang w:val="en-US"/>
        </w:rPr>
      </w:pPr>
      <w:r w:rsidRPr="00B978D0">
        <w:rPr>
          <w:rFonts w:cstheme="minorHAnsi"/>
          <w:lang w:val="en-US"/>
        </w:rPr>
        <w:t>PTCA</w:t>
      </w:r>
      <w:r>
        <w:rPr>
          <w:rFonts w:cstheme="minorHAnsi"/>
          <w:lang w:val="en-US"/>
        </w:rPr>
        <w:tab/>
      </w:r>
      <w:r>
        <w:rPr>
          <w:rFonts w:cstheme="minorHAnsi"/>
          <w:lang w:val="en-US"/>
        </w:rPr>
        <w:tab/>
        <w:t>P</w:t>
      </w:r>
      <w:r w:rsidRPr="005647FD">
        <w:rPr>
          <w:rFonts w:cstheme="minorHAnsi"/>
          <w:lang w:val="en-US"/>
        </w:rPr>
        <w:t xml:space="preserve">ercutaneous </w:t>
      </w:r>
      <w:r>
        <w:rPr>
          <w:rFonts w:cstheme="minorHAnsi"/>
          <w:lang w:val="en-US"/>
        </w:rPr>
        <w:t>T</w:t>
      </w:r>
      <w:r w:rsidRPr="005647FD">
        <w:rPr>
          <w:rFonts w:cstheme="minorHAnsi"/>
          <w:lang w:val="en-US"/>
        </w:rPr>
        <w:t xml:space="preserve">ransluminal </w:t>
      </w:r>
      <w:r>
        <w:rPr>
          <w:rFonts w:cstheme="minorHAnsi"/>
          <w:lang w:val="en-US"/>
        </w:rPr>
        <w:t>C</w:t>
      </w:r>
      <w:r w:rsidRPr="005647FD">
        <w:rPr>
          <w:rFonts w:cstheme="minorHAnsi"/>
          <w:lang w:val="en-US"/>
        </w:rPr>
        <w:t xml:space="preserve">oronary </w:t>
      </w:r>
      <w:r>
        <w:rPr>
          <w:rFonts w:cstheme="minorHAnsi"/>
          <w:lang w:val="en-US"/>
        </w:rPr>
        <w:t>A</w:t>
      </w:r>
      <w:r w:rsidRPr="005647FD">
        <w:rPr>
          <w:rFonts w:cstheme="minorHAnsi"/>
          <w:lang w:val="en-US"/>
        </w:rPr>
        <w:t>ngioplasty</w:t>
      </w:r>
    </w:p>
    <w:p w14:paraId="33A6A281" w14:textId="299544BD" w:rsidR="001D63E1" w:rsidRDefault="001D63E1" w:rsidP="001D63E1">
      <w:pPr>
        <w:shd w:val="clear" w:color="auto" w:fill="FFFFFF"/>
        <w:spacing w:after="0" w:line="360" w:lineRule="auto"/>
        <w:rPr>
          <w:rFonts w:cstheme="minorHAnsi"/>
          <w:lang w:val="en-US"/>
        </w:rPr>
      </w:pPr>
      <w:r w:rsidRPr="007031CB">
        <w:rPr>
          <w:rFonts w:cstheme="minorHAnsi"/>
          <w:lang w:val="en-US"/>
        </w:rPr>
        <w:t xml:space="preserve">PUJ stenosis </w:t>
      </w:r>
      <w:r>
        <w:rPr>
          <w:rFonts w:cstheme="minorHAnsi"/>
          <w:lang w:val="en-US"/>
        </w:rPr>
        <w:tab/>
      </w:r>
      <w:proofErr w:type="spellStart"/>
      <w:r w:rsidRPr="007031CB">
        <w:rPr>
          <w:rFonts w:cstheme="minorHAnsi"/>
          <w:lang w:val="en-US"/>
        </w:rPr>
        <w:t>Pelviureteric</w:t>
      </w:r>
      <w:proofErr w:type="spellEnd"/>
      <w:r w:rsidRPr="007031CB">
        <w:rPr>
          <w:rFonts w:cstheme="minorHAnsi"/>
          <w:lang w:val="en-US"/>
        </w:rPr>
        <w:t xml:space="preserve"> </w:t>
      </w:r>
      <w:r>
        <w:rPr>
          <w:rFonts w:cstheme="minorHAnsi"/>
          <w:lang w:val="en-US"/>
        </w:rPr>
        <w:t>J</w:t>
      </w:r>
      <w:r w:rsidRPr="007031CB">
        <w:rPr>
          <w:rFonts w:cstheme="minorHAnsi"/>
          <w:lang w:val="en-US"/>
        </w:rPr>
        <w:t>unction stenosis</w:t>
      </w:r>
    </w:p>
    <w:p w14:paraId="5E7ADCE7" w14:textId="2CE51989" w:rsidR="00CC7174" w:rsidRDefault="00CC7174" w:rsidP="001D63E1">
      <w:pPr>
        <w:shd w:val="clear" w:color="auto" w:fill="FFFFFF"/>
        <w:spacing w:after="0" w:line="360" w:lineRule="auto"/>
        <w:rPr>
          <w:rFonts w:cstheme="minorHAnsi"/>
          <w:lang w:val="en-US"/>
        </w:rPr>
      </w:pPr>
      <w:r>
        <w:rPr>
          <w:rFonts w:cstheme="minorHAnsi"/>
          <w:lang w:val="en-US"/>
        </w:rPr>
        <w:t>RF</w:t>
      </w:r>
      <w:r>
        <w:rPr>
          <w:rFonts w:cstheme="minorHAnsi"/>
          <w:lang w:val="en-US"/>
        </w:rPr>
        <w:tab/>
      </w:r>
      <w:r>
        <w:rPr>
          <w:rFonts w:cstheme="minorHAnsi"/>
          <w:lang w:val="en-US"/>
        </w:rPr>
        <w:tab/>
        <w:t>Risk factor</w:t>
      </w:r>
    </w:p>
    <w:p w14:paraId="55E2C0AE" w14:textId="692EADC1" w:rsidR="00647720" w:rsidRPr="007031CB" w:rsidRDefault="00647720" w:rsidP="001D63E1">
      <w:pPr>
        <w:shd w:val="clear" w:color="auto" w:fill="FFFFFF"/>
        <w:spacing w:after="0" w:line="360" w:lineRule="auto"/>
        <w:rPr>
          <w:rFonts w:cstheme="minorHAnsi"/>
          <w:lang w:val="en-US"/>
        </w:rPr>
      </w:pPr>
      <w:r>
        <w:rPr>
          <w:rFonts w:cstheme="minorHAnsi"/>
          <w:lang w:val="en-US"/>
        </w:rPr>
        <w:t>SD</w:t>
      </w:r>
      <w:r>
        <w:rPr>
          <w:rFonts w:cstheme="minorHAnsi"/>
          <w:lang w:val="en-US"/>
        </w:rPr>
        <w:tab/>
      </w:r>
      <w:r>
        <w:rPr>
          <w:rFonts w:cstheme="minorHAnsi"/>
          <w:lang w:val="en-US"/>
        </w:rPr>
        <w:tab/>
        <w:t>Standard deviation</w:t>
      </w:r>
    </w:p>
    <w:p w14:paraId="0EC14510" w14:textId="5E879FD8" w:rsidR="004D628F" w:rsidRDefault="001D63E1" w:rsidP="001D63E1">
      <w:pPr>
        <w:shd w:val="clear" w:color="auto" w:fill="FFFFFF"/>
        <w:spacing w:after="0" w:line="360" w:lineRule="auto"/>
        <w:rPr>
          <w:rFonts w:cstheme="minorHAnsi"/>
          <w:lang w:val="en-US"/>
        </w:rPr>
      </w:pPr>
      <w:r w:rsidRPr="007031CB">
        <w:rPr>
          <w:rFonts w:cstheme="minorHAnsi"/>
          <w:lang w:val="en-US"/>
        </w:rPr>
        <w:t xml:space="preserve">TURP </w:t>
      </w:r>
      <w:r>
        <w:rPr>
          <w:rFonts w:cstheme="minorHAnsi"/>
          <w:lang w:val="en-US"/>
        </w:rPr>
        <w:tab/>
      </w:r>
      <w:r>
        <w:rPr>
          <w:rFonts w:cstheme="minorHAnsi"/>
          <w:lang w:val="en-US"/>
        </w:rPr>
        <w:tab/>
        <w:t>T</w:t>
      </w:r>
      <w:r w:rsidRPr="007031CB">
        <w:rPr>
          <w:rFonts w:cstheme="minorHAnsi"/>
          <w:lang w:val="en-US"/>
        </w:rPr>
        <w:t xml:space="preserve">ransurethral </w:t>
      </w:r>
      <w:r>
        <w:rPr>
          <w:rFonts w:cstheme="minorHAnsi"/>
          <w:lang w:val="en-US"/>
        </w:rPr>
        <w:t>R</w:t>
      </w:r>
      <w:r w:rsidRPr="007031CB">
        <w:rPr>
          <w:rFonts w:cstheme="minorHAnsi"/>
          <w:lang w:val="en-US"/>
        </w:rPr>
        <w:t xml:space="preserve">esection of the </w:t>
      </w:r>
      <w:r>
        <w:rPr>
          <w:rFonts w:cstheme="minorHAnsi"/>
          <w:lang w:val="en-US"/>
        </w:rPr>
        <w:t>P</w:t>
      </w:r>
      <w:r w:rsidRPr="007031CB">
        <w:rPr>
          <w:rFonts w:cstheme="minorHAnsi"/>
          <w:lang w:val="en-US"/>
        </w:rPr>
        <w:t>rostate</w:t>
      </w:r>
    </w:p>
    <w:p w14:paraId="2ECDEB0C" w14:textId="77777777" w:rsidR="001D63E1" w:rsidRDefault="001D63E1" w:rsidP="001D63E1">
      <w:pPr>
        <w:shd w:val="clear" w:color="auto" w:fill="FFFFFF"/>
        <w:spacing w:after="0" w:line="360" w:lineRule="auto"/>
        <w:rPr>
          <w:rFonts w:cstheme="minorHAnsi"/>
          <w:lang w:val="en-US"/>
        </w:rPr>
      </w:pPr>
      <w:r>
        <w:rPr>
          <w:rFonts w:cstheme="minorHAnsi"/>
          <w:lang w:val="en-US"/>
        </w:rPr>
        <w:t>URS</w:t>
      </w:r>
      <w:r>
        <w:rPr>
          <w:rFonts w:cstheme="minorHAnsi"/>
          <w:lang w:val="en-US"/>
        </w:rPr>
        <w:tab/>
      </w:r>
      <w:r>
        <w:rPr>
          <w:rFonts w:cstheme="minorHAnsi"/>
          <w:lang w:val="en-US"/>
        </w:rPr>
        <w:tab/>
      </w:r>
      <w:r w:rsidRPr="00F51608">
        <w:rPr>
          <w:rFonts w:cstheme="minorHAnsi"/>
          <w:lang w:val="en-US"/>
        </w:rPr>
        <w:t>Ureteroscopy</w:t>
      </w:r>
    </w:p>
    <w:p w14:paraId="2CBEEB6D" w14:textId="45E39DB5" w:rsidR="001D63E1" w:rsidRDefault="001D63E1" w:rsidP="001D63E1">
      <w:pPr>
        <w:shd w:val="clear" w:color="auto" w:fill="FFFFFF"/>
        <w:spacing w:after="0" w:line="360" w:lineRule="auto"/>
        <w:rPr>
          <w:rFonts w:cstheme="minorHAnsi"/>
          <w:lang w:val="en-US"/>
        </w:rPr>
      </w:pPr>
      <w:r>
        <w:rPr>
          <w:rFonts w:cstheme="minorHAnsi"/>
          <w:lang w:val="en-US"/>
        </w:rPr>
        <w:t>UTIs</w:t>
      </w:r>
      <w:r>
        <w:rPr>
          <w:rFonts w:cstheme="minorHAnsi"/>
          <w:lang w:val="en-US"/>
        </w:rPr>
        <w:tab/>
      </w:r>
      <w:r>
        <w:rPr>
          <w:rFonts w:cstheme="minorHAnsi"/>
          <w:lang w:val="en-US"/>
        </w:rPr>
        <w:tab/>
      </w:r>
      <w:r w:rsidRPr="004600FB">
        <w:rPr>
          <w:rFonts w:cstheme="minorHAnsi"/>
          <w:lang w:val="en-US"/>
        </w:rPr>
        <w:t xml:space="preserve">Urinary </w:t>
      </w:r>
      <w:r>
        <w:rPr>
          <w:rFonts w:cstheme="minorHAnsi"/>
          <w:lang w:val="en-US"/>
        </w:rPr>
        <w:t>T</w:t>
      </w:r>
      <w:r w:rsidRPr="004600FB">
        <w:rPr>
          <w:rFonts w:cstheme="minorHAnsi"/>
          <w:lang w:val="en-US"/>
        </w:rPr>
        <w:t xml:space="preserve">ract </w:t>
      </w:r>
      <w:r>
        <w:rPr>
          <w:rFonts w:cstheme="minorHAnsi"/>
          <w:lang w:val="en-US"/>
        </w:rPr>
        <w:t>I</w:t>
      </w:r>
      <w:r w:rsidRPr="004600FB">
        <w:rPr>
          <w:rFonts w:cstheme="minorHAnsi"/>
          <w:lang w:val="en-US"/>
        </w:rPr>
        <w:t>nfections</w:t>
      </w:r>
    </w:p>
    <w:p w14:paraId="1BC1B604" w14:textId="7823D6A0" w:rsidR="00C2564F" w:rsidRPr="00DB4FC5" w:rsidRDefault="00D226C5" w:rsidP="00540A95">
      <w:pPr>
        <w:pStyle w:val="Kop1"/>
        <w:spacing w:line="480" w:lineRule="auto"/>
        <w:rPr>
          <w:lang w:val="en-US"/>
        </w:rPr>
      </w:pPr>
      <w:bookmarkStart w:id="3" w:name="_Toc70238542"/>
      <w:r>
        <w:rPr>
          <w:lang w:val="en-US"/>
        </w:rPr>
        <w:lastRenderedPageBreak/>
        <w:t>INTRODUCTION</w:t>
      </w:r>
      <w:bookmarkEnd w:id="3"/>
    </w:p>
    <w:p w14:paraId="71706814" w14:textId="2598E75C" w:rsidR="00C2564F" w:rsidRPr="00DB4FC5" w:rsidRDefault="00C2564F" w:rsidP="005769F3">
      <w:pPr>
        <w:spacing w:line="480" w:lineRule="auto"/>
        <w:jc w:val="both"/>
        <w:rPr>
          <w:lang w:val="en-US"/>
        </w:rPr>
      </w:pPr>
      <w:r w:rsidRPr="00DB4FC5">
        <w:rPr>
          <w:lang w:val="en-US"/>
        </w:rPr>
        <w:t>Nephrolithiasis is a highly prevalent condition.  Recent analysis estimates the prevalence at 10.6% in males and 7.1% in females</w:t>
      </w:r>
      <w:r>
        <w:rPr>
          <w:lang w:val="en-US"/>
        </w:rPr>
        <w:t xml:space="preserve"> in the United States</w:t>
      </w:r>
      <w:r w:rsidRPr="00DB4FC5">
        <w:rPr>
          <w:lang w:val="en-US"/>
        </w:rPr>
        <w:t xml:space="preserve"> </w:t>
      </w:r>
      <w:r w:rsidRPr="00DB4FC5">
        <w:rPr>
          <w:noProof/>
          <w:lang w:val="en-US"/>
        </w:rPr>
        <w:t>(1)</w:t>
      </w:r>
      <w:r w:rsidRPr="00DB4FC5">
        <w:rPr>
          <w:lang w:val="en-US"/>
        </w:rPr>
        <w:t xml:space="preserve">. </w:t>
      </w:r>
      <w:bookmarkStart w:id="4" w:name="_Hlk66954403"/>
      <w:r>
        <w:rPr>
          <w:lang w:val="en-US"/>
        </w:rPr>
        <w:t>Lower prevalence rates have been reported in Europe (</w:t>
      </w:r>
      <w:r w:rsidRPr="00DB4FC5">
        <w:rPr>
          <w:lang w:val="en-US"/>
        </w:rPr>
        <w:t>5-9%</w:t>
      </w:r>
      <w:r>
        <w:rPr>
          <w:lang w:val="en-US"/>
        </w:rPr>
        <w:t>)</w:t>
      </w:r>
      <w:r w:rsidRPr="00DB4FC5">
        <w:rPr>
          <w:lang w:val="en-US"/>
        </w:rPr>
        <w:t xml:space="preserve"> </w:t>
      </w:r>
      <w:r>
        <w:rPr>
          <w:lang w:val="en-US"/>
        </w:rPr>
        <w:t>and in Asia (</w:t>
      </w:r>
      <w:r w:rsidRPr="00DB4FC5">
        <w:rPr>
          <w:lang w:val="en-US"/>
        </w:rPr>
        <w:t xml:space="preserve">1-5% </w:t>
      </w:r>
      <w:r>
        <w:rPr>
          <w:lang w:val="en-US"/>
        </w:rPr>
        <w:t>)</w:t>
      </w:r>
      <w:r w:rsidRPr="00DB4FC5">
        <w:rPr>
          <w:noProof/>
          <w:lang w:val="en-US"/>
        </w:rPr>
        <w:t>(2)</w:t>
      </w:r>
      <w:r w:rsidR="00DF604A">
        <w:rPr>
          <w:noProof/>
          <w:lang w:val="en-US"/>
        </w:rPr>
        <w:t xml:space="preserve">.  </w:t>
      </w:r>
      <w:r w:rsidR="00DF604A" w:rsidRPr="00DF604A">
        <w:rPr>
          <w:noProof/>
          <w:lang w:val="en-US"/>
        </w:rPr>
        <w:t xml:space="preserve">In contrast, kidney stones are </w:t>
      </w:r>
      <w:r w:rsidR="00DF604A">
        <w:rPr>
          <w:noProof/>
          <w:lang w:val="en-US"/>
        </w:rPr>
        <w:t xml:space="preserve">believed to be </w:t>
      </w:r>
      <w:r w:rsidR="00DF604A" w:rsidRPr="00DF604A">
        <w:rPr>
          <w:noProof/>
          <w:lang w:val="en-US"/>
        </w:rPr>
        <w:t>more common in Middle Eastern countries</w:t>
      </w:r>
      <w:r w:rsidR="00DF604A">
        <w:rPr>
          <w:noProof/>
          <w:lang w:val="en-US"/>
        </w:rPr>
        <w:t xml:space="preserve">. </w:t>
      </w:r>
      <w:r w:rsidR="00A40338">
        <w:rPr>
          <w:noProof/>
          <w:lang w:val="en-US"/>
        </w:rPr>
        <w:t xml:space="preserve">Ahmad et al. retrospectively investigated the records of </w:t>
      </w:r>
      <w:r w:rsidR="00DF604A">
        <w:rPr>
          <w:noProof/>
          <w:lang w:val="en-US"/>
        </w:rPr>
        <w:t xml:space="preserve">5371 </w:t>
      </w:r>
      <w:r w:rsidR="00A40338">
        <w:rPr>
          <w:noProof/>
          <w:lang w:val="en-US"/>
        </w:rPr>
        <w:t>patients visiting a polyclinic in Saudi-Arabia and concluded that</w:t>
      </w:r>
      <w:r w:rsidR="00DF604A">
        <w:rPr>
          <w:noProof/>
          <w:lang w:val="en-US"/>
        </w:rPr>
        <w:t xml:space="preserve"> 19</w:t>
      </w:r>
      <w:r w:rsidR="00B9302E">
        <w:rPr>
          <w:noProof/>
          <w:lang w:val="en-US"/>
        </w:rPr>
        <w:t>.</w:t>
      </w:r>
      <w:r w:rsidR="00DF604A">
        <w:rPr>
          <w:noProof/>
          <w:lang w:val="en-US"/>
        </w:rPr>
        <w:t>1% of the patients were diagnosed with nephrolithiasis (3). Robertson et al. reported a higher lifetime stone expectancy in men in Saudi-Arabia compared to other countries such as the United States (20</w:t>
      </w:r>
      <w:r w:rsidR="00B9302E">
        <w:rPr>
          <w:noProof/>
          <w:lang w:val="en-US"/>
        </w:rPr>
        <w:t>.</w:t>
      </w:r>
      <w:r w:rsidR="00DF604A">
        <w:rPr>
          <w:noProof/>
          <w:lang w:val="en-US"/>
        </w:rPr>
        <w:t>1% vs 13</w:t>
      </w:r>
      <w:r w:rsidR="00B9302E">
        <w:rPr>
          <w:noProof/>
          <w:lang w:val="en-US"/>
        </w:rPr>
        <w:t>.</w:t>
      </w:r>
      <w:r w:rsidR="00DF604A">
        <w:rPr>
          <w:noProof/>
          <w:lang w:val="en-US"/>
        </w:rPr>
        <w:t xml:space="preserve">0%) (4). </w:t>
      </w:r>
      <w:bookmarkEnd w:id="4"/>
      <w:r w:rsidRPr="00DB4FC5">
        <w:rPr>
          <w:lang w:val="en-US"/>
        </w:rPr>
        <w:t>The geographic discrepancy is tentatively explained by differences in</w:t>
      </w:r>
      <w:r>
        <w:rPr>
          <w:lang w:val="en-US"/>
        </w:rPr>
        <w:t xml:space="preserve"> climate,</w:t>
      </w:r>
      <w:r w:rsidRPr="00DB4FC5">
        <w:rPr>
          <w:lang w:val="en-US"/>
        </w:rPr>
        <w:t xml:space="preserve"> lifestyle and dietary practices. </w:t>
      </w:r>
    </w:p>
    <w:p w14:paraId="0055C30D" w14:textId="75C1D4A5" w:rsidR="00C2564F" w:rsidRPr="00DB4FC5" w:rsidRDefault="00C2564F" w:rsidP="005769F3">
      <w:pPr>
        <w:spacing w:line="480" w:lineRule="auto"/>
        <w:jc w:val="both"/>
        <w:rPr>
          <w:lang w:val="en-US"/>
        </w:rPr>
      </w:pPr>
      <w:r w:rsidRPr="00DB4FC5">
        <w:rPr>
          <w:lang w:val="en-US"/>
        </w:rPr>
        <w:t xml:space="preserve">Prevalence rates have been increasing over the last several decades. The dataset of </w:t>
      </w:r>
      <w:r w:rsidR="004D628F">
        <w:rPr>
          <w:lang w:val="en-US"/>
        </w:rPr>
        <w:t xml:space="preserve">NHANES </w:t>
      </w:r>
      <w:r w:rsidRPr="00DB4FC5">
        <w:rPr>
          <w:lang w:val="en-US"/>
        </w:rPr>
        <w:t>showed that the prevalence of symptomatic nephrolithiasis in the general population in the U</w:t>
      </w:r>
      <w:r w:rsidR="007031CB">
        <w:rPr>
          <w:lang w:val="en-US"/>
        </w:rPr>
        <w:t xml:space="preserve">nited </w:t>
      </w:r>
      <w:r w:rsidRPr="00DB4FC5">
        <w:rPr>
          <w:lang w:val="en-US"/>
        </w:rPr>
        <w:t>S</w:t>
      </w:r>
      <w:r w:rsidR="007031CB">
        <w:rPr>
          <w:lang w:val="en-US"/>
        </w:rPr>
        <w:t>tates</w:t>
      </w:r>
      <w:r w:rsidRPr="00DB4FC5">
        <w:rPr>
          <w:lang w:val="en-US"/>
        </w:rPr>
        <w:t xml:space="preserve"> has increased from 3.2% in 1976-1980 to 5</w:t>
      </w:r>
      <w:r w:rsidR="00590419">
        <w:rPr>
          <w:lang w:val="en-US"/>
        </w:rPr>
        <w:t>.</w:t>
      </w:r>
      <w:r w:rsidRPr="00DB4FC5">
        <w:rPr>
          <w:lang w:val="en-US"/>
        </w:rPr>
        <w:t>2% in 1988-1994 and even to 8</w:t>
      </w:r>
      <w:r w:rsidR="00590419">
        <w:rPr>
          <w:lang w:val="en-US"/>
        </w:rPr>
        <w:t>.</w:t>
      </w:r>
      <w:r w:rsidRPr="00DB4FC5">
        <w:rPr>
          <w:lang w:val="en-US"/>
        </w:rPr>
        <w:t xml:space="preserve">4% in 2007-2010 </w:t>
      </w:r>
      <w:r w:rsidRPr="00DB4FC5">
        <w:rPr>
          <w:noProof/>
          <w:lang w:val="en-US"/>
        </w:rPr>
        <w:t>(1,</w:t>
      </w:r>
      <w:r w:rsidR="00DF604A">
        <w:rPr>
          <w:noProof/>
          <w:lang w:val="en-US"/>
        </w:rPr>
        <w:t>5</w:t>
      </w:r>
      <w:r w:rsidRPr="00DB4FC5">
        <w:rPr>
          <w:noProof/>
          <w:lang w:val="en-US"/>
        </w:rPr>
        <w:t>)</w:t>
      </w:r>
      <w:r w:rsidRPr="00DB4FC5">
        <w:rPr>
          <w:lang w:val="en-US"/>
        </w:rPr>
        <w:t xml:space="preserve">. As the NHANES data are based on self-reported diagnosis of nephrolithiasis, asymptomatic kidney stones are missed in the analysis so that the true prevalence is presumably higher. </w:t>
      </w:r>
      <w:r w:rsidRPr="00E24E35">
        <w:rPr>
          <w:color w:val="000000" w:themeColor="text1"/>
          <w:lang w:val="en-US"/>
        </w:rPr>
        <w:t>In fact, according to a cohort study conducted by Boyce et al., 7</w:t>
      </w:r>
      <w:r w:rsidR="00590419">
        <w:rPr>
          <w:color w:val="000000" w:themeColor="text1"/>
          <w:lang w:val="en-US"/>
        </w:rPr>
        <w:t>.</w:t>
      </w:r>
      <w:r w:rsidRPr="00E24E35">
        <w:rPr>
          <w:color w:val="000000" w:themeColor="text1"/>
          <w:lang w:val="en-US"/>
        </w:rPr>
        <w:t>8% of the 5.047 asymptomatic adults that underwent a non-contrast-enhanced CT scan</w:t>
      </w:r>
      <w:r w:rsidR="00A2200B">
        <w:rPr>
          <w:color w:val="000000" w:themeColor="text1"/>
          <w:lang w:val="en-US"/>
        </w:rPr>
        <w:t xml:space="preserve">, </w:t>
      </w:r>
      <w:r w:rsidRPr="00E24E35">
        <w:rPr>
          <w:color w:val="000000" w:themeColor="text1"/>
          <w:lang w:val="en-US"/>
        </w:rPr>
        <w:t xml:space="preserve">appeared to have asymptomatic nephrolithiasis with an average of </w:t>
      </w:r>
      <w:r w:rsidR="00B9302E">
        <w:rPr>
          <w:color w:val="000000" w:themeColor="text1"/>
          <w:lang w:val="en-US"/>
        </w:rPr>
        <w:t>two</w:t>
      </w:r>
      <w:r w:rsidRPr="00E24E35">
        <w:rPr>
          <w:color w:val="000000" w:themeColor="text1"/>
          <w:lang w:val="en-US"/>
        </w:rPr>
        <w:t xml:space="preserve"> stones of 3</w:t>
      </w:r>
      <w:r w:rsidR="00E32023">
        <w:rPr>
          <w:color w:val="000000" w:themeColor="text1"/>
          <w:lang w:val="en-US"/>
        </w:rPr>
        <w:t xml:space="preserve"> </w:t>
      </w:r>
      <w:r w:rsidRPr="00E24E35">
        <w:rPr>
          <w:color w:val="000000" w:themeColor="text1"/>
          <w:lang w:val="en-US"/>
        </w:rPr>
        <w:t>mm per individual. During the following 10 year follow-up, 20</w:t>
      </w:r>
      <w:r w:rsidR="00590419">
        <w:rPr>
          <w:color w:val="000000" w:themeColor="text1"/>
          <w:lang w:val="en-US"/>
        </w:rPr>
        <w:t>.</w:t>
      </w:r>
      <w:r w:rsidRPr="00E24E35">
        <w:rPr>
          <w:color w:val="000000" w:themeColor="text1"/>
          <w:lang w:val="en-US"/>
        </w:rPr>
        <w:t xml:space="preserve">5% of them developed symptomatic episodes </w:t>
      </w:r>
      <w:r w:rsidRPr="00E24E35">
        <w:rPr>
          <w:noProof/>
          <w:color w:val="000000" w:themeColor="text1"/>
          <w:lang w:val="en-US"/>
        </w:rPr>
        <w:t>(</w:t>
      </w:r>
      <w:r w:rsidR="00DF604A">
        <w:rPr>
          <w:noProof/>
          <w:color w:val="000000" w:themeColor="text1"/>
          <w:lang w:val="en-US"/>
        </w:rPr>
        <w:t>6</w:t>
      </w:r>
      <w:r w:rsidRPr="00E24E35">
        <w:rPr>
          <w:noProof/>
          <w:color w:val="000000" w:themeColor="text1"/>
          <w:lang w:val="en-US"/>
        </w:rPr>
        <w:t>)</w:t>
      </w:r>
      <w:r w:rsidR="00E32023">
        <w:rPr>
          <w:noProof/>
          <w:color w:val="000000" w:themeColor="text1"/>
          <w:lang w:val="en-US"/>
        </w:rPr>
        <w:t>.</w:t>
      </w:r>
    </w:p>
    <w:p w14:paraId="0D3934D2" w14:textId="31BD36B5" w:rsidR="00F74C50" w:rsidRPr="00F74C50" w:rsidRDefault="008D256B" w:rsidP="005769F3">
      <w:pPr>
        <w:spacing w:line="480" w:lineRule="auto"/>
        <w:jc w:val="both"/>
        <w:rPr>
          <w:lang w:val="en-US"/>
        </w:rPr>
      </w:pPr>
      <w:r>
        <w:rPr>
          <w:lang w:val="en-US"/>
        </w:rPr>
        <w:t xml:space="preserve">Nephrolithiasis is a highly recurrent disease. </w:t>
      </w:r>
      <w:r w:rsidR="00F74C50">
        <w:rPr>
          <w:lang w:val="en-US"/>
        </w:rPr>
        <w:t>Daudon et al.</w:t>
      </w:r>
      <w:r w:rsidR="00D4171B">
        <w:rPr>
          <w:lang w:val="en-US"/>
        </w:rPr>
        <w:t xml:space="preserve"> demonstrated an overall recurrence rate of 42</w:t>
      </w:r>
      <w:r w:rsidR="00B9302E">
        <w:rPr>
          <w:lang w:val="en-US"/>
        </w:rPr>
        <w:t>.</w:t>
      </w:r>
      <w:r w:rsidR="00D4171B">
        <w:rPr>
          <w:lang w:val="en-US"/>
        </w:rPr>
        <w:t xml:space="preserve">7% and demonstrated that </w:t>
      </w:r>
      <w:r w:rsidR="00F74C50">
        <w:rPr>
          <w:lang w:val="en-US"/>
        </w:rPr>
        <w:t xml:space="preserve">the frequency of stone recurrence varies with stone </w:t>
      </w:r>
      <w:r w:rsidR="00D4171B">
        <w:rPr>
          <w:lang w:val="en-US"/>
        </w:rPr>
        <w:t xml:space="preserve">composition. </w:t>
      </w:r>
      <w:r w:rsidR="00E32023">
        <w:rPr>
          <w:lang w:val="en-US"/>
        </w:rPr>
        <w:t>Cystine stone formers have a high recurrence rate at 89</w:t>
      </w:r>
      <w:r w:rsidR="00B9302E">
        <w:rPr>
          <w:lang w:val="en-US"/>
        </w:rPr>
        <w:t>.0</w:t>
      </w:r>
      <w:r w:rsidR="00E32023">
        <w:rPr>
          <w:lang w:val="en-US"/>
        </w:rPr>
        <w:t>% and also uric acid stone formers frequently develop new stones after a first stone, with recurrence rates of 50.9</w:t>
      </w:r>
      <w:r w:rsidR="00BE1C8C">
        <w:rPr>
          <w:lang w:val="en-US"/>
        </w:rPr>
        <w:t>%</w:t>
      </w:r>
      <w:r w:rsidR="00E32023">
        <w:rPr>
          <w:lang w:val="en-US"/>
        </w:rPr>
        <w:t xml:space="preserve"> and 51.6</w:t>
      </w:r>
      <w:r w:rsidR="00BE1C8C">
        <w:rPr>
          <w:lang w:val="en-US"/>
        </w:rPr>
        <w:t>%</w:t>
      </w:r>
      <w:r w:rsidR="00E32023">
        <w:rPr>
          <w:lang w:val="en-US"/>
        </w:rPr>
        <w:t xml:space="preserve"> for uric acid anhydrous and uric acid dihydrate stone formers respectively</w:t>
      </w:r>
      <w:r w:rsidR="00F74C50">
        <w:rPr>
          <w:lang w:val="en-US"/>
        </w:rPr>
        <w:t xml:space="preserve"> (</w:t>
      </w:r>
      <w:r w:rsidR="00DF604A">
        <w:rPr>
          <w:lang w:val="en-US"/>
        </w:rPr>
        <w:t>7</w:t>
      </w:r>
      <w:r w:rsidR="00F74C50">
        <w:rPr>
          <w:lang w:val="en-US"/>
        </w:rPr>
        <w:t xml:space="preserve">). </w:t>
      </w:r>
    </w:p>
    <w:p w14:paraId="2DBF5A8C" w14:textId="6DD34D7F" w:rsidR="00C2564F" w:rsidRDefault="00590419" w:rsidP="005769F3">
      <w:pPr>
        <w:spacing w:line="480" w:lineRule="auto"/>
        <w:jc w:val="both"/>
        <w:rPr>
          <w:color w:val="000000" w:themeColor="text1"/>
          <w:lang w:val="en-GB"/>
        </w:rPr>
      </w:pPr>
      <w:bookmarkStart w:id="5" w:name="_Hlk67649514"/>
      <w:r>
        <w:rPr>
          <w:lang w:val="en-GB"/>
        </w:rPr>
        <w:t>Stone recurrence</w:t>
      </w:r>
      <w:r w:rsidR="00C2564F" w:rsidRPr="00D52584">
        <w:rPr>
          <w:lang w:val="en-GB"/>
        </w:rPr>
        <w:t xml:space="preserve"> strongly contribute</w:t>
      </w:r>
      <w:r>
        <w:rPr>
          <w:lang w:val="en-GB"/>
        </w:rPr>
        <w:t>s</w:t>
      </w:r>
      <w:r w:rsidR="00C2564F" w:rsidRPr="00D52584">
        <w:rPr>
          <w:lang w:val="en-GB"/>
        </w:rPr>
        <w:t xml:space="preserve"> to the morbidity and healthcare costs related to nephrolithiasis</w:t>
      </w:r>
      <w:r w:rsidR="00C2564F">
        <w:rPr>
          <w:lang w:val="en-GB"/>
        </w:rPr>
        <w:t xml:space="preserve">. </w:t>
      </w:r>
      <w:r w:rsidR="00C2564F" w:rsidRPr="00E24E35">
        <w:rPr>
          <w:color w:val="000000" w:themeColor="text1"/>
          <w:lang w:val="en-GB"/>
        </w:rPr>
        <w:t>A retrospective analysis of the use of healthcare resources by Pearl et al. (</w:t>
      </w:r>
      <w:r w:rsidR="00DF604A">
        <w:rPr>
          <w:color w:val="000000" w:themeColor="text1"/>
          <w:lang w:val="en-GB"/>
        </w:rPr>
        <w:t>8</w:t>
      </w:r>
      <w:r w:rsidR="00C2564F" w:rsidRPr="00E24E35">
        <w:rPr>
          <w:color w:val="000000" w:themeColor="text1"/>
          <w:lang w:val="en-GB"/>
        </w:rPr>
        <w:t xml:space="preserve">) aimed to quantify the </w:t>
      </w:r>
      <w:r w:rsidR="00C2564F" w:rsidRPr="00E24E35">
        <w:rPr>
          <w:color w:val="000000" w:themeColor="text1"/>
          <w:lang w:val="en-GB"/>
        </w:rPr>
        <w:lastRenderedPageBreak/>
        <w:t>economic burden of nephrolithiasis in the United States. The authors found emergency room visits, hospitalizations, medical imaging, urological interventions and follow-up consultations to be the main direct costs. Indirect costs mainly involved hours of work lost; 30</w:t>
      </w:r>
      <w:r w:rsidR="00B9302E">
        <w:rPr>
          <w:color w:val="000000" w:themeColor="text1"/>
          <w:lang w:val="en-GB"/>
        </w:rPr>
        <w:t>.</w:t>
      </w:r>
      <w:r w:rsidR="00BE1C8C">
        <w:rPr>
          <w:color w:val="000000" w:themeColor="text1"/>
          <w:lang w:val="en-GB"/>
        </w:rPr>
        <w:t>0</w:t>
      </w:r>
      <w:r w:rsidR="00C2564F" w:rsidRPr="00E24E35">
        <w:rPr>
          <w:color w:val="000000" w:themeColor="text1"/>
          <w:lang w:val="en-GB"/>
        </w:rPr>
        <w:t xml:space="preserve">% had to take a leave of absence with an average of 19 hours of work lost. Despite the fact that hospitalization rates and length of stay declined, the annual total costs of patients with a primary diagnosis of nephrolithiasis appears to be increasing, which might be explained by the increasing prevalence. </w:t>
      </w:r>
    </w:p>
    <w:p w14:paraId="2101735E" w14:textId="2580C031" w:rsidR="00C2564F" w:rsidRDefault="00C2564F" w:rsidP="005769F3">
      <w:pPr>
        <w:spacing w:line="480" w:lineRule="auto"/>
        <w:jc w:val="both"/>
        <w:rPr>
          <w:lang w:val="en-GB"/>
        </w:rPr>
      </w:pPr>
      <w:r>
        <w:rPr>
          <w:lang w:val="en-GB"/>
        </w:rPr>
        <w:t>In</w:t>
      </w:r>
      <w:r w:rsidRPr="00B46401">
        <w:rPr>
          <w:lang w:val="en-GB"/>
        </w:rPr>
        <w:t xml:space="preserve"> 2000, the cumulative costs </w:t>
      </w:r>
      <w:r>
        <w:rPr>
          <w:lang w:val="en-GB"/>
        </w:rPr>
        <w:t xml:space="preserve">in the United States </w:t>
      </w:r>
      <w:r w:rsidRPr="00B46401">
        <w:rPr>
          <w:lang w:val="en-GB"/>
        </w:rPr>
        <w:t xml:space="preserve">for </w:t>
      </w:r>
      <w:r>
        <w:rPr>
          <w:lang w:val="en-GB"/>
        </w:rPr>
        <w:t xml:space="preserve">the medical care of nephrolithiasis patients were estimated at </w:t>
      </w:r>
      <w:r w:rsidRPr="00B46401">
        <w:rPr>
          <w:lang w:val="en-GB"/>
        </w:rPr>
        <w:t xml:space="preserve">$2.1 billion </w:t>
      </w:r>
      <w:r>
        <w:rPr>
          <w:lang w:val="en-GB"/>
        </w:rPr>
        <w:t>dollars (</w:t>
      </w:r>
      <w:r w:rsidR="00DF604A">
        <w:rPr>
          <w:lang w:val="en-GB"/>
        </w:rPr>
        <w:t>9</w:t>
      </w:r>
      <w:r>
        <w:rPr>
          <w:lang w:val="en-GB"/>
        </w:rPr>
        <w:t xml:space="preserve">). </w:t>
      </w:r>
      <w:r w:rsidRPr="00BD207B">
        <w:rPr>
          <w:lang w:val="en-GB"/>
        </w:rPr>
        <w:t>Recent analysis predicts an</w:t>
      </w:r>
      <w:r>
        <w:rPr>
          <w:lang w:val="en-GB"/>
        </w:rPr>
        <w:t xml:space="preserve"> annual</w:t>
      </w:r>
      <w:r w:rsidRPr="00BD207B">
        <w:rPr>
          <w:lang w:val="en-GB"/>
        </w:rPr>
        <w:t xml:space="preserve"> increase in the</w:t>
      </w:r>
      <w:r>
        <w:rPr>
          <w:lang w:val="en-GB"/>
        </w:rPr>
        <w:t xml:space="preserve">se </w:t>
      </w:r>
      <w:r w:rsidRPr="00BD207B">
        <w:rPr>
          <w:lang w:val="en-GB"/>
        </w:rPr>
        <w:t>cost</w:t>
      </w:r>
      <w:r>
        <w:rPr>
          <w:lang w:val="en-GB"/>
        </w:rPr>
        <w:t>s</w:t>
      </w:r>
      <w:r w:rsidRPr="00BD207B">
        <w:rPr>
          <w:lang w:val="en-GB"/>
        </w:rPr>
        <w:t xml:space="preserve"> by $1</w:t>
      </w:r>
      <w:r w:rsidR="00590419">
        <w:rPr>
          <w:lang w:val="en-GB"/>
        </w:rPr>
        <w:t>.</w:t>
      </w:r>
      <w:r w:rsidRPr="00BD207B">
        <w:rPr>
          <w:lang w:val="en-GB"/>
        </w:rPr>
        <w:t xml:space="preserve">2 billion dollars by 2030 </w:t>
      </w:r>
      <w:r>
        <w:rPr>
          <w:noProof/>
          <w:lang w:val="en-GB"/>
        </w:rPr>
        <w:t>(</w:t>
      </w:r>
      <w:r w:rsidR="00DF604A">
        <w:rPr>
          <w:noProof/>
          <w:lang w:val="en-GB"/>
        </w:rPr>
        <w:t>9</w:t>
      </w:r>
      <w:r>
        <w:rPr>
          <w:noProof/>
          <w:lang w:val="en-GB"/>
        </w:rPr>
        <w:t>)</w:t>
      </w:r>
      <w:r w:rsidRPr="00BD207B">
        <w:rPr>
          <w:lang w:val="en-GB"/>
        </w:rPr>
        <w:t>, explained by the rising prevalence of ne</w:t>
      </w:r>
      <w:r w:rsidR="00126813">
        <w:rPr>
          <w:lang w:val="en-GB"/>
        </w:rPr>
        <w:t>ph</w:t>
      </w:r>
      <w:r w:rsidRPr="00BD207B">
        <w:rPr>
          <w:lang w:val="en-GB"/>
        </w:rPr>
        <w:t>rolithiasis and its risk factors such as metabolic syndrome, obesity and diabetes</w:t>
      </w:r>
      <w:r>
        <w:rPr>
          <w:lang w:val="en-GB"/>
        </w:rPr>
        <w:t xml:space="preserve">, which are all </w:t>
      </w:r>
      <w:r w:rsidRPr="00BD207B">
        <w:rPr>
          <w:lang w:val="en-GB"/>
        </w:rPr>
        <w:t>independently associated with stone formation</w:t>
      </w:r>
      <w:r>
        <w:rPr>
          <w:lang w:val="en-GB"/>
        </w:rPr>
        <w:t xml:space="preserve"> </w:t>
      </w:r>
      <w:r>
        <w:rPr>
          <w:noProof/>
          <w:lang w:val="en-GB"/>
        </w:rPr>
        <w:t>(</w:t>
      </w:r>
      <w:r w:rsidR="00DF604A">
        <w:rPr>
          <w:noProof/>
          <w:lang w:val="en-GB"/>
        </w:rPr>
        <w:t>10</w:t>
      </w:r>
      <w:r>
        <w:rPr>
          <w:lang w:val="en-GB"/>
        </w:rPr>
        <w:t>-</w:t>
      </w:r>
      <w:r>
        <w:rPr>
          <w:noProof/>
          <w:lang w:val="en-GB"/>
        </w:rPr>
        <w:t>1</w:t>
      </w:r>
      <w:r w:rsidR="00DF604A">
        <w:rPr>
          <w:noProof/>
          <w:lang w:val="en-GB"/>
        </w:rPr>
        <w:t>2</w:t>
      </w:r>
      <w:r>
        <w:rPr>
          <w:noProof/>
          <w:lang w:val="en-GB"/>
        </w:rPr>
        <w:t>)</w:t>
      </w:r>
      <w:r w:rsidRPr="00BD207B">
        <w:rPr>
          <w:lang w:val="en-GB"/>
        </w:rPr>
        <w:t>.</w:t>
      </w:r>
      <w:r>
        <w:rPr>
          <w:lang w:val="en-GB"/>
        </w:rPr>
        <w:t xml:space="preserve"> </w:t>
      </w:r>
    </w:p>
    <w:bookmarkEnd w:id="5"/>
    <w:p w14:paraId="4118B9E2" w14:textId="65D4FDC0" w:rsidR="00274DED" w:rsidRDefault="00C2564F" w:rsidP="005769F3">
      <w:pPr>
        <w:spacing w:line="480" w:lineRule="auto"/>
        <w:jc w:val="both"/>
        <w:rPr>
          <w:lang w:val="en-GB"/>
        </w:rPr>
      </w:pPr>
      <w:r w:rsidRPr="00E818D3">
        <w:rPr>
          <w:lang w:val="en-GB"/>
        </w:rPr>
        <w:t xml:space="preserve">It should be noted that nephrolithiasis is not a </w:t>
      </w:r>
      <w:r>
        <w:rPr>
          <w:lang w:val="en-GB"/>
        </w:rPr>
        <w:t xml:space="preserve">purely </w:t>
      </w:r>
      <w:r w:rsidRPr="00E818D3">
        <w:rPr>
          <w:lang w:val="en-GB"/>
        </w:rPr>
        <w:t>urologic condition, but is associated with several other diseases</w:t>
      </w:r>
      <w:r>
        <w:rPr>
          <w:lang w:val="en-GB"/>
        </w:rPr>
        <w:t xml:space="preserve"> and should be regarded as a systemic disease</w:t>
      </w:r>
      <w:r w:rsidRPr="00E818D3">
        <w:rPr>
          <w:lang w:val="en-GB"/>
        </w:rPr>
        <w:t xml:space="preserve">.  </w:t>
      </w:r>
      <w:r>
        <w:rPr>
          <w:lang w:val="en-GB"/>
        </w:rPr>
        <w:t xml:space="preserve">One of the best studied associations </w:t>
      </w:r>
      <w:r w:rsidR="00525172">
        <w:rPr>
          <w:lang w:val="en-GB"/>
        </w:rPr>
        <w:t>is the one</w:t>
      </w:r>
      <w:r>
        <w:rPr>
          <w:lang w:val="en-GB"/>
        </w:rPr>
        <w:t xml:space="preserve"> with </w:t>
      </w:r>
      <w:r w:rsidRPr="007300BE">
        <w:rPr>
          <w:rFonts w:cstheme="minorHAnsi"/>
          <w:lang w:val="en-GB"/>
        </w:rPr>
        <w:t>diabetes mellitus type 2</w:t>
      </w:r>
      <w:r>
        <w:rPr>
          <w:rFonts w:cstheme="minorHAnsi"/>
          <w:lang w:val="en-GB"/>
        </w:rPr>
        <w:t xml:space="preserve"> and metabolic syndrome </w:t>
      </w:r>
      <w:r>
        <w:rPr>
          <w:rFonts w:cstheme="minorHAnsi"/>
          <w:noProof/>
          <w:lang w:val="en-GB"/>
        </w:rPr>
        <w:t>(</w:t>
      </w:r>
      <w:r w:rsidR="00DF604A">
        <w:rPr>
          <w:rFonts w:cstheme="minorHAnsi"/>
          <w:noProof/>
          <w:lang w:val="en-GB"/>
        </w:rPr>
        <w:t>10</w:t>
      </w:r>
      <w:r w:rsidR="009644D4">
        <w:rPr>
          <w:rFonts w:cstheme="minorHAnsi"/>
          <w:noProof/>
          <w:lang w:val="en-GB"/>
        </w:rPr>
        <w:t>-</w:t>
      </w:r>
      <w:r>
        <w:rPr>
          <w:rFonts w:cstheme="minorHAnsi"/>
          <w:noProof/>
          <w:lang w:val="en-GB"/>
        </w:rPr>
        <w:t>1</w:t>
      </w:r>
      <w:r w:rsidR="00DF604A">
        <w:rPr>
          <w:rFonts w:cstheme="minorHAnsi"/>
          <w:noProof/>
          <w:lang w:val="en-GB"/>
        </w:rPr>
        <w:t>2</w:t>
      </w:r>
      <w:r>
        <w:rPr>
          <w:rFonts w:cstheme="minorHAnsi"/>
          <w:noProof/>
          <w:lang w:val="en-GB"/>
        </w:rPr>
        <w:t>)</w:t>
      </w:r>
      <w:r>
        <w:rPr>
          <w:rFonts w:cstheme="minorHAnsi"/>
          <w:lang w:val="en-GB"/>
        </w:rPr>
        <w:t>. This is</w:t>
      </w:r>
      <w:r w:rsidRPr="00B20D76">
        <w:rPr>
          <w:lang w:val="en-GB"/>
        </w:rPr>
        <w:t xml:space="preserve"> explained by </w:t>
      </w:r>
      <w:r w:rsidR="00590419" w:rsidRPr="00B20D76">
        <w:rPr>
          <w:lang w:val="en-GB"/>
        </w:rPr>
        <w:t>insulin</w:t>
      </w:r>
      <w:r w:rsidRPr="00B20D76">
        <w:rPr>
          <w:lang w:val="en-GB"/>
        </w:rPr>
        <w:t xml:space="preserve"> resistance, which </w:t>
      </w:r>
      <w:r w:rsidR="00590419">
        <w:rPr>
          <w:lang w:val="en-GB"/>
        </w:rPr>
        <w:t>alters the function of kidney tubule</w:t>
      </w:r>
      <w:r w:rsidR="007C018D">
        <w:rPr>
          <w:lang w:val="en-GB"/>
        </w:rPr>
        <w:t xml:space="preserve"> and results in lower ammonium excretion</w:t>
      </w:r>
      <w:r>
        <w:rPr>
          <w:lang w:val="en-GB"/>
        </w:rPr>
        <w:t xml:space="preserve">. Insulin resistance namely </w:t>
      </w:r>
      <w:r w:rsidR="007C018D">
        <w:rPr>
          <w:lang w:val="en-GB"/>
        </w:rPr>
        <w:t xml:space="preserve">inhibits </w:t>
      </w:r>
      <w:r>
        <w:rPr>
          <w:lang w:val="en-GB"/>
        </w:rPr>
        <w:t xml:space="preserve">the </w:t>
      </w:r>
      <w:r w:rsidR="007A61A4">
        <w:rPr>
          <w:lang w:val="en-GB"/>
        </w:rPr>
        <w:t>Na</w:t>
      </w:r>
      <w:r w:rsidR="007A61A4" w:rsidRPr="00BB341C">
        <w:rPr>
          <w:vertAlign w:val="superscript"/>
          <w:lang w:val="en-GB"/>
        </w:rPr>
        <w:t>+</w:t>
      </w:r>
      <w:r>
        <w:rPr>
          <w:lang w:val="en-GB"/>
        </w:rPr>
        <w:t>/H</w:t>
      </w:r>
      <w:r>
        <w:rPr>
          <w:vertAlign w:val="superscript"/>
          <w:lang w:val="en-GB"/>
        </w:rPr>
        <w:t>+</w:t>
      </w:r>
      <w:r>
        <w:rPr>
          <w:lang w:val="en-GB"/>
        </w:rPr>
        <w:t xml:space="preserve"> exchange</w:t>
      </w:r>
      <w:r w:rsidR="007C018D">
        <w:rPr>
          <w:lang w:val="en-GB"/>
        </w:rPr>
        <w:t>r</w:t>
      </w:r>
      <w:r>
        <w:rPr>
          <w:lang w:val="en-GB"/>
        </w:rPr>
        <w:t xml:space="preserve"> in the proximal tubul</w:t>
      </w:r>
      <w:r w:rsidR="007C018D">
        <w:rPr>
          <w:lang w:val="en-GB"/>
        </w:rPr>
        <w:t>e, which regulates proximal tubular NH4+ secretion</w:t>
      </w:r>
      <w:r>
        <w:rPr>
          <w:lang w:val="en-GB"/>
        </w:rPr>
        <w:t xml:space="preserve"> and hence </w:t>
      </w:r>
      <w:r w:rsidR="00FF2769">
        <w:rPr>
          <w:lang w:val="en-GB"/>
        </w:rPr>
        <w:t xml:space="preserve">ultimately </w:t>
      </w:r>
      <w:r>
        <w:rPr>
          <w:lang w:val="en-GB"/>
        </w:rPr>
        <w:t>lowers the urinary pH</w:t>
      </w:r>
      <w:r w:rsidR="00525172">
        <w:rPr>
          <w:lang w:val="en-GB"/>
        </w:rPr>
        <w:t xml:space="preserve">, which is a risk factor for the development of uric acid kidney stones </w:t>
      </w:r>
      <w:r w:rsidRPr="006954CA">
        <w:rPr>
          <w:noProof/>
          <w:lang w:val="en-GB"/>
        </w:rPr>
        <w:t>(</w:t>
      </w:r>
      <w:r w:rsidR="00295827" w:rsidRPr="006954CA">
        <w:rPr>
          <w:noProof/>
          <w:lang w:val="en-GB"/>
        </w:rPr>
        <w:t>1</w:t>
      </w:r>
      <w:r w:rsidR="00DF604A">
        <w:rPr>
          <w:noProof/>
          <w:lang w:val="en-GB"/>
        </w:rPr>
        <w:t>3</w:t>
      </w:r>
      <w:r w:rsidRPr="006954CA">
        <w:rPr>
          <w:noProof/>
          <w:lang w:val="en-GB"/>
        </w:rPr>
        <w:t>)</w:t>
      </w:r>
      <w:r w:rsidRPr="006954CA">
        <w:rPr>
          <w:lang w:val="en-GB"/>
        </w:rPr>
        <w:t xml:space="preserve">. </w:t>
      </w:r>
      <w:r>
        <w:rPr>
          <w:lang w:val="en-GB"/>
        </w:rPr>
        <w:t>Other associations include osteoporosis</w:t>
      </w:r>
      <w:r w:rsidR="00984031">
        <w:rPr>
          <w:lang w:val="en-GB"/>
        </w:rPr>
        <w:t xml:space="preserve"> (1</w:t>
      </w:r>
      <w:r w:rsidR="00DF604A">
        <w:rPr>
          <w:lang w:val="en-GB"/>
        </w:rPr>
        <w:t>4</w:t>
      </w:r>
      <w:r w:rsidR="00984031">
        <w:rPr>
          <w:lang w:val="en-GB"/>
        </w:rPr>
        <w:t>)</w:t>
      </w:r>
      <w:r>
        <w:rPr>
          <w:lang w:val="en-GB"/>
        </w:rPr>
        <w:t>,</w:t>
      </w:r>
      <w:r w:rsidR="00E32023">
        <w:rPr>
          <w:lang w:val="en-GB"/>
        </w:rPr>
        <w:t xml:space="preserve"> </w:t>
      </w:r>
      <w:r>
        <w:rPr>
          <w:noProof/>
          <w:lang w:val="en-GB"/>
        </w:rPr>
        <w:t>gout (</w:t>
      </w:r>
      <w:r w:rsidR="00725B31">
        <w:rPr>
          <w:noProof/>
          <w:lang w:val="en-GB"/>
        </w:rPr>
        <w:t>1</w:t>
      </w:r>
      <w:r w:rsidR="00DF604A">
        <w:rPr>
          <w:noProof/>
          <w:lang w:val="en-GB"/>
        </w:rPr>
        <w:t>3</w:t>
      </w:r>
      <w:r w:rsidR="001C0065">
        <w:rPr>
          <w:noProof/>
          <w:lang w:val="en-GB"/>
        </w:rPr>
        <w:t>,1</w:t>
      </w:r>
      <w:r w:rsidR="00DF604A">
        <w:rPr>
          <w:noProof/>
          <w:lang w:val="en-GB"/>
        </w:rPr>
        <w:t>5</w:t>
      </w:r>
      <w:r>
        <w:rPr>
          <w:noProof/>
          <w:lang w:val="en-GB"/>
        </w:rPr>
        <w:t xml:space="preserve">), </w:t>
      </w:r>
      <w:r w:rsidR="008D256B">
        <w:rPr>
          <w:noProof/>
          <w:lang w:val="en-GB"/>
        </w:rPr>
        <w:t xml:space="preserve">obstructive </w:t>
      </w:r>
      <w:r>
        <w:rPr>
          <w:noProof/>
          <w:lang w:val="en-GB"/>
        </w:rPr>
        <w:t>sleep apnea (1</w:t>
      </w:r>
      <w:r w:rsidR="00DF604A">
        <w:rPr>
          <w:noProof/>
          <w:lang w:val="en-GB"/>
        </w:rPr>
        <w:t>6</w:t>
      </w:r>
      <w:r>
        <w:rPr>
          <w:noProof/>
          <w:lang w:val="en-GB"/>
        </w:rPr>
        <w:t xml:space="preserve">) </w:t>
      </w:r>
      <w:r w:rsidR="00E32023">
        <w:rPr>
          <w:noProof/>
          <w:lang w:val="en-GB"/>
        </w:rPr>
        <w:t>and</w:t>
      </w:r>
      <w:r w:rsidR="008D256B">
        <w:rPr>
          <w:noProof/>
          <w:lang w:val="en-GB"/>
        </w:rPr>
        <w:t xml:space="preserve"> </w:t>
      </w:r>
      <w:r>
        <w:rPr>
          <w:noProof/>
          <w:lang w:val="en-GB"/>
        </w:rPr>
        <w:t>arterial hypertension (1</w:t>
      </w:r>
      <w:r w:rsidR="00DF604A">
        <w:rPr>
          <w:noProof/>
          <w:lang w:val="en-GB"/>
        </w:rPr>
        <w:t>7</w:t>
      </w:r>
      <w:r>
        <w:rPr>
          <w:noProof/>
          <w:lang w:val="en-GB"/>
        </w:rPr>
        <w:t>)</w:t>
      </w:r>
      <w:r w:rsidR="00AF000D">
        <w:rPr>
          <w:noProof/>
          <w:lang w:val="en-GB"/>
        </w:rPr>
        <w:t xml:space="preserve">. </w:t>
      </w:r>
      <w:bookmarkStart w:id="6" w:name="_Hlk67655086"/>
      <w:r w:rsidR="00AF000D">
        <w:rPr>
          <w:noProof/>
          <w:lang w:val="en-GB"/>
        </w:rPr>
        <w:t xml:space="preserve">Furthermore, </w:t>
      </w:r>
      <w:r w:rsidR="00274DED">
        <w:rPr>
          <w:lang w:val="en-GB"/>
        </w:rPr>
        <w:t xml:space="preserve">an increased risk </w:t>
      </w:r>
      <w:r w:rsidR="00DE375F">
        <w:rPr>
          <w:lang w:val="en-GB"/>
        </w:rPr>
        <w:t xml:space="preserve">for the development of </w:t>
      </w:r>
      <w:r w:rsidR="004D628F">
        <w:rPr>
          <w:lang w:val="en-GB"/>
        </w:rPr>
        <w:t>CKD</w:t>
      </w:r>
      <w:r w:rsidR="00274DED">
        <w:rPr>
          <w:lang w:val="en-GB"/>
        </w:rPr>
        <w:t xml:space="preserve"> </w:t>
      </w:r>
      <w:r w:rsidR="00DE375F">
        <w:rPr>
          <w:lang w:val="en-GB"/>
        </w:rPr>
        <w:t xml:space="preserve">and </w:t>
      </w:r>
      <w:r w:rsidR="004D628F">
        <w:rPr>
          <w:lang w:val="en-GB"/>
        </w:rPr>
        <w:t xml:space="preserve">ESRD </w:t>
      </w:r>
      <w:r w:rsidR="00DE375F">
        <w:rPr>
          <w:lang w:val="en-GB"/>
        </w:rPr>
        <w:t>is demonstrated (</w:t>
      </w:r>
      <w:r w:rsidR="00984031">
        <w:rPr>
          <w:lang w:val="en-GB"/>
        </w:rPr>
        <w:t>1</w:t>
      </w:r>
      <w:r w:rsidR="00DF604A">
        <w:rPr>
          <w:lang w:val="en-GB"/>
        </w:rPr>
        <w:t>8</w:t>
      </w:r>
      <w:r w:rsidR="00DE375F">
        <w:rPr>
          <w:lang w:val="en-GB"/>
        </w:rPr>
        <w:t xml:space="preserve">) in kidney stone formers. This risk seems to depend on the number of kidney stones, as </w:t>
      </w:r>
      <w:proofErr w:type="spellStart"/>
      <w:r w:rsidR="00DE375F">
        <w:rPr>
          <w:lang w:val="en-GB"/>
        </w:rPr>
        <w:t>Dhondup</w:t>
      </w:r>
      <w:proofErr w:type="spellEnd"/>
      <w:r w:rsidR="00DE375F">
        <w:rPr>
          <w:lang w:val="en-GB"/>
        </w:rPr>
        <w:t xml:space="preserve"> et al</w:t>
      </w:r>
      <w:r w:rsidR="00647720">
        <w:rPr>
          <w:lang w:val="en-GB"/>
        </w:rPr>
        <w:t>.</w:t>
      </w:r>
      <w:r w:rsidR="00DE375F">
        <w:rPr>
          <w:lang w:val="en-GB"/>
        </w:rPr>
        <w:t xml:space="preserve"> reported an increased risk for ESRD </w:t>
      </w:r>
      <w:r w:rsidR="00274DED">
        <w:rPr>
          <w:lang w:val="en-GB"/>
        </w:rPr>
        <w:t>in recurrent stone formers as compared to incident stone formers (</w:t>
      </w:r>
      <w:r w:rsidR="00984031">
        <w:rPr>
          <w:lang w:val="en-GB"/>
        </w:rPr>
        <w:t>1</w:t>
      </w:r>
      <w:r w:rsidR="00DF604A">
        <w:rPr>
          <w:lang w:val="en-GB"/>
        </w:rPr>
        <w:t>9</w:t>
      </w:r>
      <w:r w:rsidR="00274DED">
        <w:rPr>
          <w:lang w:val="en-GB"/>
        </w:rPr>
        <w:t>).</w:t>
      </w:r>
      <w:r w:rsidR="00DE375F">
        <w:rPr>
          <w:lang w:val="en-GB"/>
        </w:rPr>
        <w:t xml:space="preserve"> </w:t>
      </w:r>
      <w:r w:rsidR="00274DED">
        <w:rPr>
          <w:lang w:val="en-GB"/>
        </w:rPr>
        <w:t xml:space="preserve"> </w:t>
      </w:r>
    </w:p>
    <w:bookmarkEnd w:id="6"/>
    <w:p w14:paraId="6F7EFBDD" w14:textId="3717A92F" w:rsidR="00274DED" w:rsidRPr="001641DD" w:rsidRDefault="00274DED" w:rsidP="005769F3">
      <w:pPr>
        <w:spacing w:line="480" w:lineRule="auto"/>
        <w:jc w:val="both"/>
        <w:rPr>
          <w:rFonts w:cstheme="minorHAnsi"/>
          <w:lang w:val="en-GB"/>
        </w:rPr>
      </w:pPr>
      <w:r>
        <w:rPr>
          <w:rFonts w:cstheme="minorHAnsi"/>
          <w:lang w:val="en-GB"/>
        </w:rPr>
        <w:t>Nephrolithiasis</w:t>
      </w:r>
      <w:r w:rsidRPr="00274DED">
        <w:rPr>
          <w:rFonts w:cstheme="minorHAnsi"/>
          <w:lang w:val="en-GB"/>
        </w:rPr>
        <w:t xml:space="preserve"> are not only associated with a number of risk factors for cardiovascular disease, they are also associated with an </w:t>
      </w:r>
      <w:r w:rsidR="00525172">
        <w:rPr>
          <w:rFonts w:cstheme="minorHAnsi"/>
          <w:lang w:val="en-GB"/>
        </w:rPr>
        <w:t>increased</w:t>
      </w:r>
      <w:r w:rsidRPr="00274DED">
        <w:rPr>
          <w:rFonts w:cstheme="minorHAnsi"/>
          <w:lang w:val="en-GB"/>
        </w:rPr>
        <w:t xml:space="preserve"> risk of cardiovascular events, including AMI,</w:t>
      </w:r>
      <w:r w:rsidR="00AF000D">
        <w:rPr>
          <w:rFonts w:cstheme="minorHAnsi"/>
          <w:lang w:val="en-GB"/>
        </w:rPr>
        <w:t xml:space="preserve"> CAD </w:t>
      </w:r>
      <w:r w:rsidRPr="00274DED">
        <w:rPr>
          <w:rFonts w:cstheme="minorHAnsi"/>
          <w:lang w:val="en-GB"/>
        </w:rPr>
        <w:t>,</w:t>
      </w:r>
      <w:r w:rsidR="00AF000D">
        <w:rPr>
          <w:rFonts w:cstheme="minorHAnsi"/>
          <w:lang w:val="en-GB"/>
        </w:rPr>
        <w:t>CABG, PTCA</w:t>
      </w:r>
      <w:r w:rsidRPr="00274DED">
        <w:rPr>
          <w:rFonts w:cstheme="minorHAnsi"/>
          <w:lang w:val="en-GB"/>
        </w:rPr>
        <w:t xml:space="preserve">, </w:t>
      </w:r>
      <w:r w:rsidR="00AF000D">
        <w:rPr>
          <w:rFonts w:cstheme="minorHAnsi"/>
          <w:lang w:val="en-GB"/>
        </w:rPr>
        <w:t xml:space="preserve">PAD </w:t>
      </w:r>
      <w:r w:rsidRPr="00274DED">
        <w:rPr>
          <w:rFonts w:cstheme="minorHAnsi"/>
          <w:lang w:val="en-GB"/>
        </w:rPr>
        <w:t xml:space="preserve">and </w:t>
      </w:r>
      <w:r w:rsidR="00AF000D">
        <w:rPr>
          <w:rFonts w:cstheme="minorHAnsi"/>
          <w:lang w:val="en-GB"/>
        </w:rPr>
        <w:t xml:space="preserve">ischemic </w:t>
      </w:r>
      <w:r w:rsidRPr="00274DED">
        <w:rPr>
          <w:rFonts w:cstheme="minorHAnsi"/>
          <w:lang w:val="en-GB"/>
        </w:rPr>
        <w:t>stroke</w:t>
      </w:r>
      <w:r w:rsidR="00AF000D">
        <w:rPr>
          <w:rFonts w:cstheme="minorHAnsi"/>
          <w:lang w:val="en-GB"/>
        </w:rPr>
        <w:t xml:space="preserve"> (</w:t>
      </w:r>
      <w:r w:rsidR="00DF604A">
        <w:rPr>
          <w:rFonts w:cstheme="minorHAnsi"/>
          <w:lang w:val="en-GB"/>
        </w:rPr>
        <w:t>20</w:t>
      </w:r>
      <w:r w:rsidR="003E5834">
        <w:rPr>
          <w:rFonts w:cstheme="minorHAnsi"/>
          <w:lang w:val="en-GB"/>
        </w:rPr>
        <w:t>-2</w:t>
      </w:r>
      <w:r w:rsidR="00DF604A">
        <w:rPr>
          <w:rFonts w:cstheme="minorHAnsi"/>
          <w:lang w:val="en-GB"/>
        </w:rPr>
        <w:t>3</w:t>
      </w:r>
      <w:r w:rsidR="00AF000D">
        <w:rPr>
          <w:rFonts w:cstheme="minorHAnsi"/>
          <w:lang w:val="en-GB"/>
        </w:rPr>
        <w:t>)</w:t>
      </w:r>
      <w:r w:rsidRPr="00274DED">
        <w:rPr>
          <w:rFonts w:cstheme="minorHAnsi"/>
          <w:lang w:val="en-GB"/>
        </w:rPr>
        <w:t>.</w:t>
      </w:r>
    </w:p>
    <w:p w14:paraId="4310E0C8" w14:textId="20A85883" w:rsidR="00C2564F" w:rsidRPr="006D638E" w:rsidRDefault="00C2564F" w:rsidP="005769F3">
      <w:pPr>
        <w:spacing w:line="480" w:lineRule="auto"/>
        <w:jc w:val="both"/>
        <w:rPr>
          <w:lang w:val="en-GB"/>
        </w:rPr>
      </w:pPr>
      <w:bookmarkStart w:id="7" w:name="_Hlk67649484"/>
      <w:r w:rsidRPr="007300BE">
        <w:rPr>
          <w:rFonts w:cstheme="minorHAnsi"/>
          <w:lang w:val="en-GB"/>
        </w:rPr>
        <w:lastRenderedPageBreak/>
        <w:t xml:space="preserve">Given the reduced quality of life of symptomatic stone formers </w:t>
      </w:r>
      <w:r>
        <w:rPr>
          <w:rFonts w:cstheme="minorHAnsi"/>
          <w:noProof/>
          <w:lang w:val="en-GB"/>
        </w:rPr>
        <w:t>(</w:t>
      </w:r>
      <w:r w:rsidR="00295827">
        <w:rPr>
          <w:rFonts w:cstheme="minorHAnsi"/>
          <w:noProof/>
          <w:lang w:val="en-GB"/>
        </w:rPr>
        <w:t>2</w:t>
      </w:r>
      <w:r w:rsidR="00DF604A">
        <w:rPr>
          <w:rFonts w:cstheme="minorHAnsi"/>
          <w:noProof/>
          <w:lang w:val="en-GB"/>
        </w:rPr>
        <w:t>4</w:t>
      </w:r>
      <w:r w:rsidR="00C22A2E">
        <w:rPr>
          <w:rFonts w:cstheme="minorHAnsi"/>
          <w:noProof/>
          <w:lang w:val="en-GB"/>
        </w:rPr>
        <w:t>)</w:t>
      </w:r>
      <w:r w:rsidR="00C22A2E">
        <w:rPr>
          <w:rFonts w:cstheme="minorHAnsi"/>
          <w:lang w:val="en-GB"/>
        </w:rPr>
        <w:t xml:space="preserve"> and</w:t>
      </w:r>
      <w:r w:rsidR="00C22A2E" w:rsidRPr="007300BE">
        <w:rPr>
          <w:rFonts w:cstheme="minorHAnsi"/>
          <w:lang w:val="en-GB"/>
        </w:rPr>
        <w:t xml:space="preserve"> </w:t>
      </w:r>
      <w:r w:rsidRPr="007300BE">
        <w:rPr>
          <w:rFonts w:cstheme="minorHAnsi"/>
          <w:lang w:val="en-GB"/>
        </w:rPr>
        <w:t>the association with other diseases</w:t>
      </w:r>
      <w:r w:rsidR="00C22A2E">
        <w:rPr>
          <w:rFonts w:cstheme="minorHAnsi"/>
          <w:lang w:val="en-GB"/>
        </w:rPr>
        <w:t>,</w:t>
      </w:r>
      <w:r w:rsidRPr="00B0470F">
        <w:rPr>
          <w:rFonts w:cstheme="minorHAnsi"/>
          <w:lang w:val="en-GB"/>
        </w:rPr>
        <w:t xml:space="preserve"> it can be concluded that nephrolithiasis is both a frequent and</w:t>
      </w:r>
      <w:r w:rsidR="00EB4C57">
        <w:rPr>
          <w:rFonts w:cstheme="minorHAnsi"/>
          <w:lang w:val="en-GB"/>
        </w:rPr>
        <w:t xml:space="preserve"> </w:t>
      </w:r>
      <w:r w:rsidRPr="00B0470F">
        <w:rPr>
          <w:rFonts w:cstheme="minorHAnsi"/>
          <w:lang w:val="en-GB"/>
        </w:rPr>
        <w:t>severe disease.</w:t>
      </w:r>
      <w:r w:rsidRPr="006D638E">
        <w:rPr>
          <w:lang w:val="en-GB"/>
        </w:rPr>
        <w:t xml:space="preserve"> </w:t>
      </w:r>
      <w:bookmarkEnd w:id="7"/>
      <w:r w:rsidR="00EB4C57">
        <w:rPr>
          <w:lang w:val="en-GB"/>
        </w:rPr>
        <w:t>It is therefore important</w:t>
      </w:r>
      <w:r w:rsidRPr="006D638E">
        <w:rPr>
          <w:lang w:val="en-GB"/>
        </w:rPr>
        <w:t xml:space="preserve"> to </w:t>
      </w:r>
      <w:r w:rsidR="00EB4C57">
        <w:rPr>
          <w:lang w:val="en-GB"/>
        </w:rPr>
        <w:t>develop efficient</w:t>
      </w:r>
      <w:r w:rsidR="00EB4C57" w:rsidRPr="006D638E">
        <w:rPr>
          <w:lang w:val="en-GB"/>
        </w:rPr>
        <w:t xml:space="preserve"> preventive </w:t>
      </w:r>
      <w:r w:rsidR="00EB4C57">
        <w:rPr>
          <w:lang w:val="en-GB"/>
        </w:rPr>
        <w:t>measures</w:t>
      </w:r>
      <w:r w:rsidR="00EB4C57" w:rsidRPr="006D638E">
        <w:rPr>
          <w:lang w:val="en-GB"/>
        </w:rPr>
        <w:t xml:space="preserve"> </w:t>
      </w:r>
      <w:r w:rsidR="00EB4C57">
        <w:rPr>
          <w:lang w:val="en-GB"/>
        </w:rPr>
        <w:t xml:space="preserve">capable to </w:t>
      </w:r>
      <w:r w:rsidRPr="006D638E">
        <w:rPr>
          <w:lang w:val="en-GB"/>
        </w:rPr>
        <w:t xml:space="preserve">reduce </w:t>
      </w:r>
      <w:r w:rsidR="00EB4C57">
        <w:rPr>
          <w:lang w:val="en-GB"/>
        </w:rPr>
        <w:t xml:space="preserve">both </w:t>
      </w:r>
      <w:r w:rsidRPr="006D638E">
        <w:rPr>
          <w:lang w:val="en-GB"/>
        </w:rPr>
        <w:t>the recurrence rate and associated health care burden of nephrolithiasis</w:t>
      </w:r>
      <w:r w:rsidR="0014445D">
        <w:rPr>
          <w:lang w:val="en-GB"/>
        </w:rPr>
        <w:t>,</w:t>
      </w:r>
      <w:r w:rsidR="00FF2769">
        <w:rPr>
          <w:lang w:val="en-GB"/>
        </w:rPr>
        <w:t xml:space="preserve"> and to screen for associated diseases</w:t>
      </w:r>
      <w:r w:rsidRPr="006D638E">
        <w:rPr>
          <w:lang w:val="en-GB"/>
        </w:rPr>
        <w:t xml:space="preserve">. </w:t>
      </w:r>
      <w:r w:rsidR="00EB4C57">
        <w:rPr>
          <w:lang w:val="en-GB"/>
        </w:rPr>
        <w:t>This requires</w:t>
      </w:r>
      <w:r w:rsidRPr="006D638E">
        <w:rPr>
          <w:lang w:val="en-GB"/>
        </w:rPr>
        <w:t xml:space="preserve"> to understand the pathophysiological processes </w:t>
      </w:r>
      <w:r w:rsidR="00EB4C57">
        <w:rPr>
          <w:lang w:val="en-GB"/>
        </w:rPr>
        <w:t>underlying</w:t>
      </w:r>
      <w:r w:rsidRPr="006D638E">
        <w:rPr>
          <w:lang w:val="en-GB"/>
        </w:rPr>
        <w:t xml:space="preserve"> stone formation</w:t>
      </w:r>
      <w:r w:rsidR="00EB4C57">
        <w:rPr>
          <w:lang w:val="en-GB"/>
        </w:rPr>
        <w:t xml:space="preserve"> in individual patients</w:t>
      </w:r>
      <w:r w:rsidRPr="006D638E">
        <w:rPr>
          <w:lang w:val="en-GB"/>
        </w:rPr>
        <w:t xml:space="preserve">. </w:t>
      </w:r>
      <w:r w:rsidR="00EB4C57">
        <w:rPr>
          <w:lang w:val="en-GB"/>
        </w:rPr>
        <w:t>All</w:t>
      </w:r>
      <w:r w:rsidRPr="006D638E">
        <w:rPr>
          <w:lang w:val="en-GB"/>
        </w:rPr>
        <w:t xml:space="preserve"> kidney stone formers should </w:t>
      </w:r>
      <w:r w:rsidR="00EB4C57">
        <w:rPr>
          <w:lang w:val="en-GB"/>
        </w:rPr>
        <w:t xml:space="preserve">therefore </w:t>
      </w:r>
      <w:r w:rsidRPr="006D638E">
        <w:rPr>
          <w:lang w:val="en-GB"/>
        </w:rPr>
        <w:t>receive a basic evaluation comprising medical history and physical examination, blood and urinalysis and diagnostic imaging</w:t>
      </w:r>
      <w:r w:rsidR="00EB4C57">
        <w:rPr>
          <w:lang w:val="en-GB"/>
        </w:rPr>
        <w:t>.</w:t>
      </w:r>
      <w:r w:rsidRPr="006D638E">
        <w:rPr>
          <w:lang w:val="en-GB"/>
        </w:rPr>
        <w:t xml:space="preserve"> </w:t>
      </w:r>
      <w:r w:rsidR="00EB4C57">
        <w:rPr>
          <w:lang w:val="en-GB"/>
        </w:rPr>
        <w:t>A</w:t>
      </w:r>
      <w:r w:rsidRPr="006D638E">
        <w:rPr>
          <w:lang w:val="en-GB"/>
        </w:rPr>
        <w:t>ll kidney stones should</w:t>
      </w:r>
      <w:r w:rsidR="00C466AC">
        <w:rPr>
          <w:lang w:val="en-GB"/>
        </w:rPr>
        <w:t xml:space="preserve"> </w:t>
      </w:r>
      <w:r w:rsidR="00EB4C57">
        <w:rPr>
          <w:lang w:val="en-GB"/>
        </w:rPr>
        <w:t>also</w:t>
      </w:r>
      <w:r w:rsidRPr="006D638E">
        <w:rPr>
          <w:lang w:val="en-GB"/>
        </w:rPr>
        <w:t xml:space="preserve"> be examined by means of X-ray diffraction or infrared spectrophotometry, which is considered the gold </w:t>
      </w:r>
      <w:r>
        <w:rPr>
          <w:lang w:val="en-GB"/>
        </w:rPr>
        <w:t>standard</w:t>
      </w:r>
      <w:r w:rsidRPr="006D638E">
        <w:rPr>
          <w:lang w:val="en-GB"/>
        </w:rPr>
        <w:t xml:space="preserve"> </w:t>
      </w:r>
      <w:r>
        <w:rPr>
          <w:noProof/>
          <w:lang w:val="en-GB"/>
        </w:rPr>
        <w:t>(</w:t>
      </w:r>
      <w:r w:rsidR="00952A1E">
        <w:rPr>
          <w:noProof/>
          <w:lang w:val="en-GB"/>
        </w:rPr>
        <w:t>2</w:t>
      </w:r>
      <w:r w:rsidR="00DF604A">
        <w:rPr>
          <w:noProof/>
          <w:lang w:val="en-GB"/>
        </w:rPr>
        <w:t>5</w:t>
      </w:r>
      <w:r>
        <w:rPr>
          <w:noProof/>
          <w:lang w:val="en-GB"/>
        </w:rPr>
        <w:t>)</w:t>
      </w:r>
      <w:r w:rsidRPr="006D638E">
        <w:rPr>
          <w:lang w:val="en-GB"/>
        </w:rPr>
        <w:t>.</w:t>
      </w:r>
    </w:p>
    <w:p w14:paraId="0A33C891" w14:textId="53CEE7F2" w:rsidR="00647720" w:rsidRDefault="00C2564F" w:rsidP="005769F3">
      <w:pPr>
        <w:spacing w:line="480" w:lineRule="auto"/>
        <w:jc w:val="both"/>
        <w:rPr>
          <w:lang w:val="en-GB"/>
        </w:rPr>
      </w:pPr>
      <w:r w:rsidRPr="006D638E">
        <w:rPr>
          <w:lang w:val="en-GB"/>
        </w:rPr>
        <w:t xml:space="preserve">According to the European Association of Urology guidelines, patients </w:t>
      </w:r>
      <w:r w:rsidR="00C466AC">
        <w:rPr>
          <w:lang w:val="en-GB"/>
        </w:rPr>
        <w:t xml:space="preserve">with nephrolithiasis </w:t>
      </w:r>
      <w:r w:rsidRPr="006D638E">
        <w:rPr>
          <w:lang w:val="en-GB"/>
        </w:rPr>
        <w:t xml:space="preserve">should be advised to follow general preventive measures regarding their fluid and dietary intake, which are summarized in table 1. Depending on the results of the metabolic evaluations, other specific preventive measures, which can be found in table 2, should be considered </w:t>
      </w:r>
      <w:r>
        <w:rPr>
          <w:noProof/>
          <w:lang w:val="en-GB"/>
        </w:rPr>
        <w:t>(</w:t>
      </w:r>
      <w:r w:rsidR="00952A1E">
        <w:rPr>
          <w:noProof/>
          <w:lang w:val="en-GB"/>
        </w:rPr>
        <w:t>2</w:t>
      </w:r>
      <w:r w:rsidR="00DF604A">
        <w:rPr>
          <w:noProof/>
          <w:lang w:val="en-GB"/>
        </w:rPr>
        <w:t>5</w:t>
      </w:r>
      <w:r>
        <w:rPr>
          <w:noProof/>
          <w:lang w:val="en-GB"/>
        </w:rPr>
        <w:t>)</w:t>
      </w:r>
      <w:r w:rsidRPr="006D638E">
        <w:rPr>
          <w:lang w:val="en-GB"/>
        </w:rPr>
        <w:t>.</w:t>
      </w:r>
    </w:p>
    <w:p w14:paraId="3DA9A6C9" w14:textId="77777777" w:rsidR="0057187E" w:rsidRPr="0057187E" w:rsidRDefault="0057187E" w:rsidP="0057187E">
      <w:pPr>
        <w:rPr>
          <w:lang w:val="en-GB"/>
        </w:rPr>
      </w:pPr>
      <w:r w:rsidRPr="0057187E">
        <w:rPr>
          <w:u w:val="single"/>
          <w:lang w:val="en-GB"/>
        </w:rPr>
        <w:t>Table 1</w:t>
      </w:r>
      <w:r w:rsidRPr="0057187E">
        <w:rPr>
          <w:lang w:val="en-GB"/>
        </w:rPr>
        <w:t xml:space="preserve"> – general preventive measures</w:t>
      </w:r>
    </w:p>
    <w:tbl>
      <w:tblPr>
        <w:tblStyle w:val="Tabelraster"/>
        <w:tblW w:w="9351" w:type="dxa"/>
        <w:tblLook w:val="04A0" w:firstRow="1" w:lastRow="0" w:firstColumn="1" w:lastColumn="0" w:noHBand="0" w:noVBand="1"/>
      </w:tblPr>
      <w:tblGrid>
        <w:gridCol w:w="2547"/>
        <w:gridCol w:w="6804"/>
      </w:tblGrid>
      <w:tr w:rsidR="0057187E" w:rsidRPr="0057187E" w14:paraId="5DC5BE51" w14:textId="77777777" w:rsidTr="0057187E">
        <w:tc>
          <w:tcPr>
            <w:tcW w:w="9351" w:type="dxa"/>
            <w:gridSpan w:val="2"/>
            <w:shd w:val="clear" w:color="auto" w:fill="000000" w:themeFill="text1"/>
            <w:vAlign w:val="center"/>
          </w:tcPr>
          <w:p w14:paraId="307042F7" w14:textId="77777777" w:rsidR="0057187E" w:rsidRPr="0057187E" w:rsidRDefault="0057187E" w:rsidP="0057187E">
            <w:pPr>
              <w:jc w:val="both"/>
            </w:pPr>
            <w:r w:rsidRPr="0057187E">
              <w:t xml:space="preserve">General </w:t>
            </w:r>
            <w:proofErr w:type="spellStart"/>
            <w:r w:rsidRPr="0057187E">
              <w:t>preventive</w:t>
            </w:r>
            <w:proofErr w:type="spellEnd"/>
            <w:r w:rsidRPr="0057187E">
              <w:t xml:space="preserve"> </w:t>
            </w:r>
            <w:proofErr w:type="spellStart"/>
            <w:r w:rsidRPr="0057187E">
              <w:t>measures</w:t>
            </w:r>
            <w:proofErr w:type="spellEnd"/>
          </w:p>
        </w:tc>
      </w:tr>
      <w:tr w:rsidR="0057187E" w:rsidRPr="00210A36" w14:paraId="7A19878A" w14:textId="77777777" w:rsidTr="0057187E">
        <w:tc>
          <w:tcPr>
            <w:tcW w:w="2547" w:type="dxa"/>
            <w:vAlign w:val="center"/>
          </w:tcPr>
          <w:p w14:paraId="0623194C" w14:textId="77777777" w:rsidR="0057187E" w:rsidRPr="0057187E" w:rsidRDefault="0057187E" w:rsidP="0057187E">
            <w:pPr>
              <w:jc w:val="both"/>
            </w:pPr>
            <w:proofErr w:type="spellStart"/>
            <w:r w:rsidRPr="0057187E">
              <w:t>Fluid</w:t>
            </w:r>
            <w:proofErr w:type="spellEnd"/>
            <w:r w:rsidRPr="0057187E">
              <w:t xml:space="preserve"> intake </w:t>
            </w:r>
            <w:r w:rsidRPr="0057187E">
              <w:rPr>
                <w:noProof/>
              </w:rPr>
              <w:t>(25)</w:t>
            </w:r>
          </w:p>
        </w:tc>
        <w:tc>
          <w:tcPr>
            <w:tcW w:w="6804" w:type="dxa"/>
            <w:vAlign w:val="center"/>
          </w:tcPr>
          <w:p w14:paraId="0B8E335B" w14:textId="77777777" w:rsidR="0057187E" w:rsidRPr="0057187E" w:rsidRDefault="0057187E" w:rsidP="0057187E">
            <w:pPr>
              <w:jc w:val="both"/>
              <w:rPr>
                <w:lang w:val="en-GB"/>
              </w:rPr>
            </w:pPr>
            <w:r w:rsidRPr="0057187E">
              <w:rPr>
                <w:lang w:val="en-GB"/>
              </w:rPr>
              <w:t>Increase diuresis to 2.0-2.5 L/day (</w:t>
            </w:r>
            <w:r w:rsidRPr="0057187E">
              <w:rPr>
                <w:lang w:val="en-US"/>
              </w:rPr>
              <w:t>neutral pH beverages, circadian drinking) (25) for goal specific weight of urine &lt; 1.0</w:t>
            </w:r>
          </w:p>
          <w:p w14:paraId="6954ED1E" w14:textId="77777777" w:rsidR="0057187E" w:rsidRPr="0057187E" w:rsidRDefault="0057187E" w:rsidP="0057187E">
            <w:pPr>
              <w:jc w:val="both"/>
              <w:rPr>
                <w:lang w:val="en-GB"/>
              </w:rPr>
            </w:pPr>
            <w:r w:rsidRPr="0057187E">
              <w:rPr>
                <w:lang w:val="en-GB"/>
              </w:rPr>
              <w:t xml:space="preserve">Balancing of excess fluid loss </w:t>
            </w:r>
          </w:p>
        </w:tc>
      </w:tr>
      <w:tr w:rsidR="0057187E" w:rsidRPr="0057187E" w14:paraId="51186F44" w14:textId="77777777" w:rsidTr="0057187E">
        <w:tc>
          <w:tcPr>
            <w:tcW w:w="2547" w:type="dxa"/>
            <w:vAlign w:val="center"/>
          </w:tcPr>
          <w:p w14:paraId="4071ABB3" w14:textId="77777777" w:rsidR="0057187E" w:rsidRPr="0057187E" w:rsidRDefault="0057187E" w:rsidP="0057187E">
            <w:pPr>
              <w:jc w:val="both"/>
            </w:pPr>
            <w:proofErr w:type="spellStart"/>
            <w:r w:rsidRPr="0057187E">
              <w:t>Nutritional</w:t>
            </w:r>
            <w:proofErr w:type="spellEnd"/>
            <w:r w:rsidRPr="0057187E">
              <w:t xml:space="preserve"> </w:t>
            </w:r>
            <w:proofErr w:type="spellStart"/>
            <w:r w:rsidRPr="0057187E">
              <w:t>advice</w:t>
            </w:r>
            <w:proofErr w:type="spellEnd"/>
            <w:r w:rsidRPr="0057187E">
              <w:t xml:space="preserve"> </w:t>
            </w:r>
            <w:r w:rsidRPr="0057187E">
              <w:rPr>
                <w:noProof/>
              </w:rPr>
              <w:t>( 26-29)</w:t>
            </w:r>
          </w:p>
        </w:tc>
        <w:tc>
          <w:tcPr>
            <w:tcW w:w="6804" w:type="dxa"/>
            <w:vAlign w:val="center"/>
          </w:tcPr>
          <w:p w14:paraId="63D4C186" w14:textId="77777777" w:rsidR="0057187E" w:rsidRPr="0057187E" w:rsidRDefault="0057187E" w:rsidP="0057187E">
            <w:pPr>
              <w:jc w:val="both"/>
              <w:rPr>
                <w:lang w:val="en-US"/>
              </w:rPr>
            </w:pPr>
            <w:r w:rsidRPr="0057187E">
              <w:rPr>
                <w:lang w:val="en-US"/>
              </w:rPr>
              <w:t>Balanced diet with normal calcium content (1.0-1.2g/day, limited NaCl content (4.0-5.0 g/day) (26) and limited animal protein content (0.8-1.0 g/kg per day) (29), rich in vegetables and fibers</w:t>
            </w:r>
          </w:p>
          <w:p w14:paraId="7411272A" w14:textId="77777777" w:rsidR="0057187E" w:rsidRPr="0057187E" w:rsidRDefault="0057187E" w:rsidP="0057187E">
            <w:pPr>
              <w:jc w:val="both"/>
              <w:rPr>
                <w:lang w:val="en-US"/>
              </w:rPr>
            </w:pPr>
            <w:r w:rsidRPr="0057187E">
              <w:rPr>
                <w:lang w:val="en-US"/>
              </w:rPr>
              <w:t>Fructose intake reduction</w:t>
            </w:r>
          </w:p>
        </w:tc>
      </w:tr>
      <w:tr w:rsidR="0057187E" w:rsidRPr="0057187E" w14:paraId="4DB20BD0" w14:textId="77777777" w:rsidTr="0057187E">
        <w:tc>
          <w:tcPr>
            <w:tcW w:w="2547" w:type="dxa"/>
            <w:vAlign w:val="center"/>
          </w:tcPr>
          <w:p w14:paraId="31716B08" w14:textId="77777777" w:rsidR="0057187E" w:rsidRPr="0057187E" w:rsidRDefault="0057187E" w:rsidP="0057187E">
            <w:pPr>
              <w:jc w:val="both"/>
            </w:pPr>
            <w:r w:rsidRPr="0057187E">
              <w:t xml:space="preserve">Lifestyle </w:t>
            </w:r>
            <w:proofErr w:type="spellStart"/>
            <w:r w:rsidRPr="0057187E">
              <w:t>advice</w:t>
            </w:r>
            <w:proofErr w:type="spellEnd"/>
            <w:r w:rsidRPr="0057187E">
              <w:t xml:space="preserve"> </w:t>
            </w:r>
            <w:r w:rsidRPr="0057187E">
              <w:rPr>
                <w:noProof/>
              </w:rPr>
              <w:t>(28, 30)</w:t>
            </w:r>
          </w:p>
        </w:tc>
        <w:tc>
          <w:tcPr>
            <w:tcW w:w="6804" w:type="dxa"/>
            <w:vAlign w:val="center"/>
          </w:tcPr>
          <w:p w14:paraId="6723D7E3" w14:textId="77777777" w:rsidR="0057187E" w:rsidRPr="0057187E" w:rsidRDefault="0057187E" w:rsidP="0057187E">
            <w:pPr>
              <w:jc w:val="both"/>
              <w:rPr>
                <w:lang w:val="en-US"/>
              </w:rPr>
            </w:pPr>
            <w:r w:rsidRPr="0057187E">
              <w:rPr>
                <w:lang w:val="en-US"/>
              </w:rPr>
              <w:t>Target BMI 25.0-28.0 kg/m² (adults)</w:t>
            </w:r>
          </w:p>
          <w:p w14:paraId="651E1254" w14:textId="77777777" w:rsidR="0057187E" w:rsidRPr="0057187E" w:rsidRDefault="0057187E" w:rsidP="0057187E">
            <w:pPr>
              <w:jc w:val="both"/>
              <w:rPr>
                <w:lang w:val="fr-BE"/>
              </w:rPr>
            </w:pPr>
            <w:proofErr w:type="spellStart"/>
            <w:r w:rsidRPr="0057187E">
              <w:rPr>
                <w:lang w:val="fr-BE"/>
              </w:rPr>
              <w:t>Adequate</w:t>
            </w:r>
            <w:proofErr w:type="spellEnd"/>
            <w:r w:rsidRPr="0057187E">
              <w:rPr>
                <w:lang w:val="fr-BE"/>
              </w:rPr>
              <w:t xml:space="preserve"> </w:t>
            </w:r>
            <w:proofErr w:type="spellStart"/>
            <w:r w:rsidRPr="0057187E">
              <w:rPr>
                <w:lang w:val="fr-BE"/>
              </w:rPr>
              <w:t>physical</w:t>
            </w:r>
            <w:proofErr w:type="spellEnd"/>
            <w:r w:rsidRPr="0057187E">
              <w:rPr>
                <w:lang w:val="fr-BE"/>
              </w:rPr>
              <w:t xml:space="preserve"> </w:t>
            </w:r>
            <w:proofErr w:type="spellStart"/>
            <w:r w:rsidRPr="0057187E">
              <w:rPr>
                <w:lang w:val="fr-BE"/>
              </w:rPr>
              <w:t>activity</w:t>
            </w:r>
            <w:proofErr w:type="spellEnd"/>
            <w:r w:rsidRPr="0057187E">
              <w:rPr>
                <w:lang w:val="fr-BE"/>
              </w:rPr>
              <w:t xml:space="preserve"> </w:t>
            </w:r>
          </w:p>
        </w:tc>
      </w:tr>
    </w:tbl>
    <w:p w14:paraId="059955D3" w14:textId="552EDC3B" w:rsidR="0057187E" w:rsidRPr="0057187E" w:rsidRDefault="0057187E" w:rsidP="0057187E">
      <w:pPr>
        <w:spacing w:before="240"/>
        <w:rPr>
          <w:lang w:val="en-GB"/>
        </w:rPr>
      </w:pPr>
      <w:r w:rsidRPr="0057187E">
        <w:rPr>
          <w:u w:val="single"/>
          <w:lang w:val="en-GB"/>
        </w:rPr>
        <w:t>Table 2</w:t>
      </w:r>
      <w:r w:rsidRPr="0057187E">
        <w:rPr>
          <w:lang w:val="en-GB"/>
        </w:rPr>
        <w:t xml:space="preserve"> – specific preventive measures</w:t>
      </w:r>
    </w:p>
    <w:tbl>
      <w:tblPr>
        <w:tblStyle w:val="Tabelraster"/>
        <w:tblW w:w="9351" w:type="dxa"/>
        <w:tblLook w:val="04A0" w:firstRow="1" w:lastRow="0" w:firstColumn="1" w:lastColumn="0" w:noHBand="0" w:noVBand="1"/>
      </w:tblPr>
      <w:tblGrid>
        <w:gridCol w:w="2547"/>
        <w:gridCol w:w="6804"/>
      </w:tblGrid>
      <w:tr w:rsidR="0057187E" w:rsidRPr="0057187E" w14:paraId="1395FDFD" w14:textId="77777777" w:rsidTr="0057187E">
        <w:tc>
          <w:tcPr>
            <w:tcW w:w="9351" w:type="dxa"/>
            <w:gridSpan w:val="2"/>
            <w:shd w:val="clear" w:color="auto" w:fill="000000" w:themeFill="text1"/>
            <w:vAlign w:val="center"/>
          </w:tcPr>
          <w:p w14:paraId="667E3A78" w14:textId="77777777" w:rsidR="0057187E" w:rsidRPr="0057187E" w:rsidRDefault="0057187E" w:rsidP="0057187E">
            <w:pPr>
              <w:jc w:val="both"/>
              <w:rPr>
                <w:lang w:val="fr-BE"/>
              </w:rPr>
            </w:pPr>
            <w:proofErr w:type="spellStart"/>
            <w:r w:rsidRPr="0057187E">
              <w:rPr>
                <w:lang w:val="fr-BE"/>
              </w:rPr>
              <w:t>Specific</w:t>
            </w:r>
            <w:proofErr w:type="spellEnd"/>
            <w:r w:rsidRPr="0057187E">
              <w:rPr>
                <w:lang w:val="fr-BE"/>
              </w:rPr>
              <w:t xml:space="preserve"> </w:t>
            </w:r>
            <w:proofErr w:type="spellStart"/>
            <w:r w:rsidRPr="0057187E">
              <w:rPr>
                <w:lang w:val="fr-BE"/>
              </w:rPr>
              <w:t>preventive</w:t>
            </w:r>
            <w:proofErr w:type="spellEnd"/>
            <w:r w:rsidRPr="0057187E">
              <w:rPr>
                <w:lang w:val="fr-BE"/>
              </w:rPr>
              <w:t xml:space="preserve"> </w:t>
            </w:r>
            <w:proofErr w:type="spellStart"/>
            <w:r w:rsidRPr="0057187E">
              <w:rPr>
                <w:lang w:val="fr-BE"/>
              </w:rPr>
              <w:t>measures</w:t>
            </w:r>
            <w:proofErr w:type="spellEnd"/>
            <w:r w:rsidRPr="0057187E">
              <w:rPr>
                <w:lang w:val="fr-BE"/>
              </w:rPr>
              <w:t xml:space="preserve"> </w:t>
            </w:r>
          </w:p>
        </w:tc>
      </w:tr>
      <w:tr w:rsidR="0057187E" w:rsidRPr="0057187E" w14:paraId="2A20C5F4" w14:textId="77777777" w:rsidTr="0057187E">
        <w:tc>
          <w:tcPr>
            <w:tcW w:w="2547" w:type="dxa"/>
            <w:shd w:val="clear" w:color="auto" w:fill="D0CECE" w:themeFill="background2" w:themeFillShade="E6"/>
            <w:vAlign w:val="center"/>
          </w:tcPr>
          <w:p w14:paraId="7C3D9811" w14:textId="77777777" w:rsidR="0057187E" w:rsidRPr="0057187E" w:rsidRDefault="0057187E" w:rsidP="0057187E">
            <w:pPr>
              <w:jc w:val="both"/>
              <w:rPr>
                <w:lang w:val="fr-BE"/>
              </w:rPr>
            </w:pPr>
            <w:r w:rsidRPr="0057187E">
              <w:rPr>
                <w:lang w:val="fr-BE"/>
              </w:rPr>
              <w:t xml:space="preserve">Stone </w:t>
            </w:r>
            <w:proofErr w:type="spellStart"/>
            <w:r w:rsidRPr="0057187E">
              <w:rPr>
                <w:lang w:val="fr-BE"/>
              </w:rPr>
              <w:t>analysis</w:t>
            </w:r>
            <w:proofErr w:type="spellEnd"/>
            <w:r w:rsidRPr="0057187E">
              <w:rPr>
                <w:lang w:val="fr-BE"/>
              </w:rPr>
              <w:t xml:space="preserve"> </w:t>
            </w:r>
          </w:p>
        </w:tc>
        <w:tc>
          <w:tcPr>
            <w:tcW w:w="6804" w:type="dxa"/>
            <w:shd w:val="clear" w:color="auto" w:fill="D0CECE" w:themeFill="background2" w:themeFillShade="E6"/>
            <w:vAlign w:val="center"/>
          </w:tcPr>
          <w:p w14:paraId="61FFB71D" w14:textId="77777777" w:rsidR="0057187E" w:rsidRPr="0057187E" w:rsidRDefault="0057187E" w:rsidP="0057187E">
            <w:pPr>
              <w:jc w:val="both"/>
              <w:rPr>
                <w:lang w:val="fr-BE"/>
              </w:rPr>
            </w:pPr>
            <w:proofErr w:type="spellStart"/>
            <w:r w:rsidRPr="0057187E">
              <w:rPr>
                <w:lang w:val="fr-BE"/>
              </w:rPr>
              <w:t>Suggested</w:t>
            </w:r>
            <w:proofErr w:type="spellEnd"/>
            <w:r w:rsidRPr="0057187E">
              <w:rPr>
                <w:lang w:val="fr-BE"/>
              </w:rPr>
              <w:t xml:space="preserve"> </w:t>
            </w:r>
            <w:proofErr w:type="spellStart"/>
            <w:r w:rsidRPr="0057187E">
              <w:rPr>
                <w:lang w:val="fr-BE"/>
              </w:rPr>
              <w:t>preventive</w:t>
            </w:r>
            <w:proofErr w:type="spellEnd"/>
            <w:r w:rsidRPr="0057187E">
              <w:rPr>
                <w:lang w:val="fr-BE"/>
              </w:rPr>
              <w:t xml:space="preserve"> </w:t>
            </w:r>
            <w:proofErr w:type="spellStart"/>
            <w:r w:rsidRPr="0057187E">
              <w:rPr>
                <w:lang w:val="fr-BE"/>
              </w:rPr>
              <w:t>measures</w:t>
            </w:r>
            <w:proofErr w:type="spellEnd"/>
            <w:r w:rsidRPr="0057187E">
              <w:rPr>
                <w:lang w:val="fr-BE"/>
              </w:rPr>
              <w:t xml:space="preserve"> </w:t>
            </w:r>
          </w:p>
        </w:tc>
      </w:tr>
      <w:tr w:rsidR="0057187E" w:rsidRPr="0057187E" w14:paraId="1C473B7D" w14:textId="77777777" w:rsidTr="0057187E">
        <w:tc>
          <w:tcPr>
            <w:tcW w:w="2547" w:type="dxa"/>
            <w:vAlign w:val="center"/>
          </w:tcPr>
          <w:p w14:paraId="4656E321" w14:textId="77777777" w:rsidR="0057187E" w:rsidRPr="0057187E" w:rsidRDefault="0057187E" w:rsidP="0057187E">
            <w:pPr>
              <w:jc w:val="both"/>
              <w:rPr>
                <w:lang w:val="en-GB"/>
              </w:rPr>
            </w:pPr>
            <w:r w:rsidRPr="0057187E">
              <w:rPr>
                <w:lang w:val="en-GB"/>
              </w:rPr>
              <w:t>Calcium oxalate stones  (whewellite/weddellite)</w:t>
            </w:r>
          </w:p>
        </w:tc>
        <w:tc>
          <w:tcPr>
            <w:tcW w:w="6804" w:type="dxa"/>
            <w:vAlign w:val="center"/>
          </w:tcPr>
          <w:p w14:paraId="0E543964" w14:textId="77777777" w:rsidR="0057187E" w:rsidRPr="0057187E" w:rsidRDefault="0057187E" w:rsidP="0057187E">
            <w:pPr>
              <w:jc w:val="both"/>
              <w:rPr>
                <w:lang w:val="en-US"/>
              </w:rPr>
            </w:pPr>
            <w:r w:rsidRPr="0057187E">
              <w:rPr>
                <w:lang w:val="en-US"/>
              </w:rPr>
              <w:t>General preventive measures + low oxalate diet</w:t>
            </w:r>
          </w:p>
          <w:p w14:paraId="502A60FB" w14:textId="77777777" w:rsidR="0057187E" w:rsidRPr="0057187E" w:rsidRDefault="0057187E" w:rsidP="0057187E">
            <w:pPr>
              <w:jc w:val="both"/>
              <w:rPr>
                <w:lang w:val="en-US"/>
              </w:rPr>
            </w:pPr>
            <w:r w:rsidRPr="0057187E">
              <w:rPr>
                <w:lang w:val="en-US"/>
              </w:rPr>
              <w:t>Calcium supplements with meals if persistent hyperoxaluria despite dietary modifications</w:t>
            </w:r>
          </w:p>
          <w:p w14:paraId="04D76B1B" w14:textId="77777777" w:rsidR="0057187E" w:rsidRPr="0057187E" w:rsidRDefault="0057187E" w:rsidP="0057187E">
            <w:pPr>
              <w:jc w:val="both"/>
              <w:rPr>
                <w:lang w:val="en-GB"/>
              </w:rPr>
            </w:pPr>
            <w:r w:rsidRPr="0057187E">
              <w:rPr>
                <w:lang w:val="en-US"/>
              </w:rPr>
              <w:t xml:space="preserve">Thiazide or thiazide-like agents if persistent hypercalciuria despite dietary modifications </w:t>
            </w:r>
            <w:r w:rsidRPr="0057187E">
              <w:rPr>
                <w:noProof/>
                <w:lang w:val="en-US"/>
              </w:rPr>
              <w:t>(31-34)</w:t>
            </w:r>
          </w:p>
          <w:p w14:paraId="5734B031" w14:textId="77777777" w:rsidR="0057187E" w:rsidRPr="0057187E" w:rsidRDefault="0057187E" w:rsidP="0057187E">
            <w:pPr>
              <w:jc w:val="both"/>
              <w:rPr>
                <w:lang w:val="en-GB"/>
              </w:rPr>
            </w:pPr>
            <w:r w:rsidRPr="0057187E">
              <w:rPr>
                <w:lang w:val="en-GB"/>
              </w:rPr>
              <w:t xml:space="preserve">Alkalinizing agents if persistent hypercalciuria or hypocitraturia </w:t>
            </w:r>
            <w:r w:rsidRPr="0057187E">
              <w:rPr>
                <w:noProof/>
                <w:lang w:val="en-GB"/>
              </w:rPr>
              <w:t>(35-37)</w:t>
            </w:r>
          </w:p>
          <w:p w14:paraId="1B582949" w14:textId="77777777" w:rsidR="0057187E" w:rsidRPr="0057187E" w:rsidRDefault="0057187E" w:rsidP="0057187E">
            <w:pPr>
              <w:jc w:val="both"/>
              <w:rPr>
                <w:lang w:val="en-GB"/>
              </w:rPr>
            </w:pPr>
            <w:r w:rsidRPr="0057187E">
              <w:rPr>
                <w:lang w:val="en-GB"/>
              </w:rPr>
              <w:t xml:space="preserve">Allopurinol if hyperuricosuria and hyperuricemia </w:t>
            </w:r>
            <w:r w:rsidRPr="0057187E">
              <w:rPr>
                <w:noProof/>
                <w:lang w:val="en-GB"/>
              </w:rPr>
              <w:t>(38)</w:t>
            </w:r>
          </w:p>
          <w:p w14:paraId="20349510" w14:textId="77777777" w:rsidR="0057187E" w:rsidRPr="0057187E" w:rsidRDefault="0057187E" w:rsidP="0057187E">
            <w:pPr>
              <w:jc w:val="both"/>
              <w:rPr>
                <w:lang w:val="en-GB"/>
              </w:rPr>
            </w:pPr>
            <w:r w:rsidRPr="0057187E">
              <w:rPr>
                <w:lang w:val="en-GB"/>
              </w:rPr>
              <w:t xml:space="preserve">Magnesium if hypomagnesuria </w:t>
            </w:r>
          </w:p>
        </w:tc>
      </w:tr>
      <w:tr w:rsidR="0057187E" w:rsidRPr="00210A36" w14:paraId="3174960A" w14:textId="77777777" w:rsidTr="0057187E">
        <w:tc>
          <w:tcPr>
            <w:tcW w:w="2547" w:type="dxa"/>
            <w:vAlign w:val="center"/>
          </w:tcPr>
          <w:p w14:paraId="73C1F87C" w14:textId="77777777" w:rsidR="0057187E" w:rsidRPr="0057187E" w:rsidRDefault="0057187E" w:rsidP="0057187E">
            <w:pPr>
              <w:jc w:val="both"/>
              <w:rPr>
                <w:lang w:val="fr-BE"/>
              </w:rPr>
            </w:pPr>
            <w:r w:rsidRPr="0057187E">
              <w:rPr>
                <w:lang w:val="fr-BE"/>
              </w:rPr>
              <w:lastRenderedPageBreak/>
              <w:t xml:space="preserve">Calcium phosphate stones </w:t>
            </w:r>
          </w:p>
        </w:tc>
        <w:tc>
          <w:tcPr>
            <w:tcW w:w="6804" w:type="dxa"/>
            <w:vAlign w:val="center"/>
          </w:tcPr>
          <w:p w14:paraId="73669139" w14:textId="77777777" w:rsidR="0057187E" w:rsidRPr="0057187E" w:rsidRDefault="0057187E" w:rsidP="0057187E">
            <w:pPr>
              <w:jc w:val="both"/>
              <w:rPr>
                <w:lang w:val="en-US"/>
              </w:rPr>
            </w:pPr>
            <w:r w:rsidRPr="0057187E">
              <w:rPr>
                <w:lang w:val="en-US"/>
              </w:rPr>
              <w:t xml:space="preserve">General preventive measures </w:t>
            </w:r>
          </w:p>
          <w:p w14:paraId="40DE325D" w14:textId="77777777" w:rsidR="0057187E" w:rsidRPr="0057187E" w:rsidRDefault="0057187E" w:rsidP="0057187E">
            <w:pPr>
              <w:jc w:val="both"/>
              <w:rPr>
                <w:lang w:val="en-US"/>
              </w:rPr>
            </w:pPr>
            <w:r w:rsidRPr="0057187E">
              <w:rPr>
                <w:lang w:val="en-US"/>
              </w:rPr>
              <w:t xml:space="preserve">Thiazide or thiazide-like agents if persistent hypercalciuria despite dietary modifications </w:t>
            </w:r>
            <w:r w:rsidRPr="0057187E">
              <w:rPr>
                <w:noProof/>
                <w:lang w:val="en-US"/>
              </w:rPr>
              <w:t>(31-34)</w:t>
            </w:r>
          </w:p>
          <w:p w14:paraId="273F00F7" w14:textId="77777777" w:rsidR="0057187E" w:rsidRPr="0057187E" w:rsidRDefault="0057187E" w:rsidP="0057187E">
            <w:pPr>
              <w:jc w:val="both"/>
              <w:rPr>
                <w:lang w:val="en-US"/>
              </w:rPr>
            </w:pPr>
            <w:r w:rsidRPr="0057187E">
              <w:rPr>
                <w:lang w:val="en-US"/>
              </w:rPr>
              <w:t xml:space="preserve">Urinary acidification if inadequately high urine pH </w:t>
            </w:r>
          </w:p>
          <w:p w14:paraId="3714BBC7" w14:textId="77777777" w:rsidR="0057187E" w:rsidRPr="0057187E" w:rsidRDefault="0057187E" w:rsidP="0057187E">
            <w:pPr>
              <w:jc w:val="both"/>
              <w:rPr>
                <w:lang w:val="en-US"/>
              </w:rPr>
            </w:pPr>
            <w:r w:rsidRPr="0057187E">
              <w:rPr>
                <w:lang w:val="en-US"/>
              </w:rPr>
              <w:t xml:space="preserve">Antibiotics if urinary tract infection </w:t>
            </w:r>
          </w:p>
        </w:tc>
      </w:tr>
      <w:tr w:rsidR="0057187E" w:rsidRPr="00210A36" w14:paraId="202EC5EC" w14:textId="77777777" w:rsidTr="0057187E">
        <w:tc>
          <w:tcPr>
            <w:tcW w:w="2547" w:type="dxa"/>
            <w:vAlign w:val="center"/>
          </w:tcPr>
          <w:p w14:paraId="60ACC1D1" w14:textId="77777777" w:rsidR="0057187E" w:rsidRPr="0057187E" w:rsidRDefault="0057187E" w:rsidP="0057187E">
            <w:pPr>
              <w:jc w:val="both"/>
              <w:rPr>
                <w:lang w:val="en-GB"/>
              </w:rPr>
            </w:pPr>
            <w:r w:rsidRPr="0057187E">
              <w:rPr>
                <w:lang w:val="en-GB"/>
              </w:rPr>
              <w:t xml:space="preserve">Uric acid stones </w:t>
            </w:r>
          </w:p>
        </w:tc>
        <w:tc>
          <w:tcPr>
            <w:tcW w:w="6804" w:type="dxa"/>
            <w:vAlign w:val="center"/>
          </w:tcPr>
          <w:p w14:paraId="5E945401" w14:textId="77777777" w:rsidR="0057187E" w:rsidRPr="0057187E" w:rsidRDefault="0057187E" w:rsidP="0057187E">
            <w:pPr>
              <w:jc w:val="both"/>
              <w:rPr>
                <w:lang w:val="en-US"/>
              </w:rPr>
            </w:pPr>
            <w:r w:rsidRPr="0057187E">
              <w:rPr>
                <w:lang w:val="en-US"/>
              </w:rPr>
              <w:t xml:space="preserve">General preventive measures </w:t>
            </w:r>
          </w:p>
          <w:p w14:paraId="7B678579" w14:textId="77777777" w:rsidR="0057187E" w:rsidRPr="0057187E" w:rsidRDefault="0057187E" w:rsidP="0057187E">
            <w:pPr>
              <w:jc w:val="both"/>
              <w:rPr>
                <w:lang w:val="en-US"/>
              </w:rPr>
            </w:pPr>
            <w:r w:rsidRPr="0057187E">
              <w:rPr>
                <w:lang w:val="en-US"/>
              </w:rPr>
              <w:t>Purine intake reduction and allopurinol  if persistent hyperuricosuria (38)</w:t>
            </w:r>
          </w:p>
          <w:p w14:paraId="4D786E5D" w14:textId="77777777" w:rsidR="0057187E" w:rsidRPr="0057187E" w:rsidRDefault="0057187E" w:rsidP="0057187E">
            <w:pPr>
              <w:jc w:val="both"/>
              <w:rPr>
                <w:lang w:val="en-GB"/>
              </w:rPr>
            </w:pPr>
            <w:r w:rsidRPr="0057187E">
              <w:rPr>
                <w:lang w:val="en-GB"/>
              </w:rPr>
              <w:t xml:space="preserve">Alkalinizing agents if inadequate urine pH (target pH 6.2-6.8 for prevention, 6.5-7.2 for </w:t>
            </w:r>
            <w:proofErr w:type="spellStart"/>
            <w:r w:rsidRPr="0057187E">
              <w:rPr>
                <w:lang w:val="en-GB"/>
              </w:rPr>
              <w:t>chemolysis</w:t>
            </w:r>
            <w:proofErr w:type="spellEnd"/>
            <w:r w:rsidRPr="0057187E">
              <w:rPr>
                <w:lang w:val="en-GB"/>
              </w:rPr>
              <w:t xml:space="preserve">) </w:t>
            </w:r>
            <w:r w:rsidRPr="0057187E">
              <w:rPr>
                <w:noProof/>
                <w:lang w:val="en-US"/>
              </w:rPr>
              <w:t>(39)</w:t>
            </w:r>
          </w:p>
        </w:tc>
      </w:tr>
      <w:tr w:rsidR="0057187E" w:rsidRPr="00210A36" w14:paraId="1DAAD047" w14:textId="77777777" w:rsidTr="0057187E">
        <w:tc>
          <w:tcPr>
            <w:tcW w:w="2547" w:type="dxa"/>
            <w:vAlign w:val="center"/>
          </w:tcPr>
          <w:p w14:paraId="3D6BA3EF" w14:textId="77777777" w:rsidR="0057187E" w:rsidRPr="0057187E" w:rsidRDefault="0057187E" w:rsidP="0057187E">
            <w:pPr>
              <w:jc w:val="both"/>
              <w:rPr>
                <w:lang w:val="en-GB"/>
              </w:rPr>
            </w:pPr>
            <w:r w:rsidRPr="0057187E">
              <w:rPr>
                <w:lang w:val="en-GB"/>
              </w:rPr>
              <w:t xml:space="preserve">Ammonium urate stones </w:t>
            </w:r>
          </w:p>
        </w:tc>
        <w:tc>
          <w:tcPr>
            <w:tcW w:w="6804" w:type="dxa"/>
            <w:vAlign w:val="center"/>
          </w:tcPr>
          <w:p w14:paraId="657CE050" w14:textId="77777777" w:rsidR="0057187E" w:rsidRPr="0057187E" w:rsidRDefault="0057187E" w:rsidP="0057187E">
            <w:pPr>
              <w:jc w:val="both"/>
              <w:rPr>
                <w:lang w:val="en-US"/>
              </w:rPr>
            </w:pPr>
            <w:r w:rsidRPr="0057187E">
              <w:rPr>
                <w:lang w:val="en-US"/>
              </w:rPr>
              <w:t xml:space="preserve">General preventive measures </w:t>
            </w:r>
          </w:p>
          <w:p w14:paraId="02B64AC3" w14:textId="77777777" w:rsidR="0057187E" w:rsidRPr="0057187E" w:rsidRDefault="0057187E" w:rsidP="0057187E">
            <w:pPr>
              <w:jc w:val="both"/>
              <w:rPr>
                <w:lang w:val="en-US"/>
              </w:rPr>
            </w:pPr>
            <w:r w:rsidRPr="0057187E">
              <w:rPr>
                <w:lang w:val="en-US"/>
              </w:rPr>
              <w:t>Antibiotics if urinary tract infection</w:t>
            </w:r>
          </w:p>
          <w:p w14:paraId="265ECB52" w14:textId="77777777" w:rsidR="0057187E" w:rsidRPr="0057187E" w:rsidRDefault="0057187E" w:rsidP="0057187E">
            <w:pPr>
              <w:jc w:val="both"/>
              <w:rPr>
                <w:lang w:val="en-US"/>
              </w:rPr>
            </w:pPr>
            <w:r w:rsidRPr="0057187E">
              <w:rPr>
                <w:lang w:val="en-US"/>
              </w:rPr>
              <w:t>Urinary acidification if inadequately high urine pH</w:t>
            </w:r>
          </w:p>
        </w:tc>
      </w:tr>
      <w:tr w:rsidR="0057187E" w:rsidRPr="00210A36" w14:paraId="68E4C504" w14:textId="77777777" w:rsidTr="0057187E">
        <w:tc>
          <w:tcPr>
            <w:tcW w:w="2547" w:type="dxa"/>
            <w:vAlign w:val="center"/>
          </w:tcPr>
          <w:p w14:paraId="3D04E2D9" w14:textId="77777777" w:rsidR="0057187E" w:rsidRPr="0057187E" w:rsidRDefault="0057187E" w:rsidP="0057187E">
            <w:pPr>
              <w:jc w:val="both"/>
            </w:pPr>
            <w:proofErr w:type="spellStart"/>
            <w:r w:rsidRPr="0057187E">
              <w:t>Struvite</w:t>
            </w:r>
            <w:proofErr w:type="spellEnd"/>
            <w:r w:rsidRPr="0057187E">
              <w:t xml:space="preserve"> </w:t>
            </w:r>
            <w:proofErr w:type="spellStart"/>
            <w:r w:rsidRPr="0057187E">
              <w:t>and</w:t>
            </w:r>
            <w:proofErr w:type="spellEnd"/>
            <w:r w:rsidRPr="0057187E">
              <w:t xml:space="preserve"> </w:t>
            </w:r>
            <w:proofErr w:type="spellStart"/>
            <w:r w:rsidRPr="0057187E">
              <w:t>infection</w:t>
            </w:r>
            <w:proofErr w:type="spellEnd"/>
            <w:r w:rsidRPr="0057187E">
              <w:t xml:space="preserve"> </w:t>
            </w:r>
            <w:proofErr w:type="spellStart"/>
            <w:r w:rsidRPr="0057187E">
              <w:t>stones</w:t>
            </w:r>
            <w:proofErr w:type="spellEnd"/>
            <w:r w:rsidRPr="0057187E">
              <w:t xml:space="preserve"> </w:t>
            </w:r>
          </w:p>
        </w:tc>
        <w:tc>
          <w:tcPr>
            <w:tcW w:w="6804" w:type="dxa"/>
            <w:vAlign w:val="center"/>
          </w:tcPr>
          <w:p w14:paraId="7F7F7B5D" w14:textId="77777777" w:rsidR="0057187E" w:rsidRPr="0057187E" w:rsidRDefault="0057187E" w:rsidP="0057187E">
            <w:pPr>
              <w:jc w:val="both"/>
              <w:rPr>
                <w:lang w:val="en-US"/>
              </w:rPr>
            </w:pPr>
            <w:r w:rsidRPr="0057187E">
              <w:rPr>
                <w:lang w:val="en-US"/>
              </w:rPr>
              <w:t xml:space="preserve">General preventive measures </w:t>
            </w:r>
          </w:p>
          <w:p w14:paraId="58ACAB80" w14:textId="77777777" w:rsidR="0057187E" w:rsidRPr="0057187E" w:rsidRDefault="0057187E" w:rsidP="0057187E">
            <w:pPr>
              <w:jc w:val="both"/>
              <w:rPr>
                <w:lang w:val="en-US"/>
              </w:rPr>
            </w:pPr>
            <w:r w:rsidRPr="0057187E">
              <w:rPr>
                <w:lang w:val="en-US"/>
              </w:rPr>
              <w:t xml:space="preserve">Complete surgical stone removal </w:t>
            </w:r>
          </w:p>
          <w:p w14:paraId="733C2C22" w14:textId="77777777" w:rsidR="0057187E" w:rsidRPr="0057187E" w:rsidRDefault="0057187E" w:rsidP="0057187E">
            <w:pPr>
              <w:jc w:val="both"/>
              <w:rPr>
                <w:lang w:val="en-US"/>
              </w:rPr>
            </w:pPr>
            <w:r w:rsidRPr="0057187E">
              <w:rPr>
                <w:lang w:val="en-US"/>
              </w:rPr>
              <w:t xml:space="preserve">Short- or long-term antibiotic treatment </w:t>
            </w:r>
          </w:p>
          <w:p w14:paraId="6675FE00" w14:textId="77777777" w:rsidR="0057187E" w:rsidRPr="0057187E" w:rsidRDefault="0057187E" w:rsidP="0057187E">
            <w:pPr>
              <w:jc w:val="both"/>
              <w:rPr>
                <w:lang w:val="en-US"/>
              </w:rPr>
            </w:pPr>
            <w:r w:rsidRPr="0057187E">
              <w:rPr>
                <w:lang w:val="en-US"/>
              </w:rPr>
              <w:t xml:space="preserve">Acidification if inadequate urine pH </w:t>
            </w:r>
          </w:p>
          <w:p w14:paraId="579E2455" w14:textId="77777777" w:rsidR="0057187E" w:rsidRPr="0057187E" w:rsidRDefault="0057187E" w:rsidP="0057187E">
            <w:pPr>
              <w:jc w:val="both"/>
              <w:rPr>
                <w:lang w:val="en-US"/>
              </w:rPr>
            </w:pPr>
            <w:r w:rsidRPr="0057187E">
              <w:rPr>
                <w:lang w:val="en-US"/>
              </w:rPr>
              <w:t xml:space="preserve">Urease inhibition if presence of urease-producing germs </w:t>
            </w:r>
          </w:p>
        </w:tc>
      </w:tr>
      <w:tr w:rsidR="0057187E" w:rsidRPr="00210A36" w14:paraId="6BB2DD82" w14:textId="77777777" w:rsidTr="0057187E">
        <w:tc>
          <w:tcPr>
            <w:tcW w:w="2547" w:type="dxa"/>
            <w:vAlign w:val="center"/>
          </w:tcPr>
          <w:p w14:paraId="2B671920" w14:textId="77777777" w:rsidR="0057187E" w:rsidRPr="0057187E" w:rsidRDefault="0057187E" w:rsidP="0057187E">
            <w:pPr>
              <w:jc w:val="both"/>
            </w:pPr>
            <w:proofErr w:type="spellStart"/>
            <w:r w:rsidRPr="0057187E">
              <w:t>Cystine</w:t>
            </w:r>
            <w:proofErr w:type="spellEnd"/>
            <w:r w:rsidRPr="0057187E">
              <w:t xml:space="preserve"> </w:t>
            </w:r>
            <w:proofErr w:type="spellStart"/>
            <w:r w:rsidRPr="0057187E">
              <w:t>stones</w:t>
            </w:r>
            <w:proofErr w:type="spellEnd"/>
            <w:r w:rsidRPr="0057187E">
              <w:t xml:space="preserve"> </w:t>
            </w:r>
          </w:p>
        </w:tc>
        <w:tc>
          <w:tcPr>
            <w:tcW w:w="6804" w:type="dxa"/>
            <w:vAlign w:val="center"/>
          </w:tcPr>
          <w:p w14:paraId="2D3B9EF8" w14:textId="77777777" w:rsidR="0057187E" w:rsidRPr="0057187E" w:rsidRDefault="0057187E" w:rsidP="0057187E">
            <w:pPr>
              <w:jc w:val="both"/>
              <w:rPr>
                <w:lang w:val="en-GB"/>
              </w:rPr>
            </w:pPr>
            <w:r w:rsidRPr="0057187E">
              <w:rPr>
                <w:lang w:val="en-GB"/>
              </w:rPr>
              <w:t xml:space="preserve">High fluid intake &gt; 3.0L/day + low methionine diet </w:t>
            </w:r>
          </w:p>
          <w:p w14:paraId="634E485D" w14:textId="77777777" w:rsidR="0057187E" w:rsidRPr="0057187E" w:rsidRDefault="0057187E" w:rsidP="0057187E">
            <w:pPr>
              <w:jc w:val="both"/>
              <w:rPr>
                <w:lang w:val="en-GB"/>
              </w:rPr>
            </w:pPr>
            <w:r w:rsidRPr="0057187E">
              <w:rPr>
                <w:lang w:val="en-GB"/>
              </w:rPr>
              <w:t xml:space="preserve">Alkalinizing agents if inadequate urine pH (target pH: 7.5-8.0) </w:t>
            </w:r>
            <w:r w:rsidRPr="0057187E">
              <w:rPr>
                <w:noProof/>
                <w:lang w:val="en-GB"/>
              </w:rPr>
              <w:t>(35,40)</w:t>
            </w:r>
          </w:p>
          <w:p w14:paraId="4D3B016F" w14:textId="77777777" w:rsidR="0057187E" w:rsidRPr="0057187E" w:rsidRDefault="0057187E" w:rsidP="0057187E">
            <w:pPr>
              <w:jc w:val="both"/>
              <w:rPr>
                <w:lang w:val="en-US"/>
              </w:rPr>
            </w:pPr>
            <w:r w:rsidRPr="0057187E">
              <w:rPr>
                <w:lang w:val="en-US"/>
              </w:rPr>
              <w:t xml:space="preserve">Tiopronin for complex formation with cystine if other measures are insufficient or patients with cystine excretion &gt;3.0 mmol/day </w:t>
            </w:r>
            <w:r w:rsidRPr="0057187E">
              <w:rPr>
                <w:noProof/>
                <w:lang w:val="en-US"/>
              </w:rPr>
              <w:t>(40)</w:t>
            </w:r>
          </w:p>
        </w:tc>
      </w:tr>
    </w:tbl>
    <w:p w14:paraId="47E8AA6E" w14:textId="77777777" w:rsidR="0057187E" w:rsidRPr="00800B07" w:rsidRDefault="0057187E" w:rsidP="0057187E">
      <w:pPr>
        <w:rPr>
          <w:sz w:val="20"/>
          <w:szCs w:val="20"/>
          <w:u w:val="single"/>
          <w:lang w:val="en-GB"/>
        </w:rPr>
      </w:pPr>
    </w:p>
    <w:p w14:paraId="7A6E25B8" w14:textId="5C2D887D" w:rsidR="00C2564F" w:rsidRPr="00D472DE" w:rsidRDefault="00E47439" w:rsidP="005769F3">
      <w:pPr>
        <w:spacing w:line="480" w:lineRule="auto"/>
        <w:jc w:val="both"/>
        <w:rPr>
          <w:lang w:val="en-GB"/>
        </w:rPr>
      </w:pPr>
      <w:r>
        <w:rPr>
          <w:lang w:val="en-GB"/>
        </w:rPr>
        <w:t>A</w:t>
      </w:r>
      <w:r w:rsidR="00D472DE" w:rsidRPr="00D472DE">
        <w:rPr>
          <w:lang w:val="en-GB"/>
        </w:rPr>
        <w:t xml:space="preserve"> prospective randomised study </w:t>
      </w:r>
      <w:r>
        <w:rPr>
          <w:lang w:val="en-GB"/>
        </w:rPr>
        <w:t xml:space="preserve">by </w:t>
      </w:r>
      <w:proofErr w:type="spellStart"/>
      <w:r>
        <w:rPr>
          <w:lang w:val="en-GB"/>
        </w:rPr>
        <w:t>Borghi</w:t>
      </w:r>
      <w:proofErr w:type="spellEnd"/>
      <w:r>
        <w:rPr>
          <w:lang w:val="en-GB"/>
        </w:rPr>
        <w:t xml:space="preserve"> et al</w:t>
      </w:r>
      <w:r w:rsidR="00647720">
        <w:rPr>
          <w:lang w:val="en-GB"/>
        </w:rPr>
        <w:t>.</w:t>
      </w:r>
      <w:r>
        <w:rPr>
          <w:lang w:val="en-GB"/>
        </w:rPr>
        <w:t xml:space="preserve"> (2</w:t>
      </w:r>
      <w:r w:rsidR="00DF604A">
        <w:rPr>
          <w:lang w:val="en-GB"/>
        </w:rPr>
        <w:t>6</w:t>
      </w:r>
      <w:r>
        <w:rPr>
          <w:lang w:val="en-GB"/>
        </w:rPr>
        <w:t xml:space="preserve">) </w:t>
      </w:r>
      <w:r w:rsidR="00D472DE" w:rsidRPr="00D472DE">
        <w:rPr>
          <w:lang w:val="en-GB"/>
        </w:rPr>
        <w:t>examined the influence of increased urinary output as a preventive measure</w:t>
      </w:r>
      <w:r w:rsidR="00C2564F" w:rsidRPr="006C4E42">
        <w:rPr>
          <w:lang w:val="en-GB"/>
        </w:rPr>
        <w:t>.</w:t>
      </w:r>
      <w:r w:rsidR="00D472DE">
        <w:rPr>
          <w:lang w:val="en-GB"/>
        </w:rPr>
        <w:t xml:space="preserve"> </w:t>
      </w:r>
      <w:r w:rsidR="00126414">
        <w:rPr>
          <w:lang w:val="en-GB"/>
        </w:rPr>
        <w:t>The authors</w:t>
      </w:r>
      <w:r w:rsidR="00126414" w:rsidRPr="006C4E42">
        <w:rPr>
          <w:lang w:val="en-GB"/>
        </w:rPr>
        <w:t xml:space="preserve"> </w:t>
      </w:r>
      <w:r w:rsidR="00C2564F" w:rsidRPr="006C4E42">
        <w:rPr>
          <w:lang w:val="en-GB"/>
        </w:rPr>
        <w:t>demonstrated a significant decrease in</w:t>
      </w:r>
      <w:r w:rsidR="008D256B">
        <w:rPr>
          <w:lang w:val="en-GB"/>
        </w:rPr>
        <w:t xml:space="preserve"> recurrent stone formation in idiopathic</w:t>
      </w:r>
      <w:r w:rsidR="00C2564F" w:rsidRPr="006C4E42">
        <w:rPr>
          <w:lang w:val="en-GB"/>
        </w:rPr>
        <w:t xml:space="preserve"> calcium stone</w:t>
      </w:r>
      <w:r w:rsidR="008D256B">
        <w:rPr>
          <w:lang w:val="en-GB"/>
        </w:rPr>
        <w:t xml:space="preserve"> formers</w:t>
      </w:r>
      <w:r w:rsidR="00C2564F" w:rsidRPr="006C4E42">
        <w:rPr>
          <w:lang w:val="en-GB"/>
        </w:rPr>
        <w:t xml:space="preserve"> by increasing the diuresis to </w:t>
      </w:r>
      <w:r w:rsidR="008D256B" w:rsidRPr="00D472DE">
        <w:rPr>
          <w:lang w:val="en-GB"/>
        </w:rPr>
        <w:t>≥</w:t>
      </w:r>
      <w:r w:rsidR="00C2564F" w:rsidRPr="006C4E42">
        <w:rPr>
          <w:lang w:val="en-GB"/>
        </w:rPr>
        <w:t>2</w:t>
      </w:r>
      <w:r w:rsidR="00C466AC">
        <w:rPr>
          <w:lang w:val="en-GB"/>
        </w:rPr>
        <w:t>.</w:t>
      </w:r>
      <w:r w:rsidR="00C2564F" w:rsidRPr="006C4E42">
        <w:rPr>
          <w:lang w:val="en-GB"/>
        </w:rPr>
        <w:t>0</w:t>
      </w:r>
      <w:r w:rsidR="008D256B">
        <w:rPr>
          <w:lang w:val="en-GB"/>
        </w:rPr>
        <w:t xml:space="preserve"> </w:t>
      </w:r>
      <w:r w:rsidR="00C2564F" w:rsidRPr="006C4E42">
        <w:rPr>
          <w:lang w:val="en-GB"/>
        </w:rPr>
        <w:t>L/day (2</w:t>
      </w:r>
      <w:r w:rsidR="00DF604A">
        <w:rPr>
          <w:lang w:val="en-GB"/>
        </w:rPr>
        <w:t>7</w:t>
      </w:r>
      <w:r w:rsidR="00C2564F" w:rsidRPr="006C4E42">
        <w:rPr>
          <w:lang w:val="en-GB"/>
        </w:rPr>
        <w:t xml:space="preserve">).  This was later </w:t>
      </w:r>
      <w:r w:rsidR="00C466AC" w:rsidRPr="006C4E42">
        <w:rPr>
          <w:lang w:val="en-GB"/>
        </w:rPr>
        <w:t>confirmed</w:t>
      </w:r>
      <w:r w:rsidR="00C2564F" w:rsidRPr="006C4E42">
        <w:rPr>
          <w:lang w:val="en-GB"/>
        </w:rPr>
        <w:t xml:space="preserve"> by </w:t>
      </w:r>
      <w:r>
        <w:rPr>
          <w:lang w:val="en-GB"/>
        </w:rPr>
        <w:t xml:space="preserve">another randomized controlled trial </w:t>
      </w:r>
      <w:r w:rsidR="00B344BA">
        <w:rPr>
          <w:lang w:val="en-GB"/>
        </w:rPr>
        <w:t>(4</w:t>
      </w:r>
      <w:r w:rsidR="00DF604A">
        <w:rPr>
          <w:lang w:val="en-GB"/>
        </w:rPr>
        <w:t>2</w:t>
      </w:r>
      <w:r w:rsidR="00B344BA">
        <w:rPr>
          <w:lang w:val="en-GB"/>
        </w:rPr>
        <w:t xml:space="preserve">) </w:t>
      </w:r>
      <w:r>
        <w:rPr>
          <w:lang w:val="en-GB"/>
        </w:rPr>
        <w:t xml:space="preserve">that </w:t>
      </w:r>
      <w:r w:rsidR="00FF4236">
        <w:rPr>
          <w:lang w:val="en-GB"/>
        </w:rPr>
        <w:t xml:space="preserve">evaluated </w:t>
      </w:r>
      <w:r>
        <w:rPr>
          <w:lang w:val="en-GB"/>
        </w:rPr>
        <w:t xml:space="preserve">the effect of verapamil and high fluid intake on stone recurrence rates after ESWL. Increasing </w:t>
      </w:r>
      <w:r w:rsidRPr="00E47439">
        <w:rPr>
          <w:lang w:val="en-GB"/>
        </w:rPr>
        <w:t xml:space="preserve">fluid intake </w:t>
      </w:r>
      <w:r>
        <w:rPr>
          <w:lang w:val="en-GB"/>
        </w:rPr>
        <w:t xml:space="preserve">was proven </w:t>
      </w:r>
      <w:r w:rsidR="0014445D">
        <w:rPr>
          <w:lang w:val="en-GB"/>
        </w:rPr>
        <w:t>more</w:t>
      </w:r>
      <w:r w:rsidRPr="00E47439">
        <w:rPr>
          <w:lang w:val="en-GB"/>
        </w:rPr>
        <w:t xml:space="preserve"> effective</w:t>
      </w:r>
      <w:r>
        <w:rPr>
          <w:lang w:val="en-GB"/>
        </w:rPr>
        <w:t xml:space="preserve"> </w:t>
      </w:r>
      <w:r w:rsidR="00FF4236">
        <w:rPr>
          <w:lang w:val="en-GB"/>
        </w:rPr>
        <w:t>than treatment with calcium channel blockade and compared to controls</w:t>
      </w:r>
      <w:r>
        <w:rPr>
          <w:lang w:val="en-GB"/>
        </w:rPr>
        <w:t xml:space="preserve">. </w:t>
      </w:r>
      <w:r w:rsidR="00D472DE" w:rsidRPr="00D472DE">
        <w:rPr>
          <w:lang w:val="en-GB"/>
        </w:rPr>
        <w:t xml:space="preserve">To this day, increased </w:t>
      </w:r>
      <w:r w:rsidR="001A3CDD">
        <w:rPr>
          <w:lang w:val="en-GB"/>
        </w:rPr>
        <w:t>urinary output</w:t>
      </w:r>
      <w:r w:rsidR="00D472DE" w:rsidRPr="00D472DE">
        <w:rPr>
          <w:lang w:val="en-GB"/>
        </w:rPr>
        <w:t xml:space="preserve"> remains the most important </w:t>
      </w:r>
      <w:r w:rsidR="00D472DE">
        <w:rPr>
          <w:lang w:val="en-GB"/>
        </w:rPr>
        <w:t xml:space="preserve">dietary </w:t>
      </w:r>
      <w:r w:rsidR="00D472DE" w:rsidRPr="00D472DE">
        <w:rPr>
          <w:lang w:val="en-GB"/>
        </w:rPr>
        <w:t>preventive measure.</w:t>
      </w:r>
    </w:p>
    <w:p w14:paraId="6EAA0325" w14:textId="6F645B16" w:rsidR="00C2564F" w:rsidRPr="006C4E42" w:rsidRDefault="00C2564F" w:rsidP="005769F3">
      <w:pPr>
        <w:spacing w:line="480" w:lineRule="auto"/>
        <w:jc w:val="both"/>
        <w:rPr>
          <w:lang w:val="en-GB"/>
        </w:rPr>
      </w:pPr>
      <w:r w:rsidRPr="00D472DE">
        <w:rPr>
          <w:lang w:val="en-GB"/>
        </w:rPr>
        <w:t>With the aim of lowe</w:t>
      </w:r>
      <w:r w:rsidRPr="006C4E42">
        <w:rPr>
          <w:lang w:val="en-GB"/>
        </w:rPr>
        <w:t>ring the recurrence of nephrolithiasis in patients with idiopathic hypercalciuria,</w:t>
      </w:r>
      <w:r w:rsidR="008D256B">
        <w:rPr>
          <w:lang w:val="en-GB"/>
        </w:rPr>
        <w:t xml:space="preserve"> in the past</w:t>
      </w:r>
      <w:r w:rsidRPr="006C4E42">
        <w:rPr>
          <w:lang w:val="en-GB"/>
        </w:rPr>
        <w:t xml:space="preserve"> a low dietary calcium intake was thought to be a</w:t>
      </w:r>
      <w:r w:rsidR="00C466AC">
        <w:rPr>
          <w:lang w:val="en-GB"/>
        </w:rPr>
        <w:t xml:space="preserve"> possible</w:t>
      </w:r>
      <w:r w:rsidRPr="006C4E42">
        <w:rPr>
          <w:lang w:val="en-GB"/>
        </w:rPr>
        <w:t xml:space="preserve"> preventive strategy. </w:t>
      </w:r>
      <w:r w:rsidR="000460CE">
        <w:rPr>
          <w:lang w:val="en-GB"/>
        </w:rPr>
        <w:t>To address this question</w:t>
      </w:r>
      <w:r w:rsidRPr="006C4E42">
        <w:rPr>
          <w:lang w:val="en-GB"/>
        </w:rPr>
        <w:t xml:space="preserve"> </w:t>
      </w:r>
      <w:r w:rsidR="000460CE" w:rsidRPr="006C4E42">
        <w:rPr>
          <w:lang w:val="en-GB"/>
        </w:rPr>
        <w:t xml:space="preserve">a randomized trial comparing 60 patients following a low calcium diet </w:t>
      </w:r>
      <w:r w:rsidR="004C73A6">
        <w:rPr>
          <w:lang w:val="en-GB"/>
        </w:rPr>
        <w:t>(</w:t>
      </w:r>
      <w:r w:rsidR="004C73A6" w:rsidRPr="004C73A6">
        <w:rPr>
          <w:lang w:val="en-GB"/>
        </w:rPr>
        <w:t>10 mmol per day</w:t>
      </w:r>
      <w:r w:rsidR="004C73A6">
        <w:rPr>
          <w:lang w:val="en-GB"/>
        </w:rPr>
        <w:t xml:space="preserve">) </w:t>
      </w:r>
      <w:r w:rsidR="000460CE" w:rsidRPr="006C4E42">
        <w:rPr>
          <w:lang w:val="en-GB"/>
        </w:rPr>
        <w:t xml:space="preserve">and 60 patients following a normal calcium diet </w:t>
      </w:r>
      <w:r w:rsidR="004C73A6">
        <w:rPr>
          <w:lang w:val="en-GB"/>
        </w:rPr>
        <w:t xml:space="preserve">(30 mmol per day) </w:t>
      </w:r>
      <w:r w:rsidR="000460CE" w:rsidRPr="006C4E42">
        <w:rPr>
          <w:lang w:val="en-GB"/>
        </w:rPr>
        <w:t xml:space="preserve">with reduced animal protein </w:t>
      </w:r>
      <w:r w:rsidR="004C73A6">
        <w:rPr>
          <w:lang w:val="en-GB"/>
        </w:rPr>
        <w:t xml:space="preserve">(21g per day) </w:t>
      </w:r>
      <w:r w:rsidR="000460CE" w:rsidRPr="006C4E42">
        <w:rPr>
          <w:lang w:val="en-GB"/>
        </w:rPr>
        <w:t xml:space="preserve">and salt intake </w:t>
      </w:r>
      <w:r w:rsidR="004C73A6">
        <w:rPr>
          <w:lang w:val="en-GB"/>
        </w:rPr>
        <w:t xml:space="preserve">(50 mmol per day) </w:t>
      </w:r>
      <w:r w:rsidR="000460CE">
        <w:rPr>
          <w:lang w:val="en-GB"/>
        </w:rPr>
        <w:t xml:space="preserve">was conducted by </w:t>
      </w:r>
      <w:proofErr w:type="spellStart"/>
      <w:r w:rsidRPr="006C4E42">
        <w:rPr>
          <w:lang w:val="en-GB"/>
        </w:rPr>
        <w:t>Borghi</w:t>
      </w:r>
      <w:proofErr w:type="spellEnd"/>
      <w:r w:rsidRPr="006C4E42">
        <w:rPr>
          <w:lang w:val="en-GB"/>
        </w:rPr>
        <w:t xml:space="preserve"> et al. After </w:t>
      </w:r>
      <w:r w:rsidR="00B9302E">
        <w:rPr>
          <w:lang w:val="en-GB"/>
        </w:rPr>
        <w:t>five</w:t>
      </w:r>
      <w:r w:rsidRPr="006C4E42">
        <w:rPr>
          <w:lang w:val="en-GB"/>
        </w:rPr>
        <w:t xml:space="preserve"> years, 23 patients of the </w:t>
      </w:r>
      <w:r w:rsidR="000460CE">
        <w:rPr>
          <w:lang w:val="en-GB"/>
        </w:rPr>
        <w:t>low calcium</w:t>
      </w:r>
      <w:r w:rsidR="000460CE" w:rsidRPr="006C4E42">
        <w:rPr>
          <w:lang w:val="en-GB"/>
        </w:rPr>
        <w:t xml:space="preserve"> </w:t>
      </w:r>
      <w:r w:rsidRPr="006C4E42">
        <w:rPr>
          <w:lang w:val="en-GB"/>
        </w:rPr>
        <w:t xml:space="preserve">group had relapsed </w:t>
      </w:r>
      <w:r w:rsidR="000460CE">
        <w:rPr>
          <w:lang w:val="en-GB"/>
        </w:rPr>
        <w:t>as compared to</w:t>
      </w:r>
      <w:r w:rsidR="000460CE" w:rsidRPr="006C4E42">
        <w:rPr>
          <w:lang w:val="en-GB"/>
        </w:rPr>
        <w:t xml:space="preserve"> </w:t>
      </w:r>
      <w:r w:rsidRPr="006C4E42">
        <w:rPr>
          <w:lang w:val="en-GB"/>
        </w:rPr>
        <w:t xml:space="preserve">only 12 patients of the </w:t>
      </w:r>
      <w:r w:rsidR="000460CE">
        <w:rPr>
          <w:lang w:val="en-GB"/>
        </w:rPr>
        <w:t>normal calcium</w:t>
      </w:r>
      <w:r w:rsidR="000460CE" w:rsidRPr="006C4E42">
        <w:rPr>
          <w:lang w:val="en-GB"/>
        </w:rPr>
        <w:t xml:space="preserve"> </w:t>
      </w:r>
      <w:r w:rsidRPr="006C4E42">
        <w:rPr>
          <w:lang w:val="en-GB"/>
        </w:rPr>
        <w:t>group</w:t>
      </w:r>
      <w:r w:rsidR="00525172">
        <w:rPr>
          <w:lang w:val="en-GB"/>
        </w:rPr>
        <w:t>, which was a statistically significant difference</w:t>
      </w:r>
      <w:r w:rsidRPr="006C4E42">
        <w:rPr>
          <w:lang w:val="en-GB"/>
        </w:rPr>
        <w:t xml:space="preserve">. The urinary excretion of oxalate was also decreased in </w:t>
      </w:r>
      <w:r w:rsidRPr="006C4E42">
        <w:rPr>
          <w:lang w:val="en-GB"/>
        </w:rPr>
        <w:lastRenderedPageBreak/>
        <w:t>the second group. This led to the conclusion that a normal dietary calcium intake combined with a lowered intake of salt and animal protein is a better preventive strategy</w:t>
      </w:r>
      <w:r w:rsidR="000460CE">
        <w:rPr>
          <w:lang w:val="en-GB"/>
        </w:rPr>
        <w:t xml:space="preserve"> in this indication</w:t>
      </w:r>
      <w:r w:rsidR="008D256B">
        <w:rPr>
          <w:lang w:val="en-GB"/>
        </w:rPr>
        <w:t xml:space="preserve"> and disproved the theory that reduced calcium intake would prevent against kidney stone recurrence</w:t>
      </w:r>
      <w:r w:rsidRPr="006C4E42">
        <w:rPr>
          <w:lang w:val="en-GB"/>
        </w:rPr>
        <w:t xml:space="preserve"> (</w:t>
      </w:r>
      <w:r w:rsidR="00DF604A">
        <w:rPr>
          <w:lang w:val="en-GB"/>
        </w:rPr>
        <w:t>30</w:t>
      </w:r>
      <w:r w:rsidRPr="006C4E42">
        <w:rPr>
          <w:lang w:val="en-GB"/>
        </w:rPr>
        <w:t>).</w:t>
      </w:r>
    </w:p>
    <w:p w14:paraId="0B4793A9" w14:textId="3A4D9D78" w:rsidR="00C2564F" w:rsidRPr="00F4291F" w:rsidRDefault="00C2564F" w:rsidP="005769F3">
      <w:pPr>
        <w:spacing w:line="480" w:lineRule="auto"/>
        <w:jc w:val="both"/>
        <w:rPr>
          <w:lang w:val="en-GB"/>
        </w:rPr>
      </w:pPr>
      <w:r w:rsidRPr="006C4E42">
        <w:rPr>
          <w:lang w:val="en-GB"/>
        </w:rPr>
        <w:t>Ettinger et al. analysed the efficiency of potassium-magnesium citrate in patients with recurrent calcium oxalate nephrolithiasis. A</w:t>
      </w:r>
      <w:r w:rsidR="00E8445A">
        <w:rPr>
          <w:lang w:val="en-GB"/>
        </w:rPr>
        <w:t>t</w:t>
      </w:r>
      <w:r w:rsidRPr="006C4E42">
        <w:rPr>
          <w:lang w:val="en-GB"/>
        </w:rPr>
        <w:t xml:space="preserve"> </w:t>
      </w:r>
      <w:r w:rsidR="00B9302E">
        <w:rPr>
          <w:lang w:val="en-GB"/>
        </w:rPr>
        <w:t>three</w:t>
      </w:r>
      <w:r w:rsidRPr="006C4E42">
        <w:rPr>
          <w:lang w:val="en-GB"/>
        </w:rPr>
        <w:t xml:space="preserve"> year-follow up </w:t>
      </w:r>
      <w:r w:rsidR="008D256B">
        <w:rPr>
          <w:lang w:val="en-GB"/>
        </w:rPr>
        <w:t xml:space="preserve">the authors </w:t>
      </w:r>
      <w:r w:rsidRPr="006C4E42">
        <w:rPr>
          <w:lang w:val="en-GB"/>
        </w:rPr>
        <w:t>demonstrated that a potassium-magnesium citrate treatment led to</w:t>
      </w:r>
      <w:r w:rsidR="00525172">
        <w:rPr>
          <w:lang w:val="en-GB"/>
        </w:rPr>
        <w:t xml:space="preserve"> significantly</w:t>
      </w:r>
      <w:r w:rsidRPr="006C4E42">
        <w:rPr>
          <w:lang w:val="en-GB"/>
        </w:rPr>
        <w:t xml:space="preserve"> fewer relapses compared to placebo (12</w:t>
      </w:r>
      <w:r w:rsidR="00ED5FC0">
        <w:rPr>
          <w:lang w:val="en-GB"/>
        </w:rPr>
        <w:t>.</w:t>
      </w:r>
      <w:r w:rsidRPr="006C4E42">
        <w:rPr>
          <w:lang w:val="en-GB"/>
        </w:rPr>
        <w:t>9% vs 63</w:t>
      </w:r>
      <w:r w:rsidR="00ED5FC0">
        <w:rPr>
          <w:lang w:val="en-GB"/>
        </w:rPr>
        <w:t>.</w:t>
      </w:r>
      <w:r w:rsidRPr="006C4E42">
        <w:rPr>
          <w:lang w:val="en-GB"/>
        </w:rPr>
        <w:t>6%) (</w:t>
      </w:r>
      <w:r w:rsidR="00481295">
        <w:rPr>
          <w:lang w:val="en-GB"/>
        </w:rPr>
        <w:t>3</w:t>
      </w:r>
      <w:r w:rsidR="00DF604A">
        <w:rPr>
          <w:lang w:val="en-GB"/>
        </w:rPr>
        <w:t>8</w:t>
      </w:r>
      <w:r w:rsidRPr="006C4E42">
        <w:rPr>
          <w:lang w:val="en-GB"/>
        </w:rPr>
        <w:t xml:space="preserve">).  Another important insight was obtained by </w:t>
      </w:r>
      <w:r w:rsidR="002D4BC5">
        <w:rPr>
          <w:lang w:val="en-GB"/>
        </w:rPr>
        <w:t xml:space="preserve">the reports of </w:t>
      </w:r>
      <w:proofErr w:type="spellStart"/>
      <w:r w:rsidR="00BB341C">
        <w:rPr>
          <w:lang w:val="en-GB"/>
        </w:rPr>
        <w:t>Borghi</w:t>
      </w:r>
      <w:proofErr w:type="spellEnd"/>
      <w:r w:rsidR="00BB341C">
        <w:rPr>
          <w:lang w:val="en-GB"/>
        </w:rPr>
        <w:t xml:space="preserve"> et al. (3</w:t>
      </w:r>
      <w:r w:rsidR="00DF604A">
        <w:rPr>
          <w:lang w:val="en-GB"/>
        </w:rPr>
        <w:t>3</w:t>
      </w:r>
      <w:r w:rsidR="00BB341C">
        <w:rPr>
          <w:lang w:val="en-GB"/>
        </w:rPr>
        <w:t xml:space="preserve">), </w:t>
      </w:r>
      <w:proofErr w:type="spellStart"/>
      <w:r w:rsidR="00BB341C">
        <w:rPr>
          <w:lang w:val="en-GB"/>
        </w:rPr>
        <w:t>Laerum</w:t>
      </w:r>
      <w:proofErr w:type="spellEnd"/>
      <w:r w:rsidR="00BB341C">
        <w:rPr>
          <w:lang w:val="en-GB"/>
        </w:rPr>
        <w:t xml:space="preserve"> et al. (3</w:t>
      </w:r>
      <w:r w:rsidR="00DF604A">
        <w:rPr>
          <w:lang w:val="en-GB"/>
        </w:rPr>
        <w:t>5</w:t>
      </w:r>
      <w:r w:rsidR="00BB341C">
        <w:rPr>
          <w:lang w:val="en-GB"/>
        </w:rPr>
        <w:t>) and</w:t>
      </w:r>
      <w:r w:rsidR="00BB341C" w:rsidRPr="006C4E42">
        <w:rPr>
          <w:lang w:val="en-GB"/>
        </w:rPr>
        <w:t xml:space="preserve"> </w:t>
      </w:r>
      <w:proofErr w:type="spellStart"/>
      <w:r w:rsidRPr="006C4E42">
        <w:rPr>
          <w:lang w:val="en-GB"/>
        </w:rPr>
        <w:t>Ohkawa</w:t>
      </w:r>
      <w:proofErr w:type="spellEnd"/>
      <w:r w:rsidRPr="006C4E42">
        <w:rPr>
          <w:lang w:val="en-GB"/>
        </w:rPr>
        <w:t xml:space="preserve"> e</w:t>
      </w:r>
      <w:r w:rsidR="008D256B">
        <w:rPr>
          <w:lang w:val="en-GB"/>
        </w:rPr>
        <w:t>t</w:t>
      </w:r>
      <w:r w:rsidRPr="006C4E42">
        <w:rPr>
          <w:lang w:val="en-GB"/>
        </w:rPr>
        <w:t xml:space="preserve"> </w:t>
      </w:r>
      <w:r w:rsidR="008D256B">
        <w:rPr>
          <w:lang w:val="en-GB"/>
        </w:rPr>
        <w:t>a</w:t>
      </w:r>
      <w:r w:rsidRPr="006C4E42">
        <w:rPr>
          <w:lang w:val="en-GB"/>
        </w:rPr>
        <w:t>l</w:t>
      </w:r>
      <w:r w:rsidR="00647720">
        <w:rPr>
          <w:lang w:val="en-GB"/>
        </w:rPr>
        <w:t>.</w:t>
      </w:r>
      <w:r w:rsidR="00F4291F">
        <w:rPr>
          <w:lang w:val="en-GB"/>
        </w:rPr>
        <w:t xml:space="preserve"> (3</w:t>
      </w:r>
      <w:r w:rsidR="00DF604A">
        <w:rPr>
          <w:lang w:val="en-GB"/>
        </w:rPr>
        <w:t>4</w:t>
      </w:r>
      <w:r w:rsidR="00F4291F">
        <w:rPr>
          <w:lang w:val="en-GB"/>
        </w:rPr>
        <w:t>)</w:t>
      </w:r>
      <w:r w:rsidRPr="006C4E42">
        <w:rPr>
          <w:lang w:val="en-GB"/>
        </w:rPr>
        <w:t xml:space="preserve">, by demonstrating that the use of thiazide or thiazide-like agents </w:t>
      </w:r>
      <w:r w:rsidR="008D256B">
        <w:rPr>
          <w:lang w:val="en-GB"/>
        </w:rPr>
        <w:t>lowers</w:t>
      </w:r>
      <w:r w:rsidRPr="006C4E42">
        <w:rPr>
          <w:lang w:val="en-GB"/>
        </w:rPr>
        <w:t xml:space="preserve"> the calciuria </w:t>
      </w:r>
      <w:r w:rsidR="008D256B">
        <w:rPr>
          <w:lang w:val="en-GB"/>
        </w:rPr>
        <w:t xml:space="preserve">in idiopathic hypercalciuria and can be used </w:t>
      </w:r>
      <w:r w:rsidRPr="006C4E42">
        <w:rPr>
          <w:lang w:val="en-GB"/>
        </w:rPr>
        <w:t xml:space="preserve">as a </w:t>
      </w:r>
      <w:r w:rsidR="0014445D" w:rsidRPr="006C4E42">
        <w:rPr>
          <w:lang w:val="en-GB"/>
        </w:rPr>
        <w:t>prophylaxis</w:t>
      </w:r>
      <w:r w:rsidRPr="006C4E42">
        <w:rPr>
          <w:lang w:val="en-GB"/>
        </w:rPr>
        <w:t xml:space="preserve"> for</w:t>
      </w:r>
      <w:r w:rsidR="008D256B">
        <w:rPr>
          <w:lang w:val="en-GB"/>
        </w:rPr>
        <w:t xml:space="preserve"> prevention of recurrent </w:t>
      </w:r>
      <w:r w:rsidRPr="006C4E42">
        <w:rPr>
          <w:lang w:val="en-GB"/>
        </w:rPr>
        <w:t>calcium oxalate or phosphate stones</w:t>
      </w:r>
      <w:r w:rsidR="00BB341C">
        <w:rPr>
          <w:lang w:val="en-GB"/>
        </w:rPr>
        <w:t>.</w:t>
      </w:r>
    </w:p>
    <w:p w14:paraId="53F87F8D" w14:textId="258A6925" w:rsidR="00C2564F" w:rsidRDefault="00C2564F" w:rsidP="005769F3">
      <w:pPr>
        <w:spacing w:line="480" w:lineRule="auto"/>
        <w:jc w:val="both"/>
        <w:rPr>
          <w:lang w:val="en-GB"/>
        </w:rPr>
      </w:pPr>
      <w:r w:rsidRPr="006C4E42">
        <w:rPr>
          <w:lang w:val="en-GB"/>
        </w:rPr>
        <w:t xml:space="preserve">The efficacy of allopurinol </w:t>
      </w:r>
      <w:r w:rsidR="008D256B">
        <w:rPr>
          <w:lang w:val="en-GB"/>
        </w:rPr>
        <w:t xml:space="preserve">for the prevention of recurrent calcium oxalate stone formation </w:t>
      </w:r>
      <w:r w:rsidRPr="006C4E42">
        <w:rPr>
          <w:lang w:val="en-GB"/>
        </w:rPr>
        <w:t>in patients with hyperuricosuria was demonstrated by comparing the number of symptomatic events after allopurinol therapy or placebo therapy.  The allopurinol group was found to have a significantly lower amount of symptomatic events and longer interval until the first relapse (3</w:t>
      </w:r>
      <w:r w:rsidR="00E4123F">
        <w:rPr>
          <w:lang w:val="en-GB"/>
        </w:rPr>
        <w:t>9</w:t>
      </w:r>
      <w:r w:rsidRPr="006C4E42">
        <w:rPr>
          <w:lang w:val="en-GB"/>
        </w:rPr>
        <w:t>).</w:t>
      </w:r>
    </w:p>
    <w:p w14:paraId="11C296E2" w14:textId="7B01AE5E" w:rsidR="00C33EA6" w:rsidRDefault="009644D4" w:rsidP="005769F3">
      <w:pPr>
        <w:spacing w:line="480" w:lineRule="auto"/>
        <w:jc w:val="both"/>
        <w:rPr>
          <w:lang w:val="en-GB"/>
        </w:rPr>
      </w:pPr>
      <w:bookmarkStart w:id="8" w:name="_Hlk67301267"/>
      <w:r>
        <w:rPr>
          <w:color w:val="000000" w:themeColor="text1"/>
          <w:lang w:val="en-GB"/>
        </w:rPr>
        <w:t>As mentioned before, s</w:t>
      </w:r>
      <w:r w:rsidRPr="00E24E35">
        <w:rPr>
          <w:color w:val="000000" w:themeColor="text1"/>
          <w:lang w:val="en-GB"/>
        </w:rPr>
        <w:t xml:space="preserve">everal </w:t>
      </w:r>
      <w:r w:rsidR="0011687F">
        <w:rPr>
          <w:color w:val="000000" w:themeColor="text1"/>
          <w:lang w:val="en-GB"/>
        </w:rPr>
        <w:t>randomized controlled trials</w:t>
      </w:r>
      <w:r w:rsidRPr="00E24E35">
        <w:rPr>
          <w:color w:val="000000" w:themeColor="text1"/>
          <w:lang w:val="en-GB"/>
        </w:rPr>
        <w:t xml:space="preserve"> demonstrated the effect of an increased fluid intake</w:t>
      </w:r>
      <w:r w:rsidR="008D256B">
        <w:rPr>
          <w:color w:val="000000" w:themeColor="text1"/>
          <w:lang w:val="en-GB"/>
        </w:rPr>
        <w:t xml:space="preserve"> (</w:t>
      </w:r>
      <w:r w:rsidR="006954CA">
        <w:rPr>
          <w:color w:val="000000" w:themeColor="text1"/>
          <w:lang w:val="en-GB"/>
        </w:rPr>
        <w:t>2</w:t>
      </w:r>
      <w:r w:rsidR="00E4123F">
        <w:rPr>
          <w:color w:val="000000" w:themeColor="text1"/>
          <w:lang w:val="en-GB"/>
        </w:rPr>
        <w:t>6</w:t>
      </w:r>
      <w:r w:rsidR="008D256B">
        <w:rPr>
          <w:color w:val="000000" w:themeColor="text1"/>
          <w:lang w:val="en-GB"/>
        </w:rPr>
        <w:t>)</w:t>
      </w:r>
      <w:r w:rsidRPr="00E24E35">
        <w:rPr>
          <w:color w:val="000000" w:themeColor="text1"/>
          <w:lang w:val="en-GB"/>
        </w:rPr>
        <w:t>, dietary measures</w:t>
      </w:r>
      <w:r w:rsidR="008D256B">
        <w:rPr>
          <w:color w:val="000000" w:themeColor="text1"/>
          <w:lang w:val="en-GB"/>
        </w:rPr>
        <w:t xml:space="preserve"> (</w:t>
      </w:r>
      <w:r w:rsidR="00E4123F">
        <w:rPr>
          <w:color w:val="000000" w:themeColor="text1"/>
          <w:lang w:val="en-GB"/>
        </w:rPr>
        <w:t>30</w:t>
      </w:r>
      <w:r w:rsidR="008D256B">
        <w:rPr>
          <w:color w:val="000000" w:themeColor="text1"/>
          <w:lang w:val="en-GB"/>
        </w:rPr>
        <w:t>)</w:t>
      </w:r>
      <w:r w:rsidRPr="00E24E35">
        <w:rPr>
          <w:color w:val="000000" w:themeColor="text1"/>
          <w:lang w:val="en-GB"/>
        </w:rPr>
        <w:t xml:space="preserve"> and medical therapy</w:t>
      </w:r>
      <w:r w:rsidR="008D256B">
        <w:rPr>
          <w:color w:val="000000" w:themeColor="text1"/>
          <w:lang w:val="en-GB"/>
        </w:rPr>
        <w:t xml:space="preserve"> (</w:t>
      </w:r>
      <w:r w:rsidR="003E5834">
        <w:rPr>
          <w:color w:val="000000" w:themeColor="text1"/>
          <w:lang w:val="en-GB"/>
        </w:rPr>
        <w:t>3</w:t>
      </w:r>
      <w:r w:rsidR="00E4123F">
        <w:rPr>
          <w:color w:val="000000" w:themeColor="text1"/>
          <w:lang w:val="en-GB"/>
        </w:rPr>
        <w:t>2</w:t>
      </w:r>
      <w:r w:rsidR="00E8445A">
        <w:rPr>
          <w:color w:val="000000" w:themeColor="text1"/>
          <w:lang w:val="en-GB"/>
        </w:rPr>
        <w:t>-</w:t>
      </w:r>
      <w:r w:rsidR="00BB341C">
        <w:rPr>
          <w:color w:val="000000" w:themeColor="text1"/>
          <w:lang w:val="en-GB"/>
        </w:rPr>
        <w:t>3</w:t>
      </w:r>
      <w:r w:rsidR="00E4123F">
        <w:rPr>
          <w:color w:val="000000" w:themeColor="text1"/>
          <w:lang w:val="en-GB"/>
        </w:rPr>
        <w:t>9</w:t>
      </w:r>
      <w:r w:rsidR="00BB341C">
        <w:rPr>
          <w:color w:val="000000" w:themeColor="text1"/>
          <w:lang w:val="en-GB"/>
        </w:rPr>
        <w:t>)</w:t>
      </w:r>
      <w:r w:rsidRPr="00E24E35">
        <w:rPr>
          <w:color w:val="000000" w:themeColor="text1"/>
          <w:lang w:val="en-GB"/>
        </w:rPr>
        <w:t xml:space="preserve"> on the stone formation and growth rate of idiopathic calcium nephrolithiasis. </w:t>
      </w:r>
      <w:r w:rsidR="006A5E25">
        <w:rPr>
          <w:color w:val="000000" w:themeColor="text1"/>
          <w:lang w:val="en-GB"/>
        </w:rPr>
        <w:t>While these studies evaluated the effect of one measure in the strict setting of a randomized, controlled trial, o</w:t>
      </w:r>
      <w:r w:rsidR="008D256B">
        <w:rPr>
          <w:color w:val="000000" w:themeColor="text1"/>
          <w:lang w:val="en-GB"/>
        </w:rPr>
        <w:t>nly few studies have evaluated the effect of combined measures in routine real-life practice</w:t>
      </w:r>
      <w:r w:rsidR="00790263">
        <w:rPr>
          <w:color w:val="000000" w:themeColor="text1"/>
          <w:lang w:val="en-GB"/>
        </w:rPr>
        <w:t xml:space="preserve">. </w:t>
      </w:r>
      <w:r w:rsidR="00790263" w:rsidRPr="00AC6C45">
        <w:rPr>
          <w:lang w:val="en-GB"/>
        </w:rPr>
        <w:t>Hosking et al</w:t>
      </w:r>
      <w:r w:rsidR="00647720">
        <w:rPr>
          <w:lang w:val="en-GB"/>
        </w:rPr>
        <w:t>.</w:t>
      </w:r>
      <w:r w:rsidR="00790263" w:rsidRPr="00AC6C45">
        <w:rPr>
          <w:lang w:val="en-GB"/>
        </w:rPr>
        <w:t xml:space="preserve"> showed that recommending the combination of increased fluid intake and dietary measures is an important and effective preventive measure in patients with idiopathic calcium </w:t>
      </w:r>
      <w:r w:rsidR="00790263">
        <w:rPr>
          <w:lang w:val="en-GB"/>
        </w:rPr>
        <w:t>nephrolithiasis</w:t>
      </w:r>
      <w:r w:rsidR="00645D72">
        <w:rPr>
          <w:lang w:val="en-GB"/>
        </w:rPr>
        <w:t xml:space="preserve"> (</w:t>
      </w:r>
      <w:r w:rsidR="003E5834">
        <w:rPr>
          <w:lang w:val="en-GB"/>
        </w:rPr>
        <w:t>4</w:t>
      </w:r>
      <w:r w:rsidR="00E4123F">
        <w:rPr>
          <w:lang w:val="en-GB"/>
        </w:rPr>
        <w:t>3</w:t>
      </w:r>
      <w:r w:rsidR="00645D72">
        <w:rPr>
          <w:lang w:val="en-GB"/>
        </w:rPr>
        <w:t>)</w:t>
      </w:r>
      <w:r w:rsidR="00790263">
        <w:rPr>
          <w:lang w:val="en-GB"/>
        </w:rPr>
        <w:t>.</w:t>
      </w:r>
      <w:r w:rsidR="006B2264">
        <w:rPr>
          <w:lang w:val="en-GB"/>
        </w:rPr>
        <w:t xml:space="preserve"> </w:t>
      </w:r>
      <w:r w:rsidR="00790263">
        <w:rPr>
          <w:lang w:val="en-GB"/>
        </w:rPr>
        <w:t xml:space="preserve"> </w:t>
      </w:r>
      <w:r w:rsidR="006B2264" w:rsidRPr="006B2264">
        <w:rPr>
          <w:lang w:val="en-GB"/>
        </w:rPr>
        <w:t xml:space="preserve">In total 108 patients were advised to increase fluid intake to more than two and a half litres per day and apply dietary measures, including less meat intake in patients with hyperuricosuria at baseline and less calcium intake in patients with hypercalciuria. </w:t>
      </w:r>
      <w:r w:rsidR="006F5CA3">
        <w:rPr>
          <w:lang w:val="en-GB"/>
        </w:rPr>
        <w:t xml:space="preserve">After five years of follow-up, </w:t>
      </w:r>
      <w:r w:rsidR="006B2264" w:rsidRPr="006B2264">
        <w:rPr>
          <w:lang w:val="en-GB"/>
        </w:rPr>
        <w:t>there was no evidence of new stone formation in 63 patients (58</w:t>
      </w:r>
      <w:r w:rsidR="00B9302E">
        <w:rPr>
          <w:lang w:val="en-GB"/>
        </w:rPr>
        <w:t>.</w:t>
      </w:r>
      <w:r w:rsidR="006B2264" w:rsidRPr="006B2264">
        <w:rPr>
          <w:lang w:val="en-GB"/>
        </w:rPr>
        <w:t xml:space="preserve">3%). </w:t>
      </w:r>
      <w:r w:rsidR="00790263" w:rsidRPr="00790263">
        <w:rPr>
          <w:lang w:val="en-GB"/>
        </w:rPr>
        <w:t>Igu</w:t>
      </w:r>
      <w:r w:rsidR="003F6E13">
        <w:rPr>
          <w:lang w:val="en-GB"/>
        </w:rPr>
        <w:t>c</w:t>
      </w:r>
      <w:r w:rsidR="00790263" w:rsidRPr="00790263">
        <w:rPr>
          <w:lang w:val="en-GB"/>
        </w:rPr>
        <w:t xml:space="preserve">hi and associates </w:t>
      </w:r>
      <w:r w:rsidR="00E4123F">
        <w:rPr>
          <w:lang w:val="en-GB"/>
        </w:rPr>
        <w:t xml:space="preserve">(44) </w:t>
      </w:r>
      <w:r w:rsidR="00790263" w:rsidRPr="00790263">
        <w:rPr>
          <w:lang w:val="en-GB"/>
        </w:rPr>
        <w:t xml:space="preserve">concluded that individually adjusted dietary measures in </w:t>
      </w:r>
      <w:r w:rsidR="00790263" w:rsidRPr="00790263">
        <w:rPr>
          <w:lang w:val="en-GB"/>
        </w:rPr>
        <w:lastRenderedPageBreak/>
        <w:t xml:space="preserve">calcium nephrolithiasis can lead to a significant decrease in </w:t>
      </w:r>
      <w:r w:rsidR="00BE1C8C">
        <w:rPr>
          <w:lang w:val="en-GB"/>
        </w:rPr>
        <w:t>four</w:t>
      </w:r>
      <w:r w:rsidR="00092913">
        <w:rPr>
          <w:lang w:val="en-GB"/>
        </w:rPr>
        <w:t xml:space="preserve">-year </w:t>
      </w:r>
      <w:r w:rsidR="00790263" w:rsidRPr="00790263">
        <w:rPr>
          <w:lang w:val="en-GB"/>
        </w:rPr>
        <w:t xml:space="preserve">recurrence rates </w:t>
      </w:r>
      <w:r w:rsidR="00676D57">
        <w:rPr>
          <w:lang w:val="en-GB"/>
        </w:rPr>
        <w:t xml:space="preserve">compared to general dietary measures </w:t>
      </w:r>
      <w:r w:rsidR="00790263" w:rsidRPr="00790263">
        <w:rPr>
          <w:lang w:val="en-GB"/>
        </w:rPr>
        <w:t>even after ceasing the ambulant follow-up</w:t>
      </w:r>
      <w:r w:rsidR="00525172">
        <w:rPr>
          <w:lang w:val="en-GB"/>
        </w:rPr>
        <w:t xml:space="preserve"> (27</w:t>
      </w:r>
      <w:r w:rsidR="00B9302E">
        <w:rPr>
          <w:lang w:val="en-GB"/>
        </w:rPr>
        <w:t>.</w:t>
      </w:r>
      <w:r w:rsidR="00525172">
        <w:rPr>
          <w:lang w:val="en-GB"/>
        </w:rPr>
        <w:t>4% vs 67</w:t>
      </w:r>
      <w:r w:rsidR="00B9302E">
        <w:rPr>
          <w:lang w:val="en-GB"/>
        </w:rPr>
        <w:t>.</w:t>
      </w:r>
      <w:r w:rsidR="00525172">
        <w:rPr>
          <w:lang w:val="en-GB"/>
        </w:rPr>
        <w:t>5%). Also in patients treated with medi</w:t>
      </w:r>
      <w:r w:rsidR="0008325E">
        <w:rPr>
          <w:lang w:val="en-GB"/>
        </w:rPr>
        <w:t>c</w:t>
      </w:r>
      <w:r w:rsidR="00525172">
        <w:rPr>
          <w:lang w:val="en-GB"/>
        </w:rPr>
        <w:t>ation, addition of individually adjusted dietary measures led to significantly lower recurrence rates</w:t>
      </w:r>
      <w:r w:rsidR="00790263" w:rsidRPr="00790263">
        <w:rPr>
          <w:lang w:val="en-GB"/>
        </w:rPr>
        <w:t>.</w:t>
      </w:r>
      <w:r w:rsidR="00790263">
        <w:rPr>
          <w:lang w:val="en-GB"/>
        </w:rPr>
        <w:t xml:space="preserve"> </w:t>
      </w:r>
      <w:bookmarkStart w:id="9" w:name="_Hlk67931113"/>
    </w:p>
    <w:p w14:paraId="29449F4C" w14:textId="4D425EE9" w:rsidR="008D256B" w:rsidRDefault="00C33EA6" w:rsidP="005769F3">
      <w:pPr>
        <w:spacing w:line="480" w:lineRule="auto"/>
        <w:jc w:val="both"/>
        <w:rPr>
          <w:color w:val="000000" w:themeColor="text1"/>
          <w:lang w:val="en-GB"/>
        </w:rPr>
      </w:pPr>
      <w:r w:rsidRPr="00790263">
        <w:rPr>
          <w:lang w:val="en-GB"/>
        </w:rPr>
        <w:t>Preventive measures</w:t>
      </w:r>
      <w:r>
        <w:rPr>
          <w:lang w:val="en-GB"/>
        </w:rPr>
        <w:t>,</w:t>
      </w:r>
      <w:r w:rsidRPr="00790263">
        <w:rPr>
          <w:lang w:val="en-GB"/>
        </w:rPr>
        <w:t xml:space="preserve"> were also prove</w:t>
      </w:r>
      <w:r w:rsidR="00BE1C8C">
        <w:rPr>
          <w:lang w:val="en-GB"/>
        </w:rPr>
        <w:t>n</w:t>
      </w:r>
      <w:r w:rsidRPr="00790263">
        <w:rPr>
          <w:lang w:val="en-GB"/>
        </w:rPr>
        <w:t xml:space="preserve"> useful after urological surgery</w:t>
      </w:r>
      <w:r>
        <w:rPr>
          <w:lang w:val="en-GB"/>
        </w:rPr>
        <w:t xml:space="preserve"> (4</w:t>
      </w:r>
      <w:r w:rsidR="00E4123F">
        <w:rPr>
          <w:lang w:val="en-GB"/>
        </w:rPr>
        <w:t>5</w:t>
      </w:r>
      <w:r>
        <w:rPr>
          <w:lang w:val="en-GB"/>
        </w:rPr>
        <w:t>,4</w:t>
      </w:r>
      <w:r w:rsidR="00E4123F">
        <w:rPr>
          <w:lang w:val="en-GB"/>
        </w:rPr>
        <w:t>6</w:t>
      </w:r>
      <w:r>
        <w:rPr>
          <w:lang w:val="en-GB"/>
        </w:rPr>
        <w:t>)</w:t>
      </w:r>
      <w:r w:rsidRPr="00790263">
        <w:rPr>
          <w:lang w:val="en-GB"/>
        </w:rPr>
        <w:t>. A study by Kang et al</w:t>
      </w:r>
      <w:r>
        <w:rPr>
          <w:lang w:val="en-GB"/>
        </w:rPr>
        <w:t>.</w:t>
      </w:r>
      <w:r w:rsidRPr="00790263">
        <w:rPr>
          <w:lang w:val="en-GB"/>
        </w:rPr>
        <w:t xml:space="preserve"> </w:t>
      </w:r>
      <w:r>
        <w:rPr>
          <w:lang w:val="en-GB"/>
        </w:rPr>
        <w:t>(4</w:t>
      </w:r>
      <w:r w:rsidR="00E4123F">
        <w:rPr>
          <w:lang w:val="en-GB"/>
        </w:rPr>
        <w:t>5</w:t>
      </w:r>
      <w:r>
        <w:rPr>
          <w:lang w:val="en-GB"/>
        </w:rPr>
        <w:t xml:space="preserve">) </w:t>
      </w:r>
      <w:r w:rsidRPr="00790263">
        <w:rPr>
          <w:lang w:val="en-GB"/>
        </w:rPr>
        <w:t xml:space="preserve">revealed that instituting </w:t>
      </w:r>
      <w:r w:rsidR="0008325E">
        <w:rPr>
          <w:lang w:val="en-GB"/>
        </w:rPr>
        <w:t>individualized interventions</w:t>
      </w:r>
      <w:r>
        <w:rPr>
          <w:lang w:val="en-GB"/>
        </w:rPr>
        <w:t>, including h</w:t>
      </w:r>
      <w:r w:rsidRPr="00BC69F9">
        <w:rPr>
          <w:lang w:val="en-GB"/>
        </w:rPr>
        <w:t xml:space="preserve">igh fluid intake </w:t>
      </w:r>
      <w:r>
        <w:rPr>
          <w:lang w:val="en-GB"/>
        </w:rPr>
        <w:t>combined with</w:t>
      </w:r>
      <w:r w:rsidRPr="00BC69F9">
        <w:rPr>
          <w:lang w:val="en-GB"/>
        </w:rPr>
        <w:t xml:space="preserve"> </w:t>
      </w:r>
      <w:r>
        <w:rPr>
          <w:lang w:val="en-GB"/>
        </w:rPr>
        <w:t>dietary measures and</w:t>
      </w:r>
      <w:r w:rsidRPr="00BC69F9">
        <w:rPr>
          <w:lang w:val="en-GB"/>
        </w:rPr>
        <w:t xml:space="preserve"> medical therapy</w:t>
      </w:r>
      <w:r>
        <w:rPr>
          <w:lang w:val="en-GB"/>
        </w:rPr>
        <w:t xml:space="preserve"> if needed, could benefit </w:t>
      </w:r>
      <w:r w:rsidRPr="00790263">
        <w:rPr>
          <w:lang w:val="en-GB"/>
        </w:rPr>
        <w:t>patients who ha</w:t>
      </w:r>
      <w:r>
        <w:rPr>
          <w:lang w:val="en-GB"/>
        </w:rPr>
        <w:t>ve</w:t>
      </w:r>
      <w:r w:rsidRPr="00790263">
        <w:rPr>
          <w:lang w:val="en-GB"/>
        </w:rPr>
        <w:t xml:space="preserve"> undergone PNL</w:t>
      </w:r>
      <w:r>
        <w:rPr>
          <w:lang w:val="en-GB"/>
        </w:rPr>
        <w:t>. A significant decrease was observed in the stone formation rates of patients who had received individual medical therapy compared to those who did not (0</w:t>
      </w:r>
      <w:r w:rsidR="00B9302E">
        <w:rPr>
          <w:lang w:val="en-GB"/>
        </w:rPr>
        <w:t>.</w:t>
      </w:r>
      <w:r>
        <w:rPr>
          <w:lang w:val="en-GB"/>
        </w:rPr>
        <w:t>7 vs 0</w:t>
      </w:r>
      <w:r w:rsidR="00B9302E">
        <w:rPr>
          <w:lang w:val="en-GB"/>
        </w:rPr>
        <w:t>.</w:t>
      </w:r>
      <w:r>
        <w:rPr>
          <w:lang w:val="en-GB"/>
        </w:rPr>
        <w:t>0 stones per patients per year).</w:t>
      </w:r>
      <w:r w:rsidRPr="00006652">
        <w:rPr>
          <w:lang w:val="en-GB"/>
        </w:rPr>
        <w:t xml:space="preserve"> </w:t>
      </w:r>
      <w:r>
        <w:rPr>
          <w:lang w:val="en-GB"/>
        </w:rPr>
        <w:t xml:space="preserve">A significantly higher proportion of patients went into remission after instituting individual medical therapy, this was true </w:t>
      </w:r>
      <w:r w:rsidRPr="00790263">
        <w:rPr>
          <w:lang w:val="en-GB"/>
        </w:rPr>
        <w:t xml:space="preserve">both for patients with </w:t>
      </w:r>
      <w:r>
        <w:rPr>
          <w:lang w:val="en-GB"/>
        </w:rPr>
        <w:t>(</w:t>
      </w:r>
      <w:r w:rsidRPr="003D4FA9">
        <w:rPr>
          <w:lang w:val="en-GB"/>
        </w:rPr>
        <w:t>77</w:t>
      </w:r>
      <w:r w:rsidR="00B9302E">
        <w:rPr>
          <w:lang w:val="en-GB"/>
        </w:rPr>
        <w:t>.</w:t>
      </w:r>
      <w:r w:rsidR="00BE1C8C">
        <w:rPr>
          <w:lang w:val="en-GB"/>
        </w:rPr>
        <w:t>0</w:t>
      </w:r>
      <w:r w:rsidRPr="003D4FA9">
        <w:rPr>
          <w:lang w:val="en-GB"/>
        </w:rPr>
        <w:t>% vs 21</w:t>
      </w:r>
      <w:r w:rsidR="00B9302E">
        <w:rPr>
          <w:lang w:val="en-GB"/>
        </w:rPr>
        <w:t>.</w:t>
      </w:r>
      <w:r w:rsidR="00BE1C8C">
        <w:rPr>
          <w:lang w:val="en-GB"/>
        </w:rPr>
        <w:t>0</w:t>
      </w:r>
      <w:r w:rsidRPr="003D4FA9">
        <w:rPr>
          <w:lang w:val="en-GB"/>
        </w:rPr>
        <w:t>%)</w:t>
      </w:r>
      <w:r>
        <w:rPr>
          <w:lang w:val="en-GB"/>
        </w:rPr>
        <w:t xml:space="preserve"> </w:t>
      </w:r>
      <w:r w:rsidRPr="00790263">
        <w:rPr>
          <w:lang w:val="en-GB"/>
        </w:rPr>
        <w:t xml:space="preserve">and without </w:t>
      </w:r>
      <w:r>
        <w:rPr>
          <w:lang w:val="en-GB"/>
        </w:rPr>
        <w:t>(</w:t>
      </w:r>
      <w:r w:rsidRPr="003D4FA9">
        <w:rPr>
          <w:lang w:val="en-GB"/>
        </w:rPr>
        <w:t>87</w:t>
      </w:r>
      <w:r w:rsidR="00B9302E">
        <w:rPr>
          <w:lang w:val="en-GB"/>
        </w:rPr>
        <w:t>.</w:t>
      </w:r>
      <w:r w:rsidR="00BE1C8C">
        <w:rPr>
          <w:lang w:val="en-GB"/>
        </w:rPr>
        <w:t>0</w:t>
      </w:r>
      <w:r w:rsidRPr="003D4FA9">
        <w:rPr>
          <w:lang w:val="en-GB"/>
        </w:rPr>
        <w:t>% vs 29</w:t>
      </w:r>
      <w:r w:rsidR="00B9302E">
        <w:rPr>
          <w:lang w:val="en-GB"/>
        </w:rPr>
        <w:t>.</w:t>
      </w:r>
      <w:r w:rsidR="00BE1C8C">
        <w:rPr>
          <w:lang w:val="en-GB"/>
        </w:rPr>
        <w:t>0</w:t>
      </w:r>
      <w:r w:rsidRPr="003D4FA9">
        <w:rPr>
          <w:lang w:val="en-GB"/>
        </w:rPr>
        <w:t>%)</w:t>
      </w:r>
      <w:r>
        <w:rPr>
          <w:lang w:val="en-GB"/>
        </w:rPr>
        <w:t xml:space="preserve"> </w:t>
      </w:r>
      <w:r w:rsidRPr="00790263">
        <w:rPr>
          <w:lang w:val="en-GB"/>
        </w:rPr>
        <w:t>residual fragments after PNL.</w:t>
      </w:r>
      <w:r w:rsidR="00E4123F">
        <w:rPr>
          <w:lang w:val="en-GB"/>
        </w:rPr>
        <w:t xml:space="preserve"> </w:t>
      </w:r>
      <w:r w:rsidR="00645D72" w:rsidRPr="00645D72">
        <w:rPr>
          <w:lang w:val="en-GB"/>
        </w:rPr>
        <w:t xml:space="preserve">The same conclusion </w:t>
      </w:r>
      <w:r>
        <w:rPr>
          <w:lang w:val="en-GB"/>
        </w:rPr>
        <w:t xml:space="preserve">on stone formation rates </w:t>
      </w:r>
      <w:r w:rsidR="00645D72" w:rsidRPr="00645D72">
        <w:rPr>
          <w:lang w:val="en-GB"/>
        </w:rPr>
        <w:t>could be drawn for patients who had undergone ESWL</w:t>
      </w:r>
      <w:r w:rsidR="00645D72">
        <w:rPr>
          <w:lang w:val="en-GB"/>
        </w:rPr>
        <w:t xml:space="preserve"> (4</w:t>
      </w:r>
      <w:r w:rsidR="00E4123F">
        <w:rPr>
          <w:lang w:val="en-GB"/>
        </w:rPr>
        <w:t>6</w:t>
      </w:r>
      <w:r w:rsidR="00645D72">
        <w:rPr>
          <w:lang w:val="en-GB"/>
        </w:rPr>
        <w:t>)</w:t>
      </w:r>
      <w:r w:rsidR="00645D72" w:rsidRPr="00645D72">
        <w:rPr>
          <w:lang w:val="en-GB"/>
        </w:rPr>
        <w:t>.</w:t>
      </w:r>
      <w:r w:rsidR="008D256B">
        <w:rPr>
          <w:color w:val="000000" w:themeColor="text1"/>
          <w:lang w:val="en-GB"/>
        </w:rPr>
        <w:t xml:space="preserve"> </w:t>
      </w:r>
      <w:bookmarkEnd w:id="9"/>
      <w:r>
        <w:rPr>
          <w:color w:val="000000" w:themeColor="text1"/>
          <w:lang w:val="en-GB"/>
        </w:rPr>
        <w:t xml:space="preserve"> </w:t>
      </w:r>
      <w:bookmarkStart w:id="10" w:name="_Hlk68264454"/>
      <w:r>
        <w:rPr>
          <w:color w:val="000000" w:themeColor="text1"/>
          <w:lang w:val="en-GB"/>
        </w:rPr>
        <w:t xml:space="preserve">Fine et al. demonstrated a significant larger decrease in </w:t>
      </w:r>
      <w:r w:rsidR="00A2184F">
        <w:rPr>
          <w:color w:val="000000" w:themeColor="text1"/>
          <w:lang w:val="en-GB"/>
        </w:rPr>
        <w:t xml:space="preserve">stone formation rates in </w:t>
      </w:r>
      <w:r>
        <w:rPr>
          <w:color w:val="000000" w:themeColor="text1"/>
          <w:lang w:val="en-GB"/>
        </w:rPr>
        <w:t xml:space="preserve">patients who received medical therapy after ESWL compared to those who did not. This was true both for patients with </w:t>
      </w:r>
      <w:r w:rsidR="004B7D21">
        <w:rPr>
          <w:color w:val="000000" w:themeColor="text1"/>
          <w:lang w:val="en-GB"/>
        </w:rPr>
        <w:t>(</w:t>
      </w:r>
      <w:bookmarkStart w:id="11" w:name="_Hlk68264393"/>
      <w:r w:rsidR="004B7D21">
        <w:rPr>
          <w:color w:val="000000" w:themeColor="text1"/>
          <w:lang w:val="en-GB"/>
        </w:rPr>
        <w:t>2</w:t>
      </w:r>
      <w:r w:rsidR="00B9302E">
        <w:rPr>
          <w:color w:val="000000" w:themeColor="text1"/>
          <w:lang w:val="en-GB"/>
        </w:rPr>
        <w:t>.</w:t>
      </w:r>
      <w:r w:rsidR="004B7D21">
        <w:rPr>
          <w:color w:val="000000" w:themeColor="text1"/>
          <w:lang w:val="en-GB"/>
        </w:rPr>
        <w:t>5 to 0</w:t>
      </w:r>
      <w:r w:rsidR="00B9302E">
        <w:rPr>
          <w:color w:val="000000" w:themeColor="text1"/>
          <w:lang w:val="en-GB"/>
        </w:rPr>
        <w:t>.</w:t>
      </w:r>
      <w:r w:rsidR="004B7D21">
        <w:rPr>
          <w:color w:val="000000" w:themeColor="text1"/>
          <w:lang w:val="en-GB"/>
        </w:rPr>
        <w:t>0 vs 1</w:t>
      </w:r>
      <w:r w:rsidR="00B9302E">
        <w:rPr>
          <w:color w:val="000000" w:themeColor="text1"/>
          <w:lang w:val="en-GB"/>
        </w:rPr>
        <w:t>.</w:t>
      </w:r>
      <w:r w:rsidR="004B7D21">
        <w:rPr>
          <w:color w:val="000000" w:themeColor="text1"/>
          <w:lang w:val="en-GB"/>
        </w:rPr>
        <w:t>3 to 0</w:t>
      </w:r>
      <w:r w:rsidR="00B9302E">
        <w:rPr>
          <w:color w:val="000000" w:themeColor="text1"/>
          <w:lang w:val="en-GB"/>
        </w:rPr>
        <w:t>.</w:t>
      </w:r>
      <w:r w:rsidR="004B7D21">
        <w:rPr>
          <w:color w:val="000000" w:themeColor="text1"/>
          <w:lang w:val="en-GB"/>
        </w:rPr>
        <w:t xml:space="preserve">8 stones per patient per year) </w:t>
      </w:r>
      <w:r>
        <w:rPr>
          <w:color w:val="000000" w:themeColor="text1"/>
          <w:lang w:val="en-GB"/>
        </w:rPr>
        <w:t>and without</w:t>
      </w:r>
      <w:r w:rsidR="004B7D21">
        <w:rPr>
          <w:color w:val="000000" w:themeColor="text1"/>
          <w:lang w:val="en-GB"/>
        </w:rPr>
        <w:t xml:space="preserve"> (0</w:t>
      </w:r>
      <w:r w:rsidR="00B9302E">
        <w:rPr>
          <w:color w:val="000000" w:themeColor="text1"/>
          <w:lang w:val="en-GB"/>
        </w:rPr>
        <w:t>.</w:t>
      </w:r>
      <w:r w:rsidR="004B7D21">
        <w:rPr>
          <w:color w:val="000000" w:themeColor="text1"/>
          <w:lang w:val="en-GB"/>
        </w:rPr>
        <w:t>7 to 0</w:t>
      </w:r>
      <w:r w:rsidR="00B9302E">
        <w:rPr>
          <w:color w:val="000000" w:themeColor="text1"/>
          <w:lang w:val="en-GB"/>
        </w:rPr>
        <w:t>.</w:t>
      </w:r>
      <w:r w:rsidR="004B7D21">
        <w:rPr>
          <w:color w:val="000000" w:themeColor="text1"/>
          <w:lang w:val="en-GB"/>
        </w:rPr>
        <w:t>0 vs 0</w:t>
      </w:r>
      <w:r w:rsidR="00B9302E">
        <w:rPr>
          <w:color w:val="000000" w:themeColor="text1"/>
          <w:lang w:val="en-GB"/>
        </w:rPr>
        <w:t>.</w:t>
      </w:r>
      <w:r w:rsidR="004B7D21">
        <w:rPr>
          <w:color w:val="000000" w:themeColor="text1"/>
          <w:lang w:val="en-GB"/>
        </w:rPr>
        <w:t>8 to 0</w:t>
      </w:r>
      <w:r w:rsidR="00B9302E">
        <w:rPr>
          <w:color w:val="000000" w:themeColor="text1"/>
          <w:lang w:val="en-GB"/>
        </w:rPr>
        <w:t>.</w:t>
      </w:r>
      <w:r w:rsidR="004B7D21">
        <w:rPr>
          <w:color w:val="000000" w:themeColor="text1"/>
          <w:lang w:val="en-GB"/>
        </w:rPr>
        <w:t xml:space="preserve">4 stones </w:t>
      </w:r>
      <w:bookmarkEnd w:id="11"/>
      <w:r w:rsidR="004B7D21">
        <w:rPr>
          <w:color w:val="000000" w:themeColor="text1"/>
          <w:lang w:val="en-GB"/>
        </w:rPr>
        <w:t xml:space="preserve">per patient per year) </w:t>
      </w:r>
      <w:r>
        <w:rPr>
          <w:color w:val="000000" w:themeColor="text1"/>
          <w:lang w:val="en-GB"/>
        </w:rPr>
        <w:t>residual stone fragments after ESWL.</w:t>
      </w:r>
    </w:p>
    <w:bookmarkEnd w:id="8"/>
    <w:bookmarkEnd w:id="10"/>
    <w:p w14:paraId="3A90573C" w14:textId="035A5ABF" w:rsidR="004B0FF2" w:rsidRPr="00E24E35" w:rsidRDefault="004B0FF2" w:rsidP="005769F3">
      <w:pPr>
        <w:spacing w:line="480" w:lineRule="auto"/>
        <w:jc w:val="both"/>
        <w:rPr>
          <w:color w:val="000000" w:themeColor="text1"/>
          <w:lang w:val="en-GB"/>
        </w:rPr>
      </w:pPr>
      <w:r>
        <w:rPr>
          <w:color w:val="000000" w:themeColor="text1"/>
          <w:lang w:val="en-GB"/>
        </w:rPr>
        <w:t xml:space="preserve">Finally, </w:t>
      </w:r>
      <w:r w:rsidRPr="00E24E35">
        <w:rPr>
          <w:color w:val="000000" w:themeColor="text1"/>
          <w:lang w:val="en-GB"/>
        </w:rPr>
        <w:t>Parks and Coe concluded in their retrospective analysis of their large kidney stone patients cohort in Chicag</w:t>
      </w:r>
      <w:r>
        <w:rPr>
          <w:color w:val="000000" w:themeColor="text1"/>
          <w:lang w:val="en-GB"/>
        </w:rPr>
        <w:t>o</w:t>
      </w:r>
      <w:r w:rsidRPr="00E24E35">
        <w:rPr>
          <w:color w:val="000000" w:themeColor="text1"/>
          <w:lang w:val="en-GB"/>
        </w:rPr>
        <w:t xml:space="preserve"> </w:t>
      </w:r>
      <w:r w:rsidR="00647720">
        <w:rPr>
          <w:color w:val="000000" w:themeColor="text1"/>
          <w:lang w:val="en-GB"/>
        </w:rPr>
        <w:t>(4</w:t>
      </w:r>
      <w:r w:rsidR="00E4123F">
        <w:rPr>
          <w:color w:val="000000" w:themeColor="text1"/>
          <w:lang w:val="en-GB"/>
        </w:rPr>
        <w:t>7</w:t>
      </w:r>
      <w:r w:rsidR="00647720">
        <w:rPr>
          <w:color w:val="000000" w:themeColor="text1"/>
          <w:lang w:val="en-GB"/>
        </w:rPr>
        <w:t xml:space="preserve">) </w:t>
      </w:r>
      <w:r>
        <w:rPr>
          <w:color w:val="000000" w:themeColor="text1"/>
          <w:lang w:val="en-GB"/>
        </w:rPr>
        <w:t xml:space="preserve">that </w:t>
      </w:r>
      <w:r w:rsidRPr="00E24E35">
        <w:rPr>
          <w:color w:val="000000" w:themeColor="text1"/>
          <w:lang w:val="en-GB"/>
        </w:rPr>
        <w:t xml:space="preserve">adequate metabolic </w:t>
      </w:r>
      <w:r>
        <w:rPr>
          <w:color w:val="000000" w:themeColor="text1"/>
          <w:lang w:val="en-GB"/>
        </w:rPr>
        <w:t>evaluation</w:t>
      </w:r>
      <w:r w:rsidR="003904A3">
        <w:rPr>
          <w:color w:val="000000" w:themeColor="text1"/>
          <w:lang w:val="en-GB"/>
        </w:rPr>
        <w:t xml:space="preserve">, </w:t>
      </w:r>
      <w:r w:rsidRPr="00E24E35">
        <w:rPr>
          <w:color w:val="000000" w:themeColor="text1"/>
          <w:lang w:val="en-GB"/>
        </w:rPr>
        <w:t xml:space="preserve">follow-up consultations </w:t>
      </w:r>
      <w:r w:rsidR="003904A3">
        <w:rPr>
          <w:color w:val="000000" w:themeColor="text1"/>
          <w:lang w:val="en-GB"/>
        </w:rPr>
        <w:t xml:space="preserve">and treatment </w:t>
      </w:r>
      <w:r w:rsidRPr="00E24E35">
        <w:rPr>
          <w:color w:val="000000" w:themeColor="text1"/>
          <w:lang w:val="en-GB"/>
        </w:rPr>
        <w:t xml:space="preserve">including dietary measures and additional medical treatment when needed, did indeed lower the recurrence rate of </w:t>
      </w:r>
      <w:r w:rsidR="00A2184F">
        <w:rPr>
          <w:color w:val="000000" w:themeColor="text1"/>
          <w:lang w:val="en-GB"/>
        </w:rPr>
        <w:t>stone formation</w:t>
      </w:r>
      <w:r w:rsidRPr="00E24E35">
        <w:rPr>
          <w:color w:val="000000" w:themeColor="text1"/>
          <w:lang w:val="en-GB"/>
        </w:rPr>
        <w:t>, stone</w:t>
      </w:r>
      <w:r w:rsidR="003904A3">
        <w:rPr>
          <w:color w:val="000000" w:themeColor="text1"/>
          <w:lang w:val="en-GB"/>
        </w:rPr>
        <w:t>-</w:t>
      </w:r>
      <w:r w:rsidRPr="00E24E35">
        <w:rPr>
          <w:color w:val="000000" w:themeColor="text1"/>
          <w:lang w:val="en-GB"/>
        </w:rPr>
        <w:t>related interventions and</w:t>
      </w:r>
      <w:r>
        <w:rPr>
          <w:color w:val="000000" w:themeColor="text1"/>
          <w:lang w:val="en-GB"/>
        </w:rPr>
        <w:t xml:space="preserve"> improved</w:t>
      </w:r>
      <w:r w:rsidRPr="00E24E35">
        <w:rPr>
          <w:color w:val="000000" w:themeColor="text1"/>
          <w:lang w:val="en-GB"/>
        </w:rPr>
        <w:t xml:space="preserve"> urinary risk factors in 24-hours urine analysis. They also reported that th</w:t>
      </w:r>
      <w:r>
        <w:rPr>
          <w:color w:val="000000" w:themeColor="text1"/>
          <w:lang w:val="en-GB"/>
        </w:rPr>
        <w:t>ese</w:t>
      </w:r>
      <w:r w:rsidRPr="00E24E35">
        <w:rPr>
          <w:color w:val="000000" w:themeColor="text1"/>
          <w:lang w:val="en-GB"/>
        </w:rPr>
        <w:t xml:space="preserve"> improvement</w:t>
      </w:r>
      <w:r>
        <w:rPr>
          <w:color w:val="000000" w:themeColor="text1"/>
          <w:lang w:val="en-GB"/>
        </w:rPr>
        <w:t>s</w:t>
      </w:r>
      <w:r w:rsidRPr="00E24E35">
        <w:rPr>
          <w:color w:val="000000" w:themeColor="text1"/>
          <w:lang w:val="en-GB"/>
        </w:rPr>
        <w:t xml:space="preserve"> was durable and could be </w:t>
      </w:r>
      <w:r>
        <w:rPr>
          <w:color w:val="000000" w:themeColor="text1"/>
          <w:lang w:val="en-GB"/>
        </w:rPr>
        <w:t>documented</w:t>
      </w:r>
      <w:r w:rsidRPr="00E24E35">
        <w:rPr>
          <w:color w:val="000000" w:themeColor="text1"/>
          <w:lang w:val="en-GB"/>
        </w:rPr>
        <w:t xml:space="preserve"> for more than 20 years of follow-up</w:t>
      </w:r>
      <w:r>
        <w:rPr>
          <w:color w:val="000000" w:themeColor="text1"/>
          <w:lang w:val="en-GB"/>
        </w:rPr>
        <w:t xml:space="preserve"> (4</w:t>
      </w:r>
      <w:r w:rsidR="00E4123F">
        <w:rPr>
          <w:color w:val="000000" w:themeColor="text1"/>
          <w:lang w:val="en-GB"/>
        </w:rPr>
        <w:t>7</w:t>
      </w:r>
      <w:r>
        <w:rPr>
          <w:color w:val="000000" w:themeColor="text1"/>
          <w:lang w:val="en-GB"/>
        </w:rPr>
        <w:t>)</w:t>
      </w:r>
      <w:r w:rsidRPr="00E24E35">
        <w:rPr>
          <w:color w:val="000000" w:themeColor="text1"/>
          <w:lang w:val="en-GB"/>
        </w:rPr>
        <w:t>.</w:t>
      </w:r>
      <w:r>
        <w:rPr>
          <w:color w:val="000000" w:themeColor="text1"/>
          <w:lang w:val="en-GB"/>
        </w:rPr>
        <w:t xml:space="preserve"> </w:t>
      </w:r>
      <w:r w:rsidRPr="00C14333">
        <w:rPr>
          <w:color w:val="000000" w:themeColor="text1"/>
          <w:lang w:val="en-GB"/>
        </w:rPr>
        <w:t>However, the biggest obstacle proved to be motivating patients to stay in follow-up and carry out the 24-hour urine collection. Parks and Coe noted an annual loss of follow-up of 20</w:t>
      </w:r>
      <w:r w:rsidR="00B9302E">
        <w:rPr>
          <w:color w:val="000000" w:themeColor="text1"/>
          <w:lang w:val="en-GB"/>
        </w:rPr>
        <w:t>.</w:t>
      </w:r>
      <w:r w:rsidR="00BE1C8C">
        <w:rPr>
          <w:color w:val="000000" w:themeColor="text1"/>
          <w:lang w:val="en-GB"/>
        </w:rPr>
        <w:t>0</w:t>
      </w:r>
      <w:r w:rsidRPr="00C14333">
        <w:rPr>
          <w:color w:val="000000" w:themeColor="text1"/>
          <w:lang w:val="en-GB"/>
        </w:rPr>
        <w:t>-38</w:t>
      </w:r>
      <w:r w:rsidR="00B9302E">
        <w:rPr>
          <w:color w:val="000000" w:themeColor="text1"/>
          <w:lang w:val="en-GB"/>
        </w:rPr>
        <w:t>.</w:t>
      </w:r>
      <w:r w:rsidR="00BE1C8C">
        <w:rPr>
          <w:color w:val="000000" w:themeColor="text1"/>
          <w:lang w:val="en-GB"/>
        </w:rPr>
        <w:t>0</w:t>
      </w:r>
      <w:r w:rsidRPr="00C14333">
        <w:rPr>
          <w:color w:val="000000" w:themeColor="text1"/>
          <w:lang w:val="en-GB"/>
        </w:rPr>
        <w:t>%</w:t>
      </w:r>
      <w:r>
        <w:rPr>
          <w:color w:val="000000" w:themeColor="text1"/>
          <w:lang w:val="en-GB"/>
        </w:rPr>
        <w:t xml:space="preserve"> </w:t>
      </w:r>
      <w:r w:rsidR="003904A3">
        <w:rPr>
          <w:color w:val="000000" w:themeColor="text1"/>
          <w:lang w:val="en-GB"/>
        </w:rPr>
        <w:t xml:space="preserve">of patients </w:t>
      </w:r>
      <w:r>
        <w:rPr>
          <w:color w:val="000000" w:themeColor="text1"/>
          <w:lang w:val="en-GB"/>
        </w:rPr>
        <w:t>(</w:t>
      </w:r>
      <w:r w:rsidR="003F6E13">
        <w:rPr>
          <w:color w:val="000000" w:themeColor="text1"/>
          <w:lang w:val="en-GB"/>
        </w:rPr>
        <w:t>4</w:t>
      </w:r>
      <w:r w:rsidR="00E4123F">
        <w:rPr>
          <w:color w:val="000000" w:themeColor="text1"/>
          <w:lang w:val="en-GB"/>
        </w:rPr>
        <w:t>8</w:t>
      </w:r>
      <w:r>
        <w:rPr>
          <w:color w:val="000000" w:themeColor="text1"/>
          <w:lang w:val="en-GB"/>
        </w:rPr>
        <w:t>)</w:t>
      </w:r>
      <w:r w:rsidRPr="00C14333">
        <w:rPr>
          <w:color w:val="000000" w:themeColor="text1"/>
          <w:lang w:val="en-GB"/>
        </w:rPr>
        <w:t>.</w:t>
      </w:r>
      <w:r>
        <w:rPr>
          <w:color w:val="000000" w:themeColor="text1"/>
          <w:lang w:val="en-GB"/>
        </w:rPr>
        <w:t xml:space="preserve"> </w:t>
      </w:r>
      <w:r w:rsidRPr="00E24E35">
        <w:rPr>
          <w:color w:val="000000" w:themeColor="text1"/>
          <w:lang w:val="en-GB"/>
        </w:rPr>
        <w:t xml:space="preserve">Since to our knowledge there </w:t>
      </w:r>
      <w:r>
        <w:rPr>
          <w:color w:val="000000" w:themeColor="text1"/>
          <w:lang w:val="en-GB"/>
        </w:rPr>
        <w:t xml:space="preserve">are few other </w:t>
      </w:r>
      <w:r>
        <w:rPr>
          <w:color w:val="000000" w:themeColor="text1"/>
          <w:lang w:val="en-GB"/>
        </w:rPr>
        <w:lastRenderedPageBreak/>
        <w:t>studies</w:t>
      </w:r>
      <w:r w:rsidRPr="00E24E35">
        <w:rPr>
          <w:color w:val="000000" w:themeColor="text1"/>
          <w:lang w:val="en-GB"/>
        </w:rPr>
        <w:t xml:space="preserve"> confirming these results</w:t>
      </w:r>
      <w:r>
        <w:rPr>
          <w:color w:val="000000" w:themeColor="text1"/>
          <w:lang w:val="en-GB"/>
        </w:rPr>
        <w:t xml:space="preserve"> </w:t>
      </w:r>
      <w:r w:rsidRPr="00E24E35">
        <w:rPr>
          <w:color w:val="000000" w:themeColor="text1"/>
          <w:lang w:val="en-GB"/>
        </w:rPr>
        <w:t xml:space="preserve">nor providing other insights, acquiring more data </w:t>
      </w:r>
      <w:r>
        <w:rPr>
          <w:color w:val="000000" w:themeColor="text1"/>
          <w:lang w:val="en-GB"/>
        </w:rPr>
        <w:t>on prospectively followed patient cohorts</w:t>
      </w:r>
      <w:r w:rsidRPr="00E24E35" w:rsidDel="00E13AC9">
        <w:rPr>
          <w:color w:val="000000" w:themeColor="text1"/>
          <w:lang w:val="en-GB"/>
        </w:rPr>
        <w:t xml:space="preserve"> </w:t>
      </w:r>
      <w:r>
        <w:rPr>
          <w:color w:val="000000" w:themeColor="text1"/>
          <w:lang w:val="en-GB"/>
        </w:rPr>
        <w:t>is necessary</w:t>
      </w:r>
      <w:r w:rsidRPr="00E24E35">
        <w:rPr>
          <w:color w:val="000000" w:themeColor="text1"/>
          <w:lang w:val="en-GB"/>
        </w:rPr>
        <w:t xml:space="preserve">.  </w:t>
      </w:r>
    </w:p>
    <w:p w14:paraId="397CB801" w14:textId="2BF74330" w:rsidR="00B27C24" w:rsidRPr="001B324E" w:rsidRDefault="00B27C24" w:rsidP="005769F3">
      <w:pPr>
        <w:spacing w:line="480" w:lineRule="auto"/>
        <w:jc w:val="both"/>
        <w:rPr>
          <w:lang w:val="en-GB"/>
        </w:rPr>
      </w:pPr>
      <w:r w:rsidRPr="00CD7075">
        <w:rPr>
          <w:lang w:val="en-GB"/>
        </w:rPr>
        <w:t>Nephrocalcinosis is a condition that indicates the presence of calcium oxalate or calcium phosphate depositions in the kidneys. It is frequently associated with nephrolithiasis (4</w:t>
      </w:r>
      <w:r w:rsidR="00E4123F">
        <w:rPr>
          <w:lang w:val="en-GB"/>
        </w:rPr>
        <w:t>9</w:t>
      </w:r>
      <w:r w:rsidRPr="00CD7075">
        <w:rPr>
          <w:lang w:val="en-GB"/>
        </w:rPr>
        <w:t>)</w:t>
      </w:r>
      <w:r>
        <w:rPr>
          <w:lang w:val="en-GB"/>
        </w:rPr>
        <w:t>.</w:t>
      </w:r>
      <w:r w:rsidRPr="00CD7075">
        <w:rPr>
          <w:lang w:val="en-GB"/>
        </w:rPr>
        <w:t xml:space="preserve"> The depositions are mostly found in the renal medulla, termed medullary nephrocalcinosis, but less often they can also be found in the cortex</w:t>
      </w:r>
      <w:r>
        <w:rPr>
          <w:lang w:val="en-GB"/>
        </w:rPr>
        <w:t xml:space="preserve"> (</w:t>
      </w:r>
      <w:r w:rsidR="00E4123F">
        <w:rPr>
          <w:lang w:val="en-GB"/>
        </w:rPr>
        <w:t>50</w:t>
      </w:r>
      <w:r>
        <w:rPr>
          <w:lang w:val="en-GB"/>
        </w:rPr>
        <w:t>)</w:t>
      </w:r>
      <w:r w:rsidRPr="00CD7075">
        <w:rPr>
          <w:lang w:val="en-GB"/>
        </w:rPr>
        <w:t>.  In adults, the leading causes of medullary nephrocalcinosis are medullary sponge ki</w:t>
      </w:r>
      <w:r>
        <w:rPr>
          <w:lang w:val="en-GB"/>
        </w:rPr>
        <w:t>dn</w:t>
      </w:r>
      <w:r w:rsidRPr="00CD7075">
        <w:rPr>
          <w:lang w:val="en-GB"/>
        </w:rPr>
        <w:t>ey, hyperparathyroidism and distal renal tubular acidosis (</w:t>
      </w:r>
      <w:r w:rsidR="003F6E13">
        <w:rPr>
          <w:lang w:val="en-GB"/>
        </w:rPr>
        <w:t>5</w:t>
      </w:r>
      <w:r w:rsidR="00E4123F">
        <w:rPr>
          <w:lang w:val="en-GB"/>
        </w:rPr>
        <w:t>1</w:t>
      </w:r>
      <w:r w:rsidRPr="00CD7075">
        <w:rPr>
          <w:lang w:val="en-GB"/>
        </w:rPr>
        <w:t>).</w:t>
      </w:r>
      <w:r w:rsidR="004B0FF2">
        <w:rPr>
          <w:lang w:val="en-GB"/>
        </w:rPr>
        <w:t xml:space="preserve"> Also in these patients, preventive measures to reduce additional calcium oxalate or calcium phosphate deposition, is recommended.</w:t>
      </w:r>
    </w:p>
    <w:p w14:paraId="7F423729" w14:textId="0551F320" w:rsidR="00C2564F" w:rsidRDefault="00C2564F" w:rsidP="005769F3">
      <w:pPr>
        <w:spacing w:line="480" w:lineRule="auto"/>
        <w:jc w:val="both"/>
        <w:rPr>
          <w:color w:val="000000" w:themeColor="text1"/>
          <w:lang w:val="en-GB"/>
        </w:rPr>
      </w:pPr>
      <w:r w:rsidRPr="00E24E35">
        <w:rPr>
          <w:rFonts w:cstheme="minorHAnsi"/>
          <w:color w:val="000000" w:themeColor="text1"/>
          <w:lang w:val="en-GB"/>
        </w:rPr>
        <w:t>At the Kidney stone prevention clinic of the UZ Brussel</w:t>
      </w:r>
      <w:r w:rsidR="004B0FF2">
        <w:rPr>
          <w:rFonts w:cstheme="minorHAnsi"/>
          <w:color w:val="000000" w:themeColor="text1"/>
          <w:lang w:val="en-GB"/>
        </w:rPr>
        <w:t xml:space="preserve">, patients with nephrolithiasis and nephrocalcinosis are treated with preventive measures guided by repeated metabolic evaluation in order to improve the metabolic kidney stone formation risk factors and to decrease </w:t>
      </w:r>
      <w:r w:rsidRPr="00E24E35">
        <w:rPr>
          <w:color w:val="000000" w:themeColor="text1"/>
          <w:lang w:val="en-GB"/>
        </w:rPr>
        <w:t>renal colic episodes, number of urological interventions, new stone formation</w:t>
      </w:r>
      <w:r w:rsidR="004B0FF2">
        <w:rPr>
          <w:color w:val="000000" w:themeColor="text1"/>
          <w:lang w:val="en-GB"/>
        </w:rPr>
        <w:t xml:space="preserve"> and</w:t>
      </w:r>
      <w:r w:rsidRPr="00E24E35">
        <w:rPr>
          <w:color w:val="000000" w:themeColor="text1"/>
          <w:lang w:val="en-GB"/>
        </w:rPr>
        <w:t xml:space="preserve"> growth of residual stones</w:t>
      </w:r>
      <w:r w:rsidR="004B0FF2">
        <w:rPr>
          <w:color w:val="000000" w:themeColor="text1"/>
          <w:lang w:val="en-GB"/>
        </w:rPr>
        <w:t>.</w:t>
      </w:r>
    </w:p>
    <w:p w14:paraId="520425B6" w14:textId="47D959E2" w:rsidR="00C2564F" w:rsidRDefault="004B0FF2" w:rsidP="005769F3">
      <w:pPr>
        <w:spacing w:after="0" w:line="480" w:lineRule="auto"/>
        <w:jc w:val="both"/>
        <w:rPr>
          <w:lang w:val="en-GB"/>
        </w:rPr>
      </w:pPr>
      <w:r>
        <w:rPr>
          <w:lang w:val="en-GB"/>
        </w:rPr>
        <w:t>I</w:t>
      </w:r>
      <w:r w:rsidR="0051075A">
        <w:rPr>
          <w:lang w:val="en-GB"/>
        </w:rPr>
        <w:t xml:space="preserve">n this retrospective survey, we </w:t>
      </w:r>
      <w:r>
        <w:rPr>
          <w:lang w:val="en-GB"/>
        </w:rPr>
        <w:t xml:space="preserve">evaluate if these preventive measures effectively result in these goals and </w:t>
      </w:r>
      <w:r w:rsidR="0051075A">
        <w:rPr>
          <w:lang w:val="en-GB"/>
        </w:rPr>
        <w:t xml:space="preserve">address the following </w:t>
      </w:r>
      <w:r w:rsidR="00C2564F">
        <w:rPr>
          <w:lang w:val="en-GB"/>
        </w:rPr>
        <w:t xml:space="preserve">research questions </w:t>
      </w:r>
    </w:p>
    <w:p w14:paraId="378000D9" w14:textId="785A1DF2" w:rsidR="004B0FF2" w:rsidRDefault="00647720" w:rsidP="005769F3">
      <w:pPr>
        <w:spacing w:line="480" w:lineRule="auto"/>
        <w:ind w:left="708"/>
        <w:jc w:val="both"/>
        <w:rPr>
          <w:lang w:val="en-GB"/>
        </w:rPr>
      </w:pPr>
      <w:r>
        <w:rPr>
          <w:lang w:val="en-GB"/>
        </w:rPr>
        <w:t>1</w:t>
      </w:r>
      <w:r w:rsidR="004B0FF2">
        <w:rPr>
          <w:lang w:val="en-GB"/>
        </w:rPr>
        <w:t xml:space="preserve">. To what extent do preventive measures influence urinary risk factors involved in stone </w:t>
      </w:r>
      <w:r w:rsidR="004B0FF2">
        <w:rPr>
          <w:color w:val="FFFFFF" w:themeColor="background1"/>
          <w:lang w:val="en-GB"/>
        </w:rPr>
        <w:t xml:space="preserve">ok   </w:t>
      </w:r>
      <w:r w:rsidR="004B0FF2">
        <w:rPr>
          <w:lang w:val="en-GB"/>
        </w:rPr>
        <w:t>recurrence?</w:t>
      </w:r>
    </w:p>
    <w:p w14:paraId="04278845" w14:textId="67ABBAD1" w:rsidR="00C2564F" w:rsidRDefault="00647720" w:rsidP="005769F3">
      <w:pPr>
        <w:spacing w:line="480" w:lineRule="auto"/>
        <w:ind w:left="708"/>
        <w:jc w:val="both"/>
        <w:rPr>
          <w:lang w:val="en-GB"/>
        </w:rPr>
      </w:pPr>
      <w:r>
        <w:rPr>
          <w:lang w:val="en-GB"/>
        </w:rPr>
        <w:t>2</w:t>
      </w:r>
      <w:r w:rsidR="00B27C24">
        <w:rPr>
          <w:lang w:val="en-GB"/>
        </w:rPr>
        <w:t xml:space="preserve">. </w:t>
      </w:r>
      <w:bookmarkStart w:id="12" w:name="_Hlk68104142"/>
      <w:r w:rsidR="00C2564F">
        <w:rPr>
          <w:lang w:val="en-GB"/>
        </w:rPr>
        <w:t>To what extent do preventive measures influence stone formation rates</w:t>
      </w:r>
      <w:r w:rsidR="0051075A">
        <w:rPr>
          <w:lang w:val="en-GB"/>
        </w:rPr>
        <w:t xml:space="preserve"> in patients with nephrolithiasis</w:t>
      </w:r>
      <w:bookmarkEnd w:id="12"/>
      <w:r w:rsidR="00C2564F">
        <w:rPr>
          <w:lang w:val="en-GB"/>
        </w:rPr>
        <w:t>?</w:t>
      </w:r>
      <w:r w:rsidR="0051075A">
        <w:rPr>
          <w:lang w:val="en-GB"/>
        </w:rPr>
        <w:t xml:space="preserve"> As nephrocalcinosis </w:t>
      </w:r>
      <w:r w:rsidR="00B27C24">
        <w:rPr>
          <w:lang w:val="en-GB"/>
        </w:rPr>
        <w:t>progression</w:t>
      </w:r>
      <w:r w:rsidR="0051075A">
        <w:rPr>
          <w:lang w:val="en-GB"/>
        </w:rPr>
        <w:t xml:space="preserve"> is difficult to quantify, this research question will only be addressed to nephrolithiasis patients, excluding those with nephrocalcinosis.</w:t>
      </w:r>
    </w:p>
    <w:p w14:paraId="3DA34437" w14:textId="456D097D" w:rsidR="00F37FC8" w:rsidRDefault="00F37FC8" w:rsidP="005769F3">
      <w:pPr>
        <w:spacing w:line="480" w:lineRule="auto"/>
        <w:ind w:left="708"/>
        <w:jc w:val="both"/>
        <w:rPr>
          <w:lang w:val="en-GB"/>
        </w:rPr>
      </w:pPr>
      <w:r>
        <w:rPr>
          <w:lang w:val="en-GB"/>
        </w:rPr>
        <w:t>3. To what extent do preventive measures influence the symptomatic renal colic rate in patients with nephrolithiasis</w:t>
      </w:r>
      <w:r w:rsidR="00DB766B">
        <w:rPr>
          <w:lang w:val="en-GB"/>
        </w:rPr>
        <w:t>, excluding patients with nephrocalcinosis</w:t>
      </w:r>
      <w:r>
        <w:rPr>
          <w:lang w:val="en-GB"/>
        </w:rPr>
        <w:t>?</w:t>
      </w:r>
      <w:r w:rsidR="00525172">
        <w:rPr>
          <w:lang w:val="en-GB"/>
        </w:rPr>
        <w:t xml:space="preserve"> As patients with nephrocalcinosis only develop renal colic when associated with nephrolithiasis, this research question will exclude patients with nephrocalcinosis.</w:t>
      </w:r>
    </w:p>
    <w:p w14:paraId="46CD42EC" w14:textId="343BCDDE" w:rsidR="00C2564F" w:rsidRDefault="00B27C24" w:rsidP="005769F3">
      <w:pPr>
        <w:spacing w:line="480" w:lineRule="auto"/>
        <w:ind w:left="708"/>
        <w:jc w:val="both"/>
        <w:rPr>
          <w:lang w:val="en-GB"/>
        </w:rPr>
      </w:pPr>
      <w:r>
        <w:rPr>
          <w:lang w:val="en-GB"/>
        </w:rPr>
        <w:lastRenderedPageBreak/>
        <w:t>4</w:t>
      </w:r>
      <w:r w:rsidR="00C2564F">
        <w:rPr>
          <w:lang w:val="en-GB"/>
        </w:rPr>
        <w:t>. To what extent do preventive measures influence the number of urologic</w:t>
      </w:r>
      <w:r w:rsidR="0006627B">
        <w:rPr>
          <w:lang w:val="en-GB"/>
        </w:rPr>
        <w:t>al</w:t>
      </w:r>
      <w:r w:rsidR="00C2564F">
        <w:rPr>
          <w:lang w:val="en-GB"/>
        </w:rPr>
        <w:t xml:space="preserve"> interventions </w:t>
      </w:r>
      <w:r w:rsidR="00C2564F">
        <w:rPr>
          <w:color w:val="FFFFFF" w:themeColor="background1"/>
          <w:lang w:val="en-GB"/>
        </w:rPr>
        <w:t xml:space="preserve">aa </w:t>
      </w:r>
      <w:r w:rsidR="008F3CB0">
        <w:rPr>
          <w:lang w:val="en-GB"/>
        </w:rPr>
        <w:t>c</w:t>
      </w:r>
      <w:r w:rsidR="00C2564F">
        <w:rPr>
          <w:lang w:val="en-GB"/>
        </w:rPr>
        <w:t xml:space="preserve">ompared to </w:t>
      </w:r>
      <w:r w:rsidR="00E13AC9">
        <w:rPr>
          <w:lang w:val="en-GB"/>
        </w:rPr>
        <w:t xml:space="preserve">the period </w:t>
      </w:r>
      <w:r w:rsidR="00C2564F">
        <w:rPr>
          <w:lang w:val="en-GB"/>
        </w:rPr>
        <w:t>before the preventive measures were imposed?</w:t>
      </w:r>
      <w:r w:rsidR="008F3CB0">
        <w:rPr>
          <w:lang w:val="en-GB"/>
        </w:rPr>
        <w:t xml:space="preserve"> </w:t>
      </w:r>
      <w:r>
        <w:rPr>
          <w:lang w:val="en-GB"/>
        </w:rPr>
        <w:t xml:space="preserve">This research question will exclude patients with nephrocalcinosis given </w:t>
      </w:r>
      <w:r w:rsidR="00525172">
        <w:rPr>
          <w:lang w:val="en-GB"/>
        </w:rPr>
        <w:t>calcium oxalate and calcium phosphate depositions cannot be removed by means of urological procedures.</w:t>
      </w:r>
      <w:r w:rsidR="008F3CB0">
        <w:rPr>
          <w:lang w:val="en-GB"/>
        </w:rPr>
        <w:t xml:space="preserve"> </w:t>
      </w:r>
    </w:p>
    <w:p w14:paraId="350D4A37" w14:textId="0A11A305" w:rsidR="00BC580F" w:rsidRDefault="00BC580F" w:rsidP="005769F3">
      <w:pPr>
        <w:spacing w:line="480" w:lineRule="auto"/>
        <w:jc w:val="both"/>
        <w:rPr>
          <w:lang w:val="en-GB"/>
        </w:rPr>
      </w:pPr>
      <w:r w:rsidRPr="00BC580F">
        <w:rPr>
          <w:lang w:val="en-GB"/>
        </w:rPr>
        <w:t>This results in the following study objectives</w:t>
      </w:r>
      <w:r>
        <w:rPr>
          <w:lang w:val="en-GB"/>
        </w:rPr>
        <w:t>:</w:t>
      </w:r>
    </w:p>
    <w:p w14:paraId="4ABA89B4" w14:textId="77777777" w:rsidR="00BC580F" w:rsidRDefault="00BC580F" w:rsidP="00CC6FA2">
      <w:pPr>
        <w:pStyle w:val="Lijstalinea"/>
        <w:numPr>
          <w:ilvl w:val="0"/>
          <w:numId w:val="6"/>
        </w:numPr>
        <w:spacing w:line="480" w:lineRule="auto"/>
        <w:jc w:val="both"/>
        <w:rPr>
          <w:lang w:val="en-US"/>
        </w:rPr>
      </w:pPr>
      <w:r w:rsidRPr="00BC580F">
        <w:rPr>
          <w:lang w:val="en-US"/>
        </w:rPr>
        <w:t>Primary objectives</w:t>
      </w:r>
    </w:p>
    <w:p w14:paraId="7FAB8795" w14:textId="77777777" w:rsidR="00BC580F" w:rsidRPr="00BC580F" w:rsidRDefault="00BC580F" w:rsidP="00CC6FA2">
      <w:pPr>
        <w:pStyle w:val="Lijstalinea"/>
        <w:numPr>
          <w:ilvl w:val="1"/>
          <w:numId w:val="6"/>
        </w:numPr>
        <w:spacing w:line="480" w:lineRule="auto"/>
        <w:jc w:val="both"/>
        <w:rPr>
          <w:lang w:val="en-US"/>
        </w:rPr>
      </w:pPr>
      <w:r w:rsidRPr="00BC580F">
        <w:rPr>
          <w:rFonts w:cstheme="minorHAnsi"/>
          <w:lang w:val="en-US"/>
        </w:rPr>
        <w:t xml:space="preserve">To investigate whether the imposed preventive measures improve the urinary risk factors for kidney stone formation in patients with nephrolithiasis and nephrocalcinosis. </w:t>
      </w:r>
    </w:p>
    <w:p w14:paraId="75D16860" w14:textId="734D831B" w:rsidR="00BC580F" w:rsidRPr="00BC580F" w:rsidRDefault="00BC580F" w:rsidP="00CC6FA2">
      <w:pPr>
        <w:pStyle w:val="Lijstalinea"/>
        <w:numPr>
          <w:ilvl w:val="1"/>
          <w:numId w:val="6"/>
        </w:numPr>
        <w:spacing w:line="480" w:lineRule="auto"/>
        <w:jc w:val="both"/>
        <w:rPr>
          <w:lang w:val="en-US"/>
        </w:rPr>
      </w:pPr>
      <w:r w:rsidRPr="00BC580F">
        <w:rPr>
          <w:rFonts w:cstheme="minorHAnsi"/>
          <w:lang w:val="en-US"/>
        </w:rPr>
        <w:t>To investigate whether the imposed preventive measures result in a reduction of symptomatic renal colic episode rate in patients with nephrolithiasis.</w:t>
      </w:r>
    </w:p>
    <w:p w14:paraId="12CDB1FC" w14:textId="77777777" w:rsidR="00BC580F" w:rsidRDefault="00BC580F" w:rsidP="00CC6FA2">
      <w:pPr>
        <w:pStyle w:val="Lijstalinea"/>
        <w:numPr>
          <w:ilvl w:val="0"/>
          <w:numId w:val="6"/>
        </w:numPr>
        <w:spacing w:line="480" w:lineRule="auto"/>
        <w:jc w:val="both"/>
        <w:rPr>
          <w:lang w:val="en-US"/>
        </w:rPr>
      </w:pPr>
      <w:r w:rsidRPr="00BC580F">
        <w:rPr>
          <w:lang w:val="en-US"/>
        </w:rPr>
        <w:t xml:space="preserve">Secondary objectives </w:t>
      </w:r>
    </w:p>
    <w:p w14:paraId="1A621444" w14:textId="75558859" w:rsidR="00BC580F" w:rsidRPr="00BC580F" w:rsidRDefault="00BC580F" w:rsidP="00CC6FA2">
      <w:pPr>
        <w:pStyle w:val="Lijstalinea"/>
        <w:numPr>
          <w:ilvl w:val="1"/>
          <w:numId w:val="6"/>
        </w:numPr>
        <w:spacing w:line="480" w:lineRule="auto"/>
        <w:jc w:val="both"/>
        <w:rPr>
          <w:lang w:val="en-US"/>
        </w:rPr>
      </w:pPr>
      <w:r w:rsidRPr="00BC580F">
        <w:rPr>
          <w:rFonts w:cstheme="minorHAnsi"/>
          <w:lang w:val="en-US"/>
        </w:rPr>
        <w:t xml:space="preserve">To investigate whether the imposed preventive measures improve the urinary risk factors for kidney stone formation in those patients with nephrolithiasis and nephrocalcinosis who present urinary risk factors at baseline metabolic evaluation. </w:t>
      </w:r>
    </w:p>
    <w:p w14:paraId="0A995719" w14:textId="77777777" w:rsidR="00BC580F" w:rsidRPr="00BC580F" w:rsidRDefault="00BC580F" w:rsidP="00CC6FA2">
      <w:pPr>
        <w:pStyle w:val="Lijstalinea"/>
        <w:numPr>
          <w:ilvl w:val="1"/>
          <w:numId w:val="6"/>
        </w:numPr>
        <w:spacing w:line="480" w:lineRule="auto"/>
        <w:jc w:val="both"/>
        <w:rPr>
          <w:lang w:val="en-US"/>
        </w:rPr>
      </w:pPr>
      <w:r w:rsidRPr="00BC580F">
        <w:rPr>
          <w:rFonts w:cstheme="minorHAnsi"/>
          <w:lang w:val="en-US"/>
        </w:rPr>
        <w:t>To investigate whether the imposed preventive measures result in a reduction of kidney stone formation rate in patients with nephrolithiasis.</w:t>
      </w:r>
    </w:p>
    <w:p w14:paraId="0F1B7B0F" w14:textId="64D72E5D" w:rsidR="00BC580F" w:rsidRPr="00540A95" w:rsidRDefault="00BC580F" w:rsidP="00CC6FA2">
      <w:pPr>
        <w:pStyle w:val="Lijstalinea"/>
        <w:numPr>
          <w:ilvl w:val="1"/>
          <w:numId w:val="6"/>
        </w:numPr>
        <w:spacing w:line="480" w:lineRule="auto"/>
        <w:jc w:val="both"/>
        <w:rPr>
          <w:lang w:val="en-US"/>
        </w:rPr>
      </w:pPr>
      <w:r w:rsidRPr="00BC580F">
        <w:rPr>
          <w:rFonts w:cstheme="minorHAnsi"/>
          <w:lang w:val="en-US"/>
        </w:rPr>
        <w:t>To investigate whether the imposed preventive measures result in a reduction of urological intervention rate in patients with nephrolithiasis.</w:t>
      </w:r>
    </w:p>
    <w:p w14:paraId="2E1A8685" w14:textId="3DB08D15" w:rsidR="00540A95" w:rsidRDefault="00540A95" w:rsidP="00540A95">
      <w:pPr>
        <w:spacing w:line="480" w:lineRule="auto"/>
        <w:jc w:val="both"/>
        <w:rPr>
          <w:lang w:val="en-US"/>
        </w:rPr>
      </w:pPr>
    </w:p>
    <w:p w14:paraId="39212A75" w14:textId="2A1A8007" w:rsidR="00540A95" w:rsidRDefault="00540A95" w:rsidP="00540A95">
      <w:pPr>
        <w:spacing w:line="480" w:lineRule="auto"/>
        <w:jc w:val="both"/>
        <w:rPr>
          <w:lang w:val="en-US"/>
        </w:rPr>
      </w:pPr>
    </w:p>
    <w:p w14:paraId="55AE5EAA" w14:textId="77777777" w:rsidR="00540A95" w:rsidRPr="00540A95" w:rsidRDefault="00540A95" w:rsidP="00540A95">
      <w:pPr>
        <w:spacing w:line="480" w:lineRule="auto"/>
        <w:jc w:val="both"/>
        <w:rPr>
          <w:lang w:val="en-US"/>
        </w:rPr>
      </w:pPr>
    </w:p>
    <w:p w14:paraId="45576795" w14:textId="69FA920E" w:rsidR="00712247" w:rsidRPr="001B324E" w:rsidRDefault="00BD31F8" w:rsidP="00540A95">
      <w:pPr>
        <w:pStyle w:val="Kop1"/>
        <w:spacing w:line="480" w:lineRule="auto"/>
        <w:jc w:val="both"/>
        <w:rPr>
          <w:lang w:val="en-GB"/>
        </w:rPr>
      </w:pPr>
      <w:bookmarkStart w:id="13" w:name="_Toc70238543"/>
      <w:r w:rsidRPr="001B324E">
        <w:rPr>
          <w:lang w:val="en-GB"/>
        </w:rPr>
        <w:lastRenderedPageBreak/>
        <w:t>PATIENTS</w:t>
      </w:r>
      <w:r w:rsidR="0011295C" w:rsidRPr="001B324E">
        <w:rPr>
          <w:lang w:val="en-GB"/>
        </w:rPr>
        <w:t xml:space="preserve"> </w:t>
      </w:r>
      <w:r w:rsidRPr="001B324E">
        <w:rPr>
          <w:lang w:val="en-GB"/>
        </w:rPr>
        <w:t>A</w:t>
      </w:r>
      <w:r w:rsidR="0011295C" w:rsidRPr="001B324E">
        <w:rPr>
          <w:lang w:val="en-GB"/>
        </w:rPr>
        <w:t>N</w:t>
      </w:r>
      <w:r w:rsidRPr="001B324E">
        <w:rPr>
          <w:lang w:val="en-GB"/>
        </w:rPr>
        <w:t>D</w:t>
      </w:r>
      <w:r w:rsidR="0011295C" w:rsidRPr="001B324E">
        <w:rPr>
          <w:lang w:val="en-GB"/>
        </w:rPr>
        <w:t xml:space="preserve"> METHODS</w:t>
      </w:r>
      <w:bookmarkEnd w:id="13"/>
      <w:r w:rsidR="0011295C" w:rsidRPr="001B324E">
        <w:rPr>
          <w:lang w:val="en-GB"/>
        </w:rPr>
        <w:t xml:space="preserve"> </w:t>
      </w:r>
    </w:p>
    <w:p w14:paraId="2CA3B740" w14:textId="71F2D280" w:rsidR="00D172BA" w:rsidRPr="00D172BA" w:rsidRDefault="006A63D9" w:rsidP="00CC6FA2">
      <w:pPr>
        <w:pStyle w:val="Kop2"/>
        <w:numPr>
          <w:ilvl w:val="0"/>
          <w:numId w:val="3"/>
        </w:numPr>
        <w:spacing w:line="480" w:lineRule="auto"/>
        <w:jc w:val="both"/>
        <w:rPr>
          <w:lang w:val="en-US"/>
        </w:rPr>
      </w:pPr>
      <w:bookmarkStart w:id="14" w:name="_Toc70238544"/>
      <w:r>
        <w:rPr>
          <w:lang w:val="en-US"/>
        </w:rPr>
        <w:t>OVERAL</w:t>
      </w:r>
      <w:r w:rsidR="00012003">
        <w:rPr>
          <w:lang w:val="en-US"/>
        </w:rPr>
        <w:t>L</w:t>
      </w:r>
      <w:r>
        <w:rPr>
          <w:lang w:val="en-US"/>
        </w:rPr>
        <w:t xml:space="preserve"> STUDY DESIGN</w:t>
      </w:r>
      <w:bookmarkEnd w:id="14"/>
    </w:p>
    <w:p w14:paraId="1C6E493D" w14:textId="6D5CC234" w:rsidR="00E9115D" w:rsidRDefault="00D172BA" w:rsidP="005769F3">
      <w:pPr>
        <w:spacing w:line="480" w:lineRule="auto"/>
        <w:jc w:val="both"/>
        <w:rPr>
          <w:rFonts w:cstheme="minorHAnsi"/>
          <w:lang w:val="en-US"/>
        </w:rPr>
      </w:pPr>
      <w:r w:rsidRPr="009B2CFA">
        <w:rPr>
          <w:rFonts w:cstheme="minorHAnsi"/>
          <w:lang w:val="en-US"/>
        </w:rPr>
        <w:t xml:space="preserve">This is a retrospective cohort analysis including all nephrolithiasis and nephrocalcinosis patients </w:t>
      </w:r>
      <w:r>
        <w:rPr>
          <w:rFonts w:cstheme="minorHAnsi"/>
          <w:lang w:val="en-US"/>
        </w:rPr>
        <w:t>that</w:t>
      </w:r>
      <w:r w:rsidRPr="009B2CFA">
        <w:rPr>
          <w:rFonts w:cstheme="minorHAnsi"/>
          <w:lang w:val="en-US"/>
        </w:rPr>
        <w:t xml:space="preserve"> consulted at the Kidney stone prevention clinic at </w:t>
      </w:r>
      <w:r>
        <w:rPr>
          <w:rFonts w:cstheme="minorHAnsi"/>
          <w:lang w:val="en-US"/>
        </w:rPr>
        <w:t xml:space="preserve">the </w:t>
      </w:r>
      <w:proofErr w:type="spellStart"/>
      <w:r>
        <w:rPr>
          <w:rFonts w:cstheme="minorHAnsi"/>
          <w:lang w:val="en-US"/>
        </w:rPr>
        <w:t>Universitair</w:t>
      </w:r>
      <w:proofErr w:type="spellEnd"/>
      <w:r>
        <w:rPr>
          <w:rFonts w:cstheme="minorHAnsi"/>
          <w:lang w:val="en-US"/>
        </w:rPr>
        <w:t xml:space="preserve"> </w:t>
      </w:r>
      <w:proofErr w:type="spellStart"/>
      <w:r>
        <w:rPr>
          <w:rFonts w:cstheme="minorHAnsi"/>
          <w:lang w:val="en-US"/>
        </w:rPr>
        <w:t>Ziekenhuis</w:t>
      </w:r>
      <w:proofErr w:type="spellEnd"/>
      <w:r>
        <w:rPr>
          <w:rFonts w:cstheme="minorHAnsi"/>
          <w:lang w:val="en-US"/>
        </w:rPr>
        <w:t xml:space="preserve"> Brussel between 22/12/2004 and 31/12/2020. </w:t>
      </w:r>
      <w:r w:rsidR="006F5CA3" w:rsidRPr="006F5CA3">
        <w:rPr>
          <w:rFonts w:cstheme="minorHAnsi"/>
          <w:lang w:val="en-US"/>
        </w:rPr>
        <w:t xml:space="preserve">Patients who did not attend follow-up for more than 36 months </w:t>
      </w:r>
      <w:r w:rsidR="002A1AF1">
        <w:rPr>
          <w:rFonts w:cstheme="minorHAnsi"/>
          <w:lang w:val="en-US"/>
        </w:rPr>
        <w:t xml:space="preserve">after the last visit were not included in the analysis. In patients resuming follow-up, after loss to follow-up during more than 36 months, </w:t>
      </w:r>
      <w:r w:rsidR="006F5CA3" w:rsidRPr="006F5CA3">
        <w:rPr>
          <w:rFonts w:cstheme="minorHAnsi"/>
          <w:lang w:val="en-US"/>
        </w:rPr>
        <w:t>the longest follow-up period was taken into account.</w:t>
      </w:r>
    </w:p>
    <w:p w14:paraId="38547AF1" w14:textId="1227D999" w:rsidR="002E3FD9" w:rsidRPr="00012003" w:rsidRDefault="00012003" w:rsidP="00CC6FA2">
      <w:pPr>
        <w:pStyle w:val="Kop2"/>
        <w:numPr>
          <w:ilvl w:val="0"/>
          <w:numId w:val="3"/>
        </w:numPr>
        <w:spacing w:line="480" w:lineRule="auto"/>
        <w:jc w:val="both"/>
        <w:rPr>
          <w:lang w:val="en-US"/>
        </w:rPr>
      </w:pPr>
      <w:bookmarkStart w:id="15" w:name="_Toc70238545"/>
      <w:r w:rsidRPr="00012003">
        <w:rPr>
          <w:lang w:val="en-US"/>
        </w:rPr>
        <w:t>TREATMENT PROTOCOL OF THE KIDNEY STONE PREVENTION CLINIC</w:t>
      </w:r>
      <w:bookmarkEnd w:id="15"/>
    </w:p>
    <w:p w14:paraId="6BA552B0" w14:textId="4A545805" w:rsidR="004A6E16" w:rsidRDefault="004A6E16" w:rsidP="005769F3">
      <w:pPr>
        <w:spacing w:line="480" w:lineRule="auto"/>
        <w:jc w:val="both"/>
        <w:rPr>
          <w:rFonts w:cstheme="minorHAnsi"/>
          <w:lang w:val="en-US"/>
        </w:rPr>
      </w:pPr>
      <w:r>
        <w:rPr>
          <w:rFonts w:cstheme="minorHAnsi"/>
          <w:lang w:val="en-US"/>
        </w:rPr>
        <w:t>At the Kidney stone prevention clinic patient</w:t>
      </w:r>
      <w:r w:rsidR="002E3FD9">
        <w:rPr>
          <w:rFonts w:cstheme="minorHAnsi"/>
          <w:lang w:val="en-US"/>
        </w:rPr>
        <w:t>s</w:t>
      </w:r>
      <w:r>
        <w:rPr>
          <w:rFonts w:cstheme="minorHAnsi"/>
          <w:lang w:val="en-US"/>
        </w:rPr>
        <w:t xml:space="preserve"> </w:t>
      </w:r>
      <w:r w:rsidR="00881BC6">
        <w:rPr>
          <w:rFonts w:cstheme="minorHAnsi"/>
          <w:lang w:val="en-US"/>
        </w:rPr>
        <w:t>we</w:t>
      </w:r>
      <w:r>
        <w:rPr>
          <w:rFonts w:cstheme="minorHAnsi"/>
          <w:lang w:val="en-US"/>
        </w:rPr>
        <w:t xml:space="preserve">re treated according to and guided by the results of kidney stone analysis and </w:t>
      </w:r>
      <w:r w:rsidR="002E3FD9">
        <w:rPr>
          <w:rFonts w:cstheme="minorHAnsi"/>
          <w:lang w:val="en-US"/>
        </w:rPr>
        <w:t>repe</w:t>
      </w:r>
      <w:r w:rsidR="002E3FD9">
        <w:rPr>
          <w:rFonts w:cstheme="minorHAnsi"/>
          <w:lang w:val="en-GB"/>
        </w:rPr>
        <w:t xml:space="preserve">ated </w:t>
      </w:r>
      <w:r>
        <w:rPr>
          <w:rFonts w:cstheme="minorHAnsi"/>
          <w:lang w:val="en-US"/>
        </w:rPr>
        <w:t xml:space="preserve">metabolic evaluation. </w:t>
      </w:r>
    </w:p>
    <w:p w14:paraId="505C1B42" w14:textId="53BA49EF" w:rsidR="00974B4E" w:rsidRPr="00974B4E" w:rsidRDefault="00974B4E" w:rsidP="005769F3">
      <w:pPr>
        <w:spacing w:line="480" w:lineRule="auto"/>
        <w:jc w:val="both"/>
        <w:rPr>
          <w:rFonts w:cstheme="minorHAnsi"/>
          <w:lang w:val="en-US"/>
        </w:rPr>
      </w:pPr>
      <w:r w:rsidRPr="00974B4E">
        <w:rPr>
          <w:rFonts w:cstheme="minorHAnsi"/>
          <w:lang w:val="en-US"/>
        </w:rPr>
        <w:t>When consulting the kidney stone prevention clinic, an in-depth anamnesis t</w:t>
      </w:r>
      <w:r w:rsidR="00881BC6">
        <w:rPr>
          <w:rFonts w:cstheme="minorHAnsi"/>
          <w:lang w:val="en-US"/>
        </w:rPr>
        <w:t>ook</w:t>
      </w:r>
      <w:r w:rsidRPr="00974B4E">
        <w:rPr>
          <w:rFonts w:cstheme="minorHAnsi"/>
          <w:lang w:val="en-US"/>
        </w:rPr>
        <w:t xml:space="preserve"> place, during which the patient's eating and drinking habits, medical and surgical history, family history and medication use </w:t>
      </w:r>
      <w:r w:rsidR="00881BC6">
        <w:rPr>
          <w:rFonts w:cstheme="minorHAnsi"/>
          <w:lang w:val="en-US"/>
        </w:rPr>
        <w:t>we</w:t>
      </w:r>
      <w:r w:rsidRPr="00974B4E">
        <w:rPr>
          <w:rFonts w:cstheme="minorHAnsi"/>
          <w:lang w:val="en-US"/>
        </w:rPr>
        <w:t xml:space="preserve">re examined. In addition, a physical examination </w:t>
      </w:r>
      <w:r w:rsidR="00881BC6">
        <w:rPr>
          <w:rFonts w:cstheme="minorHAnsi"/>
          <w:lang w:val="en-US"/>
        </w:rPr>
        <w:t>wa</w:t>
      </w:r>
      <w:r w:rsidRPr="00974B4E">
        <w:rPr>
          <w:rFonts w:cstheme="minorHAnsi"/>
          <w:lang w:val="en-US"/>
        </w:rPr>
        <w:t>s carried out and, if the patient ha</w:t>
      </w:r>
      <w:r w:rsidR="00881BC6">
        <w:rPr>
          <w:rFonts w:cstheme="minorHAnsi"/>
          <w:lang w:val="en-US"/>
        </w:rPr>
        <w:t>d</w:t>
      </w:r>
      <w:r w:rsidRPr="00974B4E">
        <w:rPr>
          <w:rFonts w:cstheme="minorHAnsi"/>
          <w:lang w:val="en-US"/>
        </w:rPr>
        <w:t xml:space="preserve"> brought along stone fragments, these </w:t>
      </w:r>
      <w:r w:rsidR="00881BC6">
        <w:rPr>
          <w:rFonts w:cstheme="minorHAnsi"/>
          <w:lang w:val="en-US"/>
        </w:rPr>
        <w:t>we</w:t>
      </w:r>
      <w:r w:rsidRPr="00974B4E">
        <w:rPr>
          <w:rFonts w:cstheme="minorHAnsi"/>
          <w:lang w:val="en-US"/>
        </w:rPr>
        <w:t>re sent for analysis by means of infrared spectro</w:t>
      </w:r>
      <w:r>
        <w:rPr>
          <w:rFonts w:cstheme="minorHAnsi"/>
          <w:lang w:val="en-US"/>
        </w:rPr>
        <w:t>photo</w:t>
      </w:r>
      <w:r w:rsidRPr="00974B4E">
        <w:rPr>
          <w:rFonts w:cstheme="minorHAnsi"/>
          <w:lang w:val="en-US"/>
        </w:rPr>
        <w:t>metry.</w:t>
      </w:r>
    </w:p>
    <w:p w14:paraId="5D0E653D" w14:textId="61221474" w:rsidR="00D33D3C" w:rsidRDefault="00974B4E" w:rsidP="005769F3">
      <w:pPr>
        <w:spacing w:line="480" w:lineRule="auto"/>
        <w:jc w:val="both"/>
        <w:rPr>
          <w:rFonts w:cstheme="minorHAnsi"/>
          <w:lang w:val="en-US"/>
        </w:rPr>
      </w:pPr>
      <w:r w:rsidRPr="00974B4E">
        <w:rPr>
          <w:rFonts w:cstheme="minorHAnsi"/>
          <w:lang w:val="en-US"/>
        </w:rPr>
        <w:t>Prior to the baseline consultation, patients should also have had recent medical imaging, a blood analysis, a 24-hour urine collection and a microscopic urinalysis.</w:t>
      </w:r>
      <w:r w:rsidR="004A2C3A">
        <w:rPr>
          <w:rFonts w:cstheme="minorHAnsi"/>
          <w:lang w:val="en-US"/>
        </w:rPr>
        <w:t xml:space="preserve"> </w:t>
      </w:r>
      <w:r w:rsidRPr="00974B4E">
        <w:rPr>
          <w:rFonts w:cstheme="minorHAnsi"/>
          <w:lang w:val="en-US"/>
        </w:rPr>
        <w:t xml:space="preserve">If these </w:t>
      </w:r>
      <w:r w:rsidR="004A2C3A">
        <w:rPr>
          <w:rFonts w:cstheme="minorHAnsi"/>
          <w:lang w:val="en-US"/>
        </w:rPr>
        <w:t>were</w:t>
      </w:r>
      <w:r w:rsidRPr="00974B4E">
        <w:rPr>
          <w:rFonts w:cstheme="minorHAnsi"/>
          <w:lang w:val="en-US"/>
        </w:rPr>
        <w:t xml:space="preserve"> not yet</w:t>
      </w:r>
      <w:r w:rsidR="004A2C3A">
        <w:rPr>
          <w:rFonts w:cstheme="minorHAnsi"/>
          <w:lang w:val="en-US"/>
        </w:rPr>
        <w:t xml:space="preserve"> completed before</w:t>
      </w:r>
      <w:r w:rsidRPr="00974B4E">
        <w:rPr>
          <w:rFonts w:cstheme="minorHAnsi"/>
          <w:lang w:val="en-US"/>
        </w:rPr>
        <w:t xml:space="preserve"> the first consultation, these examinations were requested. Only when the results of these investigations were known, </w:t>
      </w:r>
      <w:r w:rsidR="00DC0EF1">
        <w:rPr>
          <w:rFonts w:cstheme="minorHAnsi"/>
          <w:lang w:val="en-US"/>
        </w:rPr>
        <w:t>preventive measures</w:t>
      </w:r>
      <w:r w:rsidR="00DC0EF1" w:rsidRPr="00974B4E">
        <w:rPr>
          <w:rFonts w:cstheme="minorHAnsi"/>
          <w:lang w:val="en-US"/>
        </w:rPr>
        <w:t xml:space="preserve"> </w:t>
      </w:r>
      <w:r w:rsidRPr="00974B4E">
        <w:rPr>
          <w:rFonts w:cstheme="minorHAnsi"/>
          <w:lang w:val="en-US"/>
        </w:rPr>
        <w:t>could be initiated</w:t>
      </w:r>
      <w:r w:rsidR="005B7696">
        <w:rPr>
          <w:rFonts w:cstheme="minorHAnsi"/>
          <w:lang w:val="en-US"/>
        </w:rPr>
        <w:t>.</w:t>
      </w:r>
      <w:r w:rsidRPr="00974B4E">
        <w:rPr>
          <w:rFonts w:cstheme="minorHAnsi"/>
          <w:lang w:val="en-US"/>
        </w:rPr>
        <w:t xml:space="preserve"> </w:t>
      </w:r>
      <w:r w:rsidR="005B7696">
        <w:rPr>
          <w:rFonts w:cstheme="minorHAnsi"/>
          <w:lang w:val="en-US"/>
        </w:rPr>
        <w:t>A complete baseline evaluation was also the prerequisite for</w:t>
      </w:r>
      <w:r w:rsidR="002A1AF1">
        <w:rPr>
          <w:rFonts w:cstheme="minorHAnsi"/>
          <w:lang w:val="en-US"/>
        </w:rPr>
        <w:t xml:space="preserve"> this </w:t>
      </w:r>
      <w:r w:rsidRPr="00974B4E">
        <w:rPr>
          <w:rFonts w:cstheme="minorHAnsi"/>
          <w:lang w:val="en-US"/>
        </w:rPr>
        <w:t xml:space="preserve">consultation </w:t>
      </w:r>
      <w:r w:rsidR="005B7696">
        <w:rPr>
          <w:rFonts w:cstheme="minorHAnsi"/>
          <w:lang w:val="en-US"/>
        </w:rPr>
        <w:t xml:space="preserve">to </w:t>
      </w:r>
      <w:r w:rsidR="002A1AF1">
        <w:rPr>
          <w:rFonts w:cstheme="minorHAnsi"/>
          <w:lang w:val="en-US"/>
        </w:rPr>
        <w:t>be</w:t>
      </w:r>
      <w:r w:rsidRPr="00974B4E">
        <w:rPr>
          <w:rFonts w:cstheme="minorHAnsi"/>
          <w:lang w:val="en-US"/>
        </w:rPr>
        <w:t xml:space="preserve"> considered as baseline </w:t>
      </w:r>
      <w:r w:rsidR="005B7696">
        <w:rPr>
          <w:rFonts w:cstheme="minorHAnsi"/>
          <w:lang w:val="en-US"/>
        </w:rPr>
        <w:t>evaluation for the present</w:t>
      </w:r>
      <w:r w:rsidRPr="00974B4E">
        <w:rPr>
          <w:rFonts w:cstheme="minorHAnsi"/>
          <w:lang w:val="en-US"/>
        </w:rPr>
        <w:t xml:space="preserve"> analysis.</w:t>
      </w:r>
    </w:p>
    <w:p w14:paraId="2509926A" w14:textId="7D1F0BE1" w:rsidR="004A6E16" w:rsidRDefault="004A6E16" w:rsidP="005769F3">
      <w:pPr>
        <w:spacing w:line="480" w:lineRule="auto"/>
        <w:jc w:val="both"/>
        <w:rPr>
          <w:rFonts w:cstheme="minorHAnsi"/>
          <w:lang w:val="en-US"/>
        </w:rPr>
      </w:pPr>
      <w:r w:rsidRPr="00D84152">
        <w:rPr>
          <w:rFonts w:cstheme="minorHAnsi"/>
          <w:lang w:val="en-US"/>
        </w:rPr>
        <w:t xml:space="preserve">During their follow-up at the Kidney </w:t>
      </w:r>
      <w:r w:rsidR="00733E82">
        <w:rPr>
          <w:rFonts w:cstheme="minorHAnsi"/>
          <w:lang w:val="en-US"/>
        </w:rPr>
        <w:t>s</w:t>
      </w:r>
      <w:r w:rsidRPr="00D84152">
        <w:rPr>
          <w:rFonts w:cstheme="minorHAnsi"/>
          <w:lang w:val="en-US"/>
        </w:rPr>
        <w:t xml:space="preserve">tone </w:t>
      </w:r>
      <w:r w:rsidR="00733E82">
        <w:rPr>
          <w:rFonts w:cstheme="minorHAnsi"/>
          <w:lang w:val="en-US"/>
        </w:rPr>
        <w:t>p</w:t>
      </w:r>
      <w:r w:rsidRPr="00D84152">
        <w:rPr>
          <w:rFonts w:cstheme="minorHAnsi"/>
          <w:lang w:val="en-US"/>
        </w:rPr>
        <w:t xml:space="preserve">revention </w:t>
      </w:r>
      <w:r w:rsidR="00733E82">
        <w:rPr>
          <w:rFonts w:cstheme="minorHAnsi"/>
          <w:lang w:val="en-US"/>
        </w:rPr>
        <w:t>c</w:t>
      </w:r>
      <w:r w:rsidRPr="00D84152">
        <w:rPr>
          <w:rFonts w:cstheme="minorHAnsi"/>
          <w:lang w:val="en-US"/>
        </w:rPr>
        <w:t xml:space="preserve">linic, all patients </w:t>
      </w:r>
      <w:r w:rsidR="00881BC6">
        <w:rPr>
          <w:rFonts w:cstheme="minorHAnsi"/>
          <w:lang w:val="en-US"/>
        </w:rPr>
        <w:t>we</w:t>
      </w:r>
      <w:r w:rsidRPr="00D84152">
        <w:rPr>
          <w:rFonts w:cstheme="minorHAnsi"/>
          <w:lang w:val="en-US"/>
        </w:rPr>
        <w:t>re recommended to increase their oral fluid intake for a minimum urinary output &gt; 2000</w:t>
      </w:r>
      <w:r w:rsidR="00292823">
        <w:rPr>
          <w:rFonts w:cstheme="minorHAnsi"/>
          <w:lang w:val="en-US"/>
        </w:rPr>
        <w:t>.0</w:t>
      </w:r>
      <w:r w:rsidRPr="00D84152">
        <w:rPr>
          <w:rFonts w:cstheme="minorHAnsi"/>
          <w:lang w:val="en-US"/>
        </w:rPr>
        <w:t xml:space="preserve"> ml/24 hours, except for </w:t>
      </w:r>
      <w:r w:rsidR="005B7696">
        <w:rPr>
          <w:rFonts w:cstheme="minorHAnsi"/>
          <w:lang w:val="en-US"/>
        </w:rPr>
        <w:t xml:space="preserve">patients with </w:t>
      </w:r>
      <w:r w:rsidRPr="00D84152">
        <w:rPr>
          <w:rFonts w:cstheme="minorHAnsi"/>
          <w:lang w:val="en-US"/>
        </w:rPr>
        <w:t xml:space="preserve">cystinuria and patients with enteric or primary hyperoxaluria </w:t>
      </w:r>
      <w:r w:rsidR="005B7696">
        <w:rPr>
          <w:rFonts w:cstheme="minorHAnsi"/>
          <w:lang w:val="en-US"/>
        </w:rPr>
        <w:t>to whom</w:t>
      </w:r>
      <w:r w:rsidR="005B7696" w:rsidRPr="00D84152">
        <w:rPr>
          <w:rFonts w:cstheme="minorHAnsi"/>
          <w:lang w:val="en-US"/>
        </w:rPr>
        <w:t xml:space="preserve"> </w:t>
      </w:r>
      <w:r w:rsidRPr="00D84152">
        <w:rPr>
          <w:rFonts w:cstheme="minorHAnsi"/>
          <w:lang w:val="en-US"/>
        </w:rPr>
        <w:t>a minimum urinary output of 3000</w:t>
      </w:r>
      <w:r w:rsidR="00292823">
        <w:rPr>
          <w:rFonts w:cstheme="minorHAnsi"/>
          <w:lang w:val="en-US"/>
        </w:rPr>
        <w:t>.0</w:t>
      </w:r>
      <w:r w:rsidRPr="00D84152">
        <w:rPr>
          <w:rFonts w:cstheme="minorHAnsi"/>
          <w:lang w:val="en-US"/>
        </w:rPr>
        <w:t xml:space="preserve"> ml/24 hours </w:t>
      </w:r>
      <w:r w:rsidR="00881BC6">
        <w:rPr>
          <w:rFonts w:cstheme="minorHAnsi"/>
          <w:lang w:val="en-US"/>
        </w:rPr>
        <w:t>wa</w:t>
      </w:r>
      <w:r w:rsidRPr="00D84152">
        <w:rPr>
          <w:rFonts w:cstheme="minorHAnsi"/>
          <w:lang w:val="en-US"/>
        </w:rPr>
        <w:t>s recommended. In all patients</w:t>
      </w:r>
      <w:r w:rsidR="005B7696">
        <w:rPr>
          <w:rFonts w:cstheme="minorHAnsi"/>
          <w:lang w:val="en-US"/>
        </w:rPr>
        <w:t>,</w:t>
      </w:r>
      <w:r w:rsidRPr="00D84152">
        <w:rPr>
          <w:rFonts w:cstheme="minorHAnsi"/>
          <w:lang w:val="en-US"/>
        </w:rPr>
        <w:t xml:space="preserve"> reduced sodium intake </w:t>
      </w:r>
      <w:r w:rsidR="00881BC6">
        <w:rPr>
          <w:rFonts w:cstheme="minorHAnsi"/>
          <w:lang w:val="en-US"/>
        </w:rPr>
        <w:t>wa</w:t>
      </w:r>
      <w:r w:rsidRPr="00D84152">
        <w:rPr>
          <w:rFonts w:cstheme="minorHAnsi"/>
          <w:lang w:val="en-US"/>
        </w:rPr>
        <w:t>s recommended (goal &lt; 150</w:t>
      </w:r>
      <w:r w:rsidR="00292823">
        <w:rPr>
          <w:rFonts w:cstheme="minorHAnsi"/>
          <w:lang w:val="en-US"/>
        </w:rPr>
        <w:t>.0</w:t>
      </w:r>
      <w:r w:rsidRPr="00D84152">
        <w:rPr>
          <w:rFonts w:cstheme="minorHAnsi"/>
          <w:lang w:val="en-US"/>
        </w:rPr>
        <w:t xml:space="preserve"> mmol/24 hours, &lt; 100</w:t>
      </w:r>
      <w:r w:rsidR="00292823">
        <w:rPr>
          <w:rFonts w:cstheme="minorHAnsi"/>
          <w:lang w:val="en-US"/>
        </w:rPr>
        <w:t>.0</w:t>
      </w:r>
      <w:r w:rsidRPr="00D84152">
        <w:rPr>
          <w:rFonts w:cstheme="minorHAnsi"/>
          <w:lang w:val="en-US"/>
        </w:rPr>
        <w:t xml:space="preserve"> mmol/24 hours in cystinuria patients). Normal protein intake </w:t>
      </w:r>
      <w:r w:rsidRPr="00D84152">
        <w:rPr>
          <w:rFonts w:cstheme="minorHAnsi"/>
          <w:lang w:val="en-US"/>
        </w:rPr>
        <w:lastRenderedPageBreak/>
        <w:t>(goal &lt; 1</w:t>
      </w:r>
      <w:r w:rsidR="00B9302E">
        <w:rPr>
          <w:rFonts w:cstheme="minorHAnsi"/>
          <w:lang w:val="en-US"/>
        </w:rPr>
        <w:t xml:space="preserve">.0 </w:t>
      </w:r>
      <w:r w:rsidRPr="00D84152">
        <w:rPr>
          <w:rFonts w:cstheme="minorHAnsi"/>
          <w:lang w:val="en-US"/>
        </w:rPr>
        <w:t>g/kg ideal weight/24 hours) and normal calcium intake (800</w:t>
      </w:r>
      <w:r w:rsidR="00292823">
        <w:rPr>
          <w:rFonts w:cstheme="minorHAnsi"/>
          <w:lang w:val="en-US"/>
        </w:rPr>
        <w:t>.0</w:t>
      </w:r>
      <w:r w:rsidRPr="00D84152">
        <w:rPr>
          <w:rFonts w:cstheme="minorHAnsi"/>
          <w:lang w:val="en-US"/>
        </w:rPr>
        <w:t>-1000</w:t>
      </w:r>
      <w:r w:rsidR="00292823">
        <w:rPr>
          <w:rFonts w:cstheme="minorHAnsi"/>
          <w:lang w:val="en-US"/>
        </w:rPr>
        <w:t>.0</w:t>
      </w:r>
      <w:r w:rsidRPr="00D84152">
        <w:rPr>
          <w:rFonts w:cstheme="minorHAnsi"/>
          <w:lang w:val="en-US"/>
        </w:rPr>
        <w:t xml:space="preserve"> mg/24 hours) </w:t>
      </w:r>
      <w:r w:rsidR="00881BC6">
        <w:rPr>
          <w:rFonts w:cstheme="minorHAnsi"/>
          <w:lang w:val="en-US"/>
        </w:rPr>
        <w:t>wa</w:t>
      </w:r>
      <w:r w:rsidRPr="00D84152">
        <w:rPr>
          <w:rFonts w:cstheme="minorHAnsi"/>
          <w:lang w:val="en-US"/>
        </w:rPr>
        <w:t xml:space="preserve">s recommended </w:t>
      </w:r>
      <w:r w:rsidR="005B7696">
        <w:rPr>
          <w:rFonts w:cstheme="minorHAnsi"/>
          <w:lang w:val="en-US"/>
        </w:rPr>
        <w:t>to</w:t>
      </w:r>
      <w:r w:rsidR="005B7696" w:rsidRPr="00D84152">
        <w:rPr>
          <w:rFonts w:cstheme="minorHAnsi"/>
          <w:lang w:val="en-US"/>
        </w:rPr>
        <w:t xml:space="preserve"> </w:t>
      </w:r>
      <w:r w:rsidRPr="00D84152">
        <w:rPr>
          <w:rFonts w:cstheme="minorHAnsi"/>
          <w:lang w:val="en-US"/>
        </w:rPr>
        <w:t xml:space="preserve">all patients. Patients with hyperoxaluria </w:t>
      </w:r>
      <w:r w:rsidR="00881BC6">
        <w:rPr>
          <w:rFonts w:cstheme="minorHAnsi"/>
          <w:lang w:val="en-US"/>
        </w:rPr>
        <w:t>wer</w:t>
      </w:r>
      <w:r w:rsidRPr="00D84152">
        <w:rPr>
          <w:rFonts w:cstheme="minorHAnsi"/>
          <w:lang w:val="en-US"/>
        </w:rPr>
        <w:t xml:space="preserve">e additionally treated with an oxalate-restricted diet and calcium supplements with meals in case of insufficient metabolic control. In patients with persisting hypercalciuria, thiazide or thiazide-like diuretics </w:t>
      </w:r>
      <w:r w:rsidR="00881BC6">
        <w:rPr>
          <w:rFonts w:cstheme="minorHAnsi"/>
          <w:lang w:val="en-US"/>
        </w:rPr>
        <w:t>we</w:t>
      </w:r>
      <w:r w:rsidRPr="00D84152">
        <w:rPr>
          <w:rFonts w:cstheme="minorHAnsi"/>
          <w:lang w:val="en-US"/>
        </w:rPr>
        <w:t>re additionally prescribed. Patients with uric acid nephrolithiasis receive</w:t>
      </w:r>
      <w:r w:rsidR="00881BC6">
        <w:rPr>
          <w:rFonts w:cstheme="minorHAnsi"/>
          <w:lang w:val="en-US"/>
        </w:rPr>
        <w:t>d</w:t>
      </w:r>
      <w:r w:rsidRPr="00D84152">
        <w:rPr>
          <w:rFonts w:cstheme="minorHAnsi"/>
          <w:lang w:val="en-US"/>
        </w:rPr>
        <w:t xml:space="preserve"> treatment by a purine-restricted diet, urinary </w:t>
      </w:r>
      <w:r w:rsidR="004A2C3A" w:rsidRPr="00D84152">
        <w:rPr>
          <w:rFonts w:cstheme="minorHAnsi"/>
          <w:lang w:val="en-US"/>
        </w:rPr>
        <w:t>alkalinization</w:t>
      </w:r>
      <w:r w:rsidRPr="00D84152">
        <w:rPr>
          <w:rFonts w:cstheme="minorHAnsi"/>
          <w:lang w:val="en-US"/>
        </w:rPr>
        <w:t xml:space="preserve"> by means of potassium citrate, sodium citrate or sodium bicarbonate (for goal pH 6</w:t>
      </w:r>
      <w:r w:rsidR="00DA3EE1">
        <w:rPr>
          <w:rFonts w:cstheme="minorHAnsi"/>
          <w:lang w:val="en-US"/>
        </w:rPr>
        <w:t>.0</w:t>
      </w:r>
      <w:r w:rsidRPr="00D84152">
        <w:rPr>
          <w:rFonts w:cstheme="minorHAnsi"/>
          <w:lang w:val="en-US"/>
        </w:rPr>
        <w:t>-6.5 in case of no residual stones, goal 6.5-7</w:t>
      </w:r>
      <w:r w:rsidR="00DA3EE1">
        <w:rPr>
          <w:rFonts w:cstheme="minorHAnsi"/>
          <w:lang w:val="en-US"/>
        </w:rPr>
        <w:t>.0</w:t>
      </w:r>
      <w:r w:rsidRPr="00D84152">
        <w:rPr>
          <w:rFonts w:cstheme="minorHAnsi"/>
          <w:lang w:val="en-US"/>
        </w:rPr>
        <w:t xml:space="preserve"> in case of residual stones) and addition of allopurinol or febuxostat if there </w:t>
      </w:r>
      <w:r w:rsidR="00881BC6">
        <w:rPr>
          <w:rFonts w:cstheme="minorHAnsi"/>
          <w:lang w:val="en-US"/>
        </w:rPr>
        <w:t>wa</w:t>
      </w:r>
      <w:r w:rsidRPr="00D84152">
        <w:rPr>
          <w:rFonts w:cstheme="minorHAnsi"/>
          <w:lang w:val="en-US"/>
        </w:rPr>
        <w:t xml:space="preserve">s insufficient metabolic control. Urinary </w:t>
      </w:r>
      <w:r w:rsidR="004A2C3A" w:rsidRPr="00D84152">
        <w:rPr>
          <w:rFonts w:cstheme="minorHAnsi"/>
          <w:lang w:val="en-US"/>
        </w:rPr>
        <w:t>alkalinization</w:t>
      </w:r>
      <w:r w:rsidRPr="00D84152">
        <w:rPr>
          <w:rFonts w:cstheme="minorHAnsi"/>
          <w:lang w:val="en-US"/>
        </w:rPr>
        <w:t xml:space="preserve"> by means of potassium citrate, sodium citrate or sodium bicarbonate </w:t>
      </w:r>
      <w:r w:rsidR="00881BC6">
        <w:rPr>
          <w:rFonts w:cstheme="minorHAnsi"/>
          <w:lang w:val="en-US"/>
        </w:rPr>
        <w:t>wa</w:t>
      </w:r>
      <w:r w:rsidRPr="00D84152">
        <w:rPr>
          <w:rFonts w:cstheme="minorHAnsi"/>
          <w:lang w:val="en-US"/>
        </w:rPr>
        <w:t xml:space="preserve">s also used in patients with hypocitraturia or persistent positive crystalluria. Cystinuria patients </w:t>
      </w:r>
      <w:r w:rsidR="00881BC6">
        <w:rPr>
          <w:rFonts w:cstheme="minorHAnsi"/>
          <w:lang w:val="en-US"/>
        </w:rPr>
        <w:t>we</w:t>
      </w:r>
      <w:r w:rsidRPr="00D84152">
        <w:rPr>
          <w:rFonts w:cstheme="minorHAnsi"/>
          <w:lang w:val="en-US"/>
        </w:rPr>
        <w:t xml:space="preserve">re treated with a methionine-restricted diet, urinary </w:t>
      </w:r>
      <w:r w:rsidR="004A2C3A" w:rsidRPr="00D84152">
        <w:rPr>
          <w:rFonts w:cstheme="minorHAnsi"/>
          <w:lang w:val="en-US"/>
        </w:rPr>
        <w:t>alkalinization</w:t>
      </w:r>
      <w:r w:rsidRPr="00D84152">
        <w:rPr>
          <w:rFonts w:cstheme="minorHAnsi"/>
          <w:lang w:val="en-US"/>
        </w:rPr>
        <w:t xml:space="preserve"> by means of potassium citrate, sodium citrate or sodium bicarbonate (for goal pH 7.5-8</w:t>
      </w:r>
      <w:r w:rsidR="00DA3EE1">
        <w:rPr>
          <w:rFonts w:cstheme="minorHAnsi"/>
          <w:lang w:val="en-US"/>
        </w:rPr>
        <w:t>.0</w:t>
      </w:r>
      <w:r w:rsidRPr="00D84152">
        <w:rPr>
          <w:rFonts w:cstheme="minorHAnsi"/>
          <w:lang w:val="en-US"/>
        </w:rPr>
        <w:t xml:space="preserve">) and exceptionally by thiol-binding agents in case of insufficient metabolic control. Primary hyperparathyroidism </w:t>
      </w:r>
      <w:r w:rsidR="00881BC6">
        <w:rPr>
          <w:rFonts w:cstheme="minorHAnsi"/>
          <w:lang w:val="en-US"/>
        </w:rPr>
        <w:t>was</w:t>
      </w:r>
      <w:r w:rsidRPr="00D84152">
        <w:rPr>
          <w:rFonts w:cstheme="minorHAnsi"/>
          <w:lang w:val="en-US"/>
        </w:rPr>
        <w:t xml:space="preserve"> treated by parathyroidectomy. Patients with distal renal tubular acidosis </w:t>
      </w:r>
      <w:r w:rsidR="00881BC6">
        <w:rPr>
          <w:rFonts w:cstheme="minorHAnsi"/>
          <w:lang w:val="en-US"/>
        </w:rPr>
        <w:t>we</w:t>
      </w:r>
      <w:r w:rsidRPr="00D84152">
        <w:rPr>
          <w:rFonts w:cstheme="minorHAnsi"/>
          <w:lang w:val="en-US"/>
        </w:rPr>
        <w:t xml:space="preserve">re treated by means of urinary </w:t>
      </w:r>
      <w:r w:rsidR="004A2C3A" w:rsidRPr="00D84152">
        <w:rPr>
          <w:rFonts w:cstheme="minorHAnsi"/>
          <w:lang w:val="en-US"/>
        </w:rPr>
        <w:t>alkalinization</w:t>
      </w:r>
      <w:r w:rsidRPr="00D84152">
        <w:rPr>
          <w:rFonts w:cstheme="minorHAnsi"/>
          <w:lang w:val="en-US"/>
        </w:rPr>
        <w:t xml:space="preserve"> and thiazide or thiazide-like diuretics in case of hypercalciuria. Struvite stones </w:t>
      </w:r>
      <w:r w:rsidR="00881BC6">
        <w:rPr>
          <w:rFonts w:cstheme="minorHAnsi"/>
          <w:lang w:val="en-US"/>
        </w:rPr>
        <w:t>we</w:t>
      </w:r>
      <w:r w:rsidRPr="00D84152">
        <w:rPr>
          <w:rFonts w:cstheme="minorHAnsi"/>
          <w:lang w:val="en-US"/>
        </w:rPr>
        <w:t xml:space="preserve">re treated with long-term antibiotic treatment, urological removal of stones and urinary acidification. </w:t>
      </w:r>
    </w:p>
    <w:p w14:paraId="00F7E276" w14:textId="15B5D35D" w:rsidR="00D172BA" w:rsidRPr="00012003" w:rsidRDefault="00012003" w:rsidP="00CC6FA2">
      <w:pPr>
        <w:pStyle w:val="Kop2"/>
        <w:numPr>
          <w:ilvl w:val="0"/>
          <w:numId w:val="3"/>
        </w:numPr>
        <w:spacing w:after="240" w:line="480" w:lineRule="auto"/>
        <w:jc w:val="both"/>
        <w:rPr>
          <w:lang w:val="en-US"/>
        </w:rPr>
      </w:pPr>
      <w:bookmarkStart w:id="16" w:name="_Toc70238546"/>
      <w:r w:rsidRPr="00012003">
        <w:rPr>
          <w:lang w:val="en-US"/>
        </w:rPr>
        <w:t>DATA RETRIEVAL</w:t>
      </w:r>
      <w:bookmarkEnd w:id="16"/>
    </w:p>
    <w:p w14:paraId="02AB9D0B" w14:textId="78720E8A" w:rsidR="00D172BA" w:rsidRDefault="00D172BA" w:rsidP="005769F3">
      <w:pPr>
        <w:spacing w:line="480" w:lineRule="auto"/>
        <w:jc w:val="both"/>
        <w:rPr>
          <w:rFonts w:cstheme="minorHAnsi"/>
          <w:lang w:val="en-US"/>
        </w:rPr>
      </w:pPr>
      <w:r w:rsidRPr="009B2CFA">
        <w:rPr>
          <w:rFonts w:cstheme="minorHAnsi"/>
          <w:lang w:val="en-US"/>
        </w:rPr>
        <w:t xml:space="preserve">Data used for this analysis </w:t>
      </w:r>
      <w:r w:rsidR="00881BC6">
        <w:rPr>
          <w:rFonts w:cstheme="minorHAnsi"/>
          <w:lang w:val="en-US"/>
        </w:rPr>
        <w:t>we</w:t>
      </w:r>
      <w:r w:rsidR="00DC5DD0">
        <w:rPr>
          <w:rFonts w:cstheme="minorHAnsi"/>
          <w:lang w:val="en-US"/>
        </w:rPr>
        <w:t>re</w:t>
      </w:r>
      <w:r w:rsidRPr="009B2CFA">
        <w:rPr>
          <w:rFonts w:cstheme="minorHAnsi"/>
          <w:lang w:val="en-US"/>
        </w:rPr>
        <w:t xml:space="preserve"> retrieved from the Kidney stone prevention clinic database, approved by the </w:t>
      </w:r>
      <w:r w:rsidRPr="00D97EEC">
        <w:rPr>
          <w:rFonts w:cstheme="minorHAnsi"/>
          <w:lang w:val="en-US"/>
        </w:rPr>
        <w:t>Ethic</w:t>
      </w:r>
      <w:r>
        <w:rPr>
          <w:rFonts w:cstheme="minorHAnsi"/>
          <w:lang w:val="en-US"/>
        </w:rPr>
        <w:t>s</w:t>
      </w:r>
      <w:r w:rsidRPr="00D97EEC">
        <w:rPr>
          <w:rFonts w:cstheme="minorHAnsi"/>
          <w:lang w:val="en-US"/>
        </w:rPr>
        <w:t xml:space="preserve"> committee </w:t>
      </w:r>
      <w:r w:rsidR="00DC5DD0">
        <w:rPr>
          <w:rFonts w:cstheme="minorHAnsi"/>
          <w:lang w:val="en-US"/>
        </w:rPr>
        <w:t xml:space="preserve">of the UZ Brussel/VUB </w:t>
      </w:r>
      <w:r w:rsidRPr="00D97EEC">
        <w:rPr>
          <w:rFonts w:cstheme="minorHAnsi"/>
          <w:lang w:val="en-US"/>
        </w:rPr>
        <w:t xml:space="preserve">on 12/8/2019 </w:t>
      </w:r>
      <w:r w:rsidRPr="009B2CFA">
        <w:rPr>
          <w:rFonts w:cstheme="minorHAnsi"/>
          <w:lang w:val="en-US"/>
        </w:rPr>
        <w:t>(</w:t>
      </w:r>
      <w:r>
        <w:rPr>
          <w:rFonts w:cstheme="minorHAnsi"/>
          <w:lang w:val="en-US"/>
        </w:rPr>
        <w:t>EC</w:t>
      </w:r>
      <w:r w:rsidRPr="009B2CFA">
        <w:rPr>
          <w:rFonts w:cstheme="minorHAnsi"/>
          <w:lang w:val="en-US"/>
        </w:rPr>
        <w:t xml:space="preserve"> 2019-155). </w:t>
      </w:r>
      <w:r w:rsidR="00DC5DD0">
        <w:rPr>
          <w:rFonts w:cstheme="minorHAnsi"/>
          <w:lang w:val="en-US"/>
        </w:rPr>
        <w:t xml:space="preserve">This Kidney stone prevention clinic database stores data collected from the patients followed at the Kidney stone prevention clinic as part of their normal clinical follow-up. No additional data </w:t>
      </w:r>
      <w:r w:rsidR="00881BC6">
        <w:rPr>
          <w:rFonts w:cstheme="minorHAnsi"/>
          <w:lang w:val="en-US"/>
        </w:rPr>
        <w:t>we</w:t>
      </w:r>
      <w:r w:rsidR="00DC5DD0">
        <w:rPr>
          <w:rFonts w:cstheme="minorHAnsi"/>
          <w:lang w:val="en-US"/>
        </w:rPr>
        <w:t>re obtained for the purpose of this database nor for the purpose of this retrospective analysis.</w:t>
      </w:r>
    </w:p>
    <w:p w14:paraId="4AA4B340" w14:textId="7DEE1ECF" w:rsidR="00540A95" w:rsidRDefault="00540A95" w:rsidP="005769F3">
      <w:pPr>
        <w:spacing w:line="480" w:lineRule="auto"/>
        <w:jc w:val="both"/>
        <w:rPr>
          <w:rFonts w:cstheme="minorHAnsi"/>
          <w:lang w:val="en-US"/>
        </w:rPr>
      </w:pPr>
    </w:p>
    <w:p w14:paraId="3320DA9E" w14:textId="77777777" w:rsidR="00292823" w:rsidRDefault="00292823" w:rsidP="005769F3">
      <w:pPr>
        <w:spacing w:line="480" w:lineRule="auto"/>
        <w:jc w:val="both"/>
        <w:rPr>
          <w:rFonts w:cstheme="minorHAnsi"/>
          <w:lang w:val="en-US"/>
        </w:rPr>
      </w:pPr>
    </w:p>
    <w:p w14:paraId="08093457" w14:textId="77777777" w:rsidR="00540A95" w:rsidRPr="00D172BA" w:rsidRDefault="00540A95" w:rsidP="005769F3">
      <w:pPr>
        <w:spacing w:line="480" w:lineRule="auto"/>
        <w:jc w:val="both"/>
        <w:rPr>
          <w:lang w:val="en-US"/>
        </w:rPr>
      </w:pPr>
    </w:p>
    <w:p w14:paraId="2014E005" w14:textId="6B9DCE2C" w:rsidR="00740F87" w:rsidRDefault="00D172BA" w:rsidP="005769F3">
      <w:pPr>
        <w:spacing w:after="0" w:line="480" w:lineRule="auto"/>
        <w:jc w:val="both"/>
        <w:rPr>
          <w:rFonts w:cstheme="minorHAnsi"/>
          <w:lang w:val="en-US"/>
        </w:rPr>
      </w:pPr>
      <w:r w:rsidRPr="009B2CFA">
        <w:rPr>
          <w:rFonts w:cstheme="minorHAnsi"/>
          <w:lang w:val="en-US"/>
        </w:rPr>
        <w:lastRenderedPageBreak/>
        <w:t xml:space="preserve">The following data </w:t>
      </w:r>
      <w:r w:rsidR="00740F87">
        <w:rPr>
          <w:rFonts w:cstheme="minorHAnsi"/>
          <w:lang w:val="en-US"/>
        </w:rPr>
        <w:t>were</w:t>
      </w:r>
      <w:r w:rsidR="00DC5DD0">
        <w:rPr>
          <w:rFonts w:cstheme="minorHAnsi"/>
          <w:lang w:val="en-US"/>
        </w:rPr>
        <w:t xml:space="preserve"> obtained from the database: </w:t>
      </w:r>
      <w:r>
        <w:rPr>
          <w:rFonts w:cstheme="minorHAnsi"/>
          <w:lang w:val="en-US"/>
        </w:rPr>
        <w:t xml:space="preserve"> </w:t>
      </w:r>
    </w:p>
    <w:p w14:paraId="0E4916F0" w14:textId="3AD34F32" w:rsidR="00D172BA" w:rsidRPr="00D97EEC" w:rsidRDefault="00D172BA" w:rsidP="005769F3">
      <w:pPr>
        <w:spacing w:after="0" w:line="480" w:lineRule="auto"/>
        <w:jc w:val="both"/>
        <w:rPr>
          <w:rFonts w:cstheme="minorHAnsi"/>
          <w:i/>
          <w:iCs/>
          <w:lang w:val="en-US"/>
        </w:rPr>
      </w:pPr>
      <w:r w:rsidRPr="000953E7">
        <w:rPr>
          <w:rFonts w:cstheme="minorHAnsi"/>
          <w:b/>
          <w:bCs/>
          <w:lang w:val="en-US"/>
        </w:rPr>
        <w:t>Baseline data</w:t>
      </w:r>
      <w:r w:rsidR="00DC5DD0">
        <w:rPr>
          <w:rFonts w:cstheme="minorHAnsi"/>
          <w:lang w:val="en-US"/>
        </w:rPr>
        <w:t xml:space="preserve"> (data obtained at the first consultation at the </w:t>
      </w:r>
      <w:r w:rsidR="002E3FD9">
        <w:rPr>
          <w:rFonts w:cstheme="minorHAnsi"/>
          <w:lang w:val="en-US"/>
        </w:rPr>
        <w:t>K</w:t>
      </w:r>
      <w:r w:rsidR="00DC5DD0">
        <w:rPr>
          <w:rFonts w:cstheme="minorHAnsi"/>
          <w:lang w:val="en-US"/>
        </w:rPr>
        <w:t>idney stone prevention clinic)</w:t>
      </w:r>
      <w:r w:rsidRPr="00D97EEC">
        <w:rPr>
          <w:rFonts w:cstheme="minorHAnsi"/>
          <w:lang w:val="en-US"/>
        </w:rPr>
        <w:t>:</w:t>
      </w:r>
    </w:p>
    <w:p w14:paraId="2501A9F0" w14:textId="77777777" w:rsidR="00D172BA" w:rsidRPr="00740F87" w:rsidRDefault="00D172BA" w:rsidP="00CC6FA2">
      <w:pPr>
        <w:pStyle w:val="Lijstalinea"/>
        <w:numPr>
          <w:ilvl w:val="0"/>
          <w:numId w:val="5"/>
        </w:numPr>
        <w:spacing w:line="480" w:lineRule="auto"/>
        <w:jc w:val="both"/>
        <w:rPr>
          <w:rFonts w:cstheme="minorHAnsi"/>
          <w:i/>
          <w:iCs/>
          <w:lang w:val="en-US"/>
        </w:rPr>
      </w:pPr>
      <w:r w:rsidRPr="00740F87">
        <w:rPr>
          <w:rFonts w:cstheme="minorHAnsi"/>
          <w:lang w:val="en-US"/>
        </w:rPr>
        <w:t>Date of birth, gender, ethnicity</w:t>
      </w:r>
    </w:p>
    <w:p w14:paraId="4BE1313B" w14:textId="77777777" w:rsidR="00D172BA" w:rsidRPr="00740F87" w:rsidRDefault="00D172BA" w:rsidP="00CC6FA2">
      <w:pPr>
        <w:pStyle w:val="Lijstalinea"/>
        <w:numPr>
          <w:ilvl w:val="0"/>
          <w:numId w:val="5"/>
        </w:numPr>
        <w:spacing w:line="480" w:lineRule="auto"/>
        <w:jc w:val="both"/>
        <w:rPr>
          <w:rFonts w:cstheme="minorHAnsi"/>
          <w:i/>
          <w:iCs/>
          <w:lang w:val="en-US"/>
        </w:rPr>
      </w:pPr>
      <w:r w:rsidRPr="00740F87">
        <w:rPr>
          <w:rFonts w:cstheme="minorHAnsi"/>
          <w:lang w:val="en-US"/>
        </w:rPr>
        <w:t xml:space="preserve">Height and weight </w:t>
      </w:r>
    </w:p>
    <w:p w14:paraId="21A10A55" w14:textId="5791F86B" w:rsidR="00043EF3" w:rsidRPr="00740F87" w:rsidRDefault="00D172BA" w:rsidP="00CC6FA2">
      <w:pPr>
        <w:pStyle w:val="Lijstalinea"/>
        <w:numPr>
          <w:ilvl w:val="0"/>
          <w:numId w:val="5"/>
        </w:numPr>
        <w:spacing w:line="480" w:lineRule="auto"/>
        <w:rPr>
          <w:rFonts w:cstheme="minorHAnsi"/>
          <w:i/>
          <w:iCs/>
          <w:lang w:val="en-US"/>
        </w:rPr>
      </w:pPr>
      <w:r w:rsidRPr="00740F87">
        <w:rPr>
          <w:rFonts w:cstheme="minorHAnsi"/>
          <w:lang w:val="en-US"/>
        </w:rPr>
        <w:t>Medical and surgical history</w:t>
      </w:r>
      <w:r w:rsidR="00043EF3" w:rsidRPr="00740F87">
        <w:rPr>
          <w:rFonts w:cstheme="minorHAnsi"/>
          <w:lang w:val="en-US"/>
        </w:rPr>
        <w:br/>
        <w:t>In particular the following comorbidities were evaluated:</w:t>
      </w:r>
    </w:p>
    <w:p w14:paraId="57BD918F" w14:textId="19B9F910" w:rsidR="00740F87" w:rsidRDefault="00BC7017" w:rsidP="00CC6FA2">
      <w:pPr>
        <w:pStyle w:val="Lijstalinea"/>
        <w:numPr>
          <w:ilvl w:val="1"/>
          <w:numId w:val="5"/>
        </w:numPr>
        <w:spacing w:line="480" w:lineRule="auto"/>
        <w:jc w:val="both"/>
        <w:rPr>
          <w:rFonts w:cstheme="minorHAnsi"/>
          <w:lang w:val="en-US"/>
        </w:rPr>
      </w:pPr>
      <w:r>
        <w:rPr>
          <w:rFonts w:cstheme="minorHAnsi"/>
          <w:lang w:val="en-US"/>
        </w:rPr>
        <w:t>H</w:t>
      </w:r>
      <w:r w:rsidR="00043EF3">
        <w:rPr>
          <w:rFonts w:cstheme="minorHAnsi"/>
          <w:lang w:val="en-US"/>
        </w:rPr>
        <w:t>ypertension, cardiovascular disease,</w:t>
      </w:r>
      <w:r w:rsidR="008E57B3">
        <w:rPr>
          <w:rFonts w:cstheme="minorHAnsi"/>
          <w:lang w:val="en-US"/>
        </w:rPr>
        <w:t xml:space="preserve"> CKD</w:t>
      </w:r>
      <w:r w:rsidR="00043EF3">
        <w:rPr>
          <w:rFonts w:cstheme="minorHAnsi"/>
          <w:lang w:val="en-US"/>
        </w:rPr>
        <w:t>, diabetes, gout, dyslipidemia, obesity,</w:t>
      </w:r>
      <w:r w:rsidR="0063541E">
        <w:rPr>
          <w:rFonts w:cstheme="minorHAnsi"/>
          <w:lang w:val="en-US"/>
        </w:rPr>
        <w:t xml:space="preserve"> </w:t>
      </w:r>
      <w:r w:rsidR="00043EF3">
        <w:rPr>
          <w:rFonts w:cstheme="minorHAnsi"/>
          <w:lang w:val="en-US"/>
        </w:rPr>
        <w:t>OSAS, osteopenia/osteoporosis, renal/urological abnormalities</w:t>
      </w:r>
      <w:r w:rsidR="00BF55D1">
        <w:rPr>
          <w:rFonts w:cstheme="minorHAnsi"/>
          <w:lang w:val="en-US"/>
        </w:rPr>
        <w:t xml:space="preserve">, </w:t>
      </w:r>
      <w:proofErr w:type="spellStart"/>
      <w:r w:rsidR="00BF55D1">
        <w:rPr>
          <w:rFonts w:cstheme="minorHAnsi"/>
          <w:lang w:val="en-US"/>
        </w:rPr>
        <w:t>gastro-intestinal</w:t>
      </w:r>
      <w:proofErr w:type="spellEnd"/>
      <w:r w:rsidR="00BF55D1">
        <w:rPr>
          <w:rFonts w:cstheme="minorHAnsi"/>
          <w:lang w:val="en-US"/>
        </w:rPr>
        <w:t xml:space="preserve"> comorbidities, metabolic disorders, nephrocalcinosis, medullary sponge kidney, tetraparesis, Dent's disease</w:t>
      </w:r>
      <w:r w:rsidR="00043EF3">
        <w:rPr>
          <w:rFonts w:cstheme="minorHAnsi"/>
          <w:lang w:val="en-US"/>
        </w:rPr>
        <w:t xml:space="preserve">. </w:t>
      </w:r>
    </w:p>
    <w:p w14:paraId="0D02FDCC" w14:textId="77777777" w:rsidR="002E3FD9" w:rsidRPr="00BC7017" w:rsidRDefault="00043EF3" w:rsidP="00CC6FA2">
      <w:pPr>
        <w:pStyle w:val="Lijstalinea"/>
        <w:numPr>
          <w:ilvl w:val="2"/>
          <w:numId w:val="5"/>
        </w:numPr>
        <w:spacing w:line="480" w:lineRule="auto"/>
        <w:jc w:val="both"/>
        <w:rPr>
          <w:rFonts w:cstheme="minorHAnsi"/>
          <w:i/>
          <w:iCs/>
          <w:lang w:val="en-US"/>
        </w:rPr>
      </w:pPr>
      <w:r w:rsidRPr="00BC580F">
        <w:rPr>
          <w:rFonts w:cstheme="minorHAnsi"/>
          <w:lang w:val="en-US"/>
        </w:rPr>
        <w:t>Renal/urological abnormalities comprised</w:t>
      </w:r>
      <w:r w:rsidR="00740F87" w:rsidRPr="00BC580F">
        <w:rPr>
          <w:rFonts w:cstheme="minorHAnsi"/>
          <w:lang w:val="en-US"/>
        </w:rPr>
        <w:t xml:space="preserve"> prostatic disease, unique functioning kidney, ADPKD, horseshoe kidney, kidney duplication, PUJ stenosis, ureter stenosis, urethra stenosis, vesicourethral reflux, neurogenic bladder, cystectomy, congenital mega-ureter, bladder polyp/tumor and recurrent UTIs. </w:t>
      </w:r>
      <w:r w:rsidR="002E3FD9" w:rsidRPr="00BC580F">
        <w:rPr>
          <w:rFonts w:cstheme="minorHAnsi"/>
          <w:lang w:val="en-US"/>
        </w:rPr>
        <w:t>Prostatic disease comprised TURP, total prostatectomy, BPH, prostatic carcinoma</w:t>
      </w:r>
      <w:r w:rsidR="002E3FD9">
        <w:rPr>
          <w:rFonts w:cstheme="minorHAnsi"/>
          <w:lang w:val="en-US"/>
        </w:rPr>
        <w:t xml:space="preserve">. </w:t>
      </w:r>
    </w:p>
    <w:p w14:paraId="035EB30D" w14:textId="02BAC803" w:rsidR="00BC7017" w:rsidRPr="00BC7017" w:rsidRDefault="00BF55D1" w:rsidP="00CC6FA2">
      <w:pPr>
        <w:pStyle w:val="Lijstalinea"/>
        <w:numPr>
          <w:ilvl w:val="2"/>
          <w:numId w:val="5"/>
        </w:numPr>
        <w:spacing w:line="480" w:lineRule="auto"/>
        <w:jc w:val="both"/>
        <w:rPr>
          <w:rFonts w:cstheme="minorHAnsi"/>
          <w:i/>
          <w:iCs/>
          <w:lang w:val="en-US"/>
        </w:rPr>
      </w:pPr>
      <w:r w:rsidRPr="00BC580F">
        <w:rPr>
          <w:rFonts w:cstheme="minorHAnsi"/>
          <w:lang w:val="en-US"/>
        </w:rPr>
        <w:t>Gastro-intestinal comorbidities comprised</w:t>
      </w:r>
      <w:r w:rsidR="002A1AF1">
        <w:rPr>
          <w:rFonts w:cstheme="minorHAnsi"/>
          <w:lang w:val="en-US"/>
        </w:rPr>
        <w:t xml:space="preserve"> </w:t>
      </w:r>
      <w:r w:rsidR="00740F87" w:rsidRPr="00BC580F">
        <w:rPr>
          <w:rFonts w:cstheme="minorHAnsi"/>
          <w:lang w:val="en-US"/>
        </w:rPr>
        <w:t>IBD, ileal resection, colon resection, pancreatic insufficiency, bariatric surgery (sleeve gastrectomy</w:t>
      </w:r>
      <w:r w:rsidR="004B7D21">
        <w:rPr>
          <w:rFonts w:cstheme="minorHAnsi"/>
          <w:lang w:val="en-US"/>
        </w:rPr>
        <w:t>,</w:t>
      </w:r>
      <w:r w:rsidR="00E32C60">
        <w:rPr>
          <w:rFonts w:cstheme="minorHAnsi"/>
          <w:lang w:val="en-US"/>
        </w:rPr>
        <w:t xml:space="preserve"> </w:t>
      </w:r>
      <w:r w:rsidR="00740F87" w:rsidRPr="00BC580F">
        <w:rPr>
          <w:rFonts w:cstheme="minorHAnsi"/>
          <w:lang w:val="en-US"/>
        </w:rPr>
        <w:t>gastric bypass</w:t>
      </w:r>
      <w:r w:rsidR="002E3FD9">
        <w:rPr>
          <w:rFonts w:cstheme="minorHAnsi"/>
          <w:lang w:val="en-US"/>
        </w:rPr>
        <w:t xml:space="preserve"> surgery</w:t>
      </w:r>
      <w:r w:rsidR="004B7D21">
        <w:rPr>
          <w:rFonts w:cstheme="minorHAnsi"/>
          <w:lang w:val="en-US"/>
        </w:rPr>
        <w:t xml:space="preserve"> and gastric banding</w:t>
      </w:r>
      <w:r w:rsidR="00740F87" w:rsidRPr="00BC580F">
        <w:rPr>
          <w:rFonts w:cstheme="minorHAnsi"/>
          <w:lang w:val="en-US"/>
        </w:rPr>
        <w:t xml:space="preserve">), celiac disease and lactose intolerance. </w:t>
      </w:r>
    </w:p>
    <w:p w14:paraId="1EDFC93E" w14:textId="0CA69E4E" w:rsidR="00043EF3" w:rsidRPr="00BC580F" w:rsidRDefault="00BF55D1" w:rsidP="00CC6FA2">
      <w:pPr>
        <w:pStyle w:val="Lijstalinea"/>
        <w:numPr>
          <w:ilvl w:val="2"/>
          <w:numId w:val="5"/>
        </w:numPr>
        <w:spacing w:line="480" w:lineRule="auto"/>
        <w:jc w:val="both"/>
        <w:rPr>
          <w:rFonts w:cstheme="minorHAnsi"/>
          <w:i/>
          <w:iCs/>
          <w:lang w:val="en-US"/>
        </w:rPr>
      </w:pPr>
      <w:r w:rsidRPr="00BC580F">
        <w:rPr>
          <w:rFonts w:cstheme="minorHAnsi"/>
          <w:lang w:val="en-US"/>
        </w:rPr>
        <w:t>Metabolic disorders comprised (</w:t>
      </w:r>
      <w:proofErr w:type="spellStart"/>
      <w:r w:rsidRPr="00BC580F">
        <w:rPr>
          <w:rFonts w:cstheme="minorHAnsi"/>
          <w:lang w:val="en-US"/>
        </w:rPr>
        <w:t>normocalcemic</w:t>
      </w:r>
      <w:proofErr w:type="spellEnd"/>
      <w:r w:rsidRPr="00BC580F">
        <w:rPr>
          <w:rFonts w:cstheme="minorHAnsi"/>
          <w:lang w:val="en-US"/>
        </w:rPr>
        <w:t>) hyperparathyroidism, distal renal tubular acidosis (</w:t>
      </w:r>
      <w:r w:rsidR="002E3FD9">
        <w:rPr>
          <w:rFonts w:cstheme="minorHAnsi"/>
          <w:lang w:val="en-US"/>
        </w:rPr>
        <w:t>with/without</w:t>
      </w:r>
      <w:r w:rsidR="002E3FD9" w:rsidRPr="00BC580F">
        <w:rPr>
          <w:rFonts w:cstheme="minorHAnsi"/>
          <w:lang w:val="en-US"/>
        </w:rPr>
        <w:t xml:space="preserve"> </w:t>
      </w:r>
      <w:r w:rsidRPr="00BC580F">
        <w:rPr>
          <w:rFonts w:cstheme="minorHAnsi"/>
          <w:lang w:val="en-US"/>
        </w:rPr>
        <w:t xml:space="preserve">presence of </w:t>
      </w:r>
      <w:proofErr w:type="spellStart"/>
      <w:r w:rsidRPr="00BC580F">
        <w:rPr>
          <w:rFonts w:cstheme="minorHAnsi"/>
          <w:lang w:val="en-US"/>
        </w:rPr>
        <w:t>Sjögren's</w:t>
      </w:r>
      <w:proofErr w:type="spellEnd"/>
      <w:r w:rsidRPr="00BC580F">
        <w:rPr>
          <w:rFonts w:cstheme="minorHAnsi"/>
          <w:lang w:val="en-US"/>
        </w:rPr>
        <w:t xml:space="preserve"> syndrome), hypercalcemia, enteric hyperoxaluria, cystinuria</w:t>
      </w:r>
      <w:r w:rsidR="00740F87" w:rsidRPr="00BC580F">
        <w:rPr>
          <w:rFonts w:cstheme="minorHAnsi"/>
          <w:lang w:val="en-US"/>
        </w:rPr>
        <w:t xml:space="preserve"> and </w:t>
      </w:r>
      <w:r w:rsidRPr="00BC580F">
        <w:rPr>
          <w:rFonts w:cstheme="minorHAnsi"/>
          <w:lang w:val="en-US"/>
        </w:rPr>
        <w:t>Fanconi syndro</w:t>
      </w:r>
      <w:r w:rsidR="00BC580F" w:rsidRPr="00BC580F">
        <w:rPr>
          <w:rFonts w:cstheme="minorHAnsi"/>
          <w:lang w:val="en-US"/>
        </w:rPr>
        <w:t>me</w:t>
      </w:r>
      <w:r w:rsidR="00BC580F">
        <w:rPr>
          <w:rFonts w:cstheme="minorHAnsi"/>
          <w:lang w:val="en-US"/>
        </w:rPr>
        <w:t>.</w:t>
      </w:r>
    </w:p>
    <w:p w14:paraId="5DCD46CF" w14:textId="566926DB" w:rsidR="00740F87" w:rsidRPr="00740F87" w:rsidRDefault="00D172BA" w:rsidP="00CC6FA2">
      <w:pPr>
        <w:pStyle w:val="Lijstalinea"/>
        <w:numPr>
          <w:ilvl w:val="0"/>
          <w:numId w:val="1"/>
        </w:numPr>
        <w:spacing w:line="480" w:lineRule="auto"/>
        <w:jc w:val="both"/>
        <w:rPr>
          <w:rFonts w:cstheme="minorHAnsi"/>
          <w:i/>
          <w:iCs/>
          <w:lang w:val="en-US"/>
        </w:rPr>
      </w:pPr>
      <w:r w:rsidRPr="00740F87">
        <w:rPr>
          <w:rFonts w:cstheme="minorHAnsi"/>
          <w:lang w:val="en-US"/>
        </w:rPr>
        <w:t>Information regarding nephrolithiasis history:  age at the time of the first renal colic episode, number of episodes and urological interventions since the first episode until the first consultation</w:t>
      </w:r>
    </w:p>
    <w:p w14:paraId="5CD983E1" w14:textId="1B0478F3" w:rsidR="00740F87" w:rsidRPr="00740F87" w:rsidRDefault="00D172BA" w:rsidP="00CC6FA2">
      <w:pPr>
        <w:pStyle w:val="Lijstalinea"/>
        <w:numPr>
          <w:ilvl w:val="0"/>
          <w:numId w:val="1"/>
        </w:numPr>
        <w:spacing w:line="480" w:lineRule="auto"/>
        <w:jc w:val="both"/>
        <w:rPr>
          <w:rFonts w:cstheme="minorHAnsi"/>
          <w:i/>
          <w:iCs/>
          <w:lang w:val="en-US"/>
        </w:rPr>
      </w:pPr>
      <w:bookmarkStart w:id="17" w:name="_Hlk67986676"/>
      <w:r w:rsidRPr="00740F87">
        <w:rPr>
          <w:rFonts w:cstheme="minorHAnsi"/>
          <w:lang w:val="en-US"/>
        </w:rPr>
        <w:lastRenderedPageBreak/>
        <w:t>Infrared spectrophotometric stone analysis</w:t>
      </w:r>
    </w:p>
    <w:bookmarkEnd w:id="17"/>
    <w:p w14:paraId="33123B12" w14:textId="15A0D081" w:rsidR="00740F87" w:rsidRPr="00740F87" w:rsidRDefault="00D172BA" w:rsidP="00CC6FA2">
      <w:pPr>
        <w:pStyle w:val="Lijstalinea"/>
        <w:numPr>
          <w:ilvl w:val="0"/>
          <w:numId w:val="1"/>
        </w:numPr>
        <w:spacing w:line="480" w:lineRule="auto"/>
        <w:jc w:val="both"/>
        <w:rPr>
          <w:rFonts w:cstheme="minorHAnsi"/>
          <w:i/>
          <w:iCs/>
          <w:lang w:val="en-US"/>
        </w:rPr>
      </w:pPr>
      <w:r w:rsidRPr="00740F87">
        <w:rPr>
          <w:rFonts w:cstheme="minorHAnsi"/>
          <w:lang w:val="en-US"/>
        </w:rPr>
        <w:t xml:space="preserve">Results of medical imaging, more specifically number of residual stones </w:t>
      </w:r>
    </w:p>
    <w:p w14:paraId="3BA5C425" w14:textId="72670871" w:rsidR="00740F87" w:rsidRPr="00740F87" w:rsidRDefault="00D172BA" w:rsidP="00CC6FA2">
      <w:pPr>
        <w:pStyle w:val="Lijstalinea"/>
        <w:numPr>
          <w:ilvl w:val="0"/>
          <w:numId w:val="1"/>
        </w:numPr>
        <w:spacing w:line="480" w:lineRule="auto"/>
        <w:jc w:val="both"/>
        <w:rPr>
          <w:rFonts w:cstheme="minorHAnsi"/>
          <w:i/>
          <w:iCs/>
          <w:lang w:val="en-US"/>
        </w:rPr>
      </w:pPr>
      <w:r w:rsidRPr="00740F87">
        <w:rPr>
          <w:rFonts w:cstheme="minorHAnsi"/>
          <w:lang w:val="en-US"/>
        </w:rPr>
        <w:t>Results of blood analysis: g</w:t>
      </w:r>
      <w:proofErr w:type="spellStart"/>
      <w:r w:rsidRPr="00740F87">
        <w:rPr>
          <w:rFonts w:cstheme="minorHAnsi"/>
          <w:lang w:val="en-GB"/>
        </w:rPr>
        <w:t>lucose</w:t>
      </w:r>
      <w:proofErr w:type="spellEnd"/>
      <w:r w:rsidRPr="00740F87">
        <w:rPr>
          <w:rFonts w:cstheme="minorHAnsi"/>
          <w:lang w:val="en-GB"/>
        </w:rPr>
        <w:t>, urea, eGFR (MDRD</w:t>
      </w:r>
      <w:r w:rsidR="002A1AF1">
        <w:rPr>
          <w:rFonts w:cstheme="minorHAnsi"/>
          <w:lang w:val="en-GB"/>
        </w:rPr>
        <w:t xml:space="preserve"> or CKD-EPI</w:t>
      </w:r>
      <w:r w:rsidRPr="00740F87">
        <w:rPr>
          <w:rFonts w:cstheme="minorHAnsi"/>
          <w:lang w:val="en-GB"/>
        </w:rPr>
        <w:t>), uric acid, sodium, potassium, chloride, bicarbonate, anion gap, phosphorus, calcium, magnesium, 25-OH-vitamin D, intact parathyroid hormon</w:t>
      </w:r>
      <w:r w:rsidR="00740F87">
        <w:rPr>
          <w:rFonts w:cstheme="minorHAnsi"/>
          <w:lang w:val="en-GB"/>
        </w:rPr>
        <w:t>e</w:t>
      </w:r>
    </w:p>
    <w:p w14:paraId="7129F531" w14:textId="77777777" w:rsidR="00D172BA" w:rsidRPr="00740F87" w:rsidRDefault="00D172BA" w:rsidP="00CC6FA2">
      <w:pPr>
        <w:pStyle w:val="Lijstalinea"/>
        <w:numPr>
          <w:ilvl w:val="0"/>
          <w:numId w:val="1"/>
        </w:numPr>
        <w:spacing w:line="480" w:lineRule="auto"/>
        <w:jc w:val="both"/>
        <w:rPr>
          <w:rFonts w:cstheme="minorHAnsi"/>
          <w:lang w:val="en-US"/>
        </w:rPr>
      </w:pPr>
      <w:r w:rsidRPr="00740F87">
        <w:rPr>
          <w:rFonts w:cstheme="minorHAnsi"/>
          <w:lang w:val="en-US"/>
        </w:rPr>
        <w:t xml:space="preserve">Results of microscopic urine analysis </w:t>
      </w:r>
    </w:p>
    <w:p w14:paraId="71B049A4" w14:textId="77777777" w:rsidR="00D172BA" w:rsidRPr="00CB5A5D" w:rsidRDefault="00D172BA" w:rsidP="00CC6FA2">
      <w:pPr>
        <w:pStyle w:val="Lijstalinea"/>
        <w:numPr>
          <w:ilvl w:val="0"/>
          <w:numId w:val="1"/>
        </w:numPr>
        <w:spacing w:line="480" w:lineRule="auto"/>
        <w:jc w:val="both"/>
        <w:rPr>
          <w:rFonts w:cstheme="minorHAnsi"/>
          <w:lang w:val="en-US"/>
        </w:rPr>
      </w:pPr>
      <w:r w:rsidRPr="00CB5A5D">
        <w:rPr>
          <w:rFonts w:cstheme="minorHAnsi"/>
          <w:lang w:val="en-US"/>
        </w:rPr>
        <w:t>Results of the 24-hour urine analysis</w:t>
      </w:r>
    </w:p>
    <w:p w14:paraId="130607B3" w14:textId="18A9F2A2" w:rsidR="00D172BA" w:rsidRDefault="00D172BA" w:rsidP="00CC6FA2">
      <w:pPr>
        <w:pStyle w:val="Lijstalinea"/>
        <w:numPr>
          <w:ilvl w:val="1"/>
          <w:numId w:val="1"/>
        </w:numPr>
        <w:spacing w:line="480" w:lineRule="auto"/>
        <w:jc w:val="both"/>
        <w:rPr>
          <w:rFonts w:cstheme="minorHAnsi"/>
          <w:lang w:val="en-US"/>
        </w:rPr>
      </w:pPr>
      <w:r>
        <w:rPr>
          <w:rFonts w:cstheme="minorHAnsi"/>
          <w:lang w:val="en-US"/>
        </w:rPr>
        <w:t>24-hours urinary volume</w:t>
      </w:r>
      <w:bookmarkStart w:id="18" w:name="_Hlk66289057"/>
      <w:r w:rsidR="00D84152">
        <w:rPr>
          <w:rFonts w:cstheme="minorHAnsi"/>
          <w:lang w:val="en-US"/>
        </w:rPr>
        <w:t xml:space="preserve">, expressed in </w:t>
      </w:r>
      <w:bookmarkEnd w:id="18"/>
      <w:r w:rsidR="00D84152">
        <w:rPr>
          <w:rFonts w:cstheme="minorHAnsi"/>
          <w:lang w:val="en-US"/>
        </w:rPr>
        <w:t xml:space="preserve"> mL/24 hours</w:t>
      </w:r>
    </w:p>
    <w:p w14:paraId="69621FE3" w14:textId="7DFE3F57" w:rsidR="00D172BA" w:rsidRPr="00CB5A5D" w:rsidRDefault="00D172BA" w:rsidP="00CC6FA2">
      <w:pPr>
        <w:pStyle w:val="Lijstalinea"/>
        <w:numPr>
          <w:ilvl w:val="1"/>
          <w:numId w:val="1"/>
        </w:numPr>
        <w:spacing w:line="480" w:lineRule="auto"/>
        <w:jc w:val="both"/>
        <w:rPr>
          <w:rFonts w:cstheme="minorHAnsi"/>
          <w:lang w:val="en-US"/>
        </w:rPr>
      </w:pPr>
      <w:r w:rsidRPr="00CB5A5D">
        <w:rPr>
          <w:rFonts w:cstheme="minorHAnsi"/>
          <w:lang w:val="en-US"/>
        </w:rPr>
        <w:t xml:space="preserve">24-hour urinary oxalate excretion </w:t>
      </w:r>
      <w:r w:rsidR="00D84152">
        <w:rPr>
          <w:rFonts w:cstheme="minorHAnsi"/>
          <w:lang w:val="en-US"/>
        </w:rPr>
        <w:t>, expressed in</w:t>
      </w:r>
      <w:r w:rsidR="00F64B74">
        <w:rPr>
          <w:rFonts w:cstheme="minorHAnsi"/>
          <w:lang w:val="en-US"/>
        </w:rPr>
        <w:t xml:space="preserve"> mg/24 hours</w:t>
      </w:r>
    </w:p>
    <w:p w14:paraId="746E3AB4" w14:textId="66167E31" w:rsidR="00D172BA" w:rsidRPr="009B2CFA" w:rsidRDefault="00D172BA" w:rsidP="00CC6FA2">
      <w:pPr>
        <w:pStyle w:val="Lijstalinea"/>
        <w:numPr>
          <w:ilvl w:val="1"/>
          <w:numId w:val="1"/>
        </w:numPr>
        <w:spacing w:line="480" w:lineRule="auto"/>
        <w:jc w:val="both"/>
        <w:rPr>
          <w:rFonts w:cstheme="minorHAnsi"/>
          <w:lang w:val="en-US"/>
        </w:rPr>
      </w:pPr>
      <w:r w:rsidRPr="009B2CFA">
        <w:rPr>
          <w:rFonts w:cstheme="minorHAnsi"/>
          <w:lang w:val="en-US"/>
        </w:rPr>
        <w:t>24-hour urinary citrate excretion</w:t>
      </w:r>
      <w:r w:rsidR="00D84152">
        <w:rPr>
          <w:rFonts w:cstheme="minorHAnsi"/>
          <w:lang w:val="en-US"/>
        </w:rPr>
        <w:t>, expressed in</w:t>
      </w:r>
      <w:r w:rsidRPr="009B2CFA">
        <w:rPr>
          <w:rFonts w:cstheme="minorHAnsi"/>
          <w:lang w:val="en-US"/>
        </w:rPr>
        <w:t xml:space="preserve"> </w:t>
      </w:r>
      <w:r w:rsidR="00F64B74">
        <w:rPr>
          <w:rFonts w:cstheme="minorHAnsi"/>
          <w:lang w:val="en-US"/>
        </w:rPr>
        <w:t>µmol/24 hours</w:t>
      </w:r>
    </w:p>
    <w:p w14:paraId="43CEF32B" w14:textId="515306AE" w:rsidR="00D172BA" w:rsidRPr="00A537EF" w:rsidRDefault="00D172BA" w:rsidP="00CC6FA2">
      <w:pPr>
        <w:pStyle w:val="Lijstalinea"/>
        <w:numPr>
          <w:ilvl w:val="1"/>
          <w:numId w:val="1"/>
        </w:numPr>
        <w:spacing w:line="480" w:lineRule="auto"/>
        <w:jc w:val="both"/>
        <w:rPr>
          <w:rFonts w:cstheme="minorHAnsi"/>
          <w:lang w:val="en-US"/>
        </w:rPr>
      </w:pPr>
      <w:r w:rsidRPr="00A537EF">
        <w:rPr>
          <w:rFonts w:cstheme="minorHAnsi"/>
          <w:lang w:val="en-US"/>
        </w:rPr>
        <w:t>24-hour urinary calcium excretion</w:t>
      </w:r>
      <w:r w:rsidR="00C05AC5">
        <w:rPr>
          <w:rFonts w:cstheme="minorHAnsi"/>
          <w:lang w:val="en-US"/>
        </w:rPr>
        <w:t>,</w:t>
      </w:r>
      <w:r w:rsidRPr="00A537EF">
        <w:rPr>
          <w:rFonts w:cstheme="minorHAnsi"/>
          <w:lang w:val="en-US"/>
        </w:rPr>
        <w:t xml:space="preserve"> </w:t>
      </w:r>
      <w:r w:rsidR="00C05AC5">
        <w:rPr>
          <w:rFonts w:cstheme="minorHAnsi"/>
          <w:lang w:val="en-US"/>
        </w:rPr>
        <w:t xml:space="preserve"> </w:t>
      </w:r>
      <w:r w:rsidR="00C05AC5" w:rsidRPr="009B2CFA">
        <w:rPr>
          <w:rFonts w:cstheme="minorHAnsi"/>
          <w:lang w:val="en-US"/>
        </w:rPr>
        <w:t>expressed in mmol/24 hours</w:t>
      </w:r>
    </w:p>
    <w:p w14:paraId="7553821F" w14:textId="3D3428CD" w:rsidR="00D172BA" w:rsidRPr="00A537EF" w:rsidRDefault="00D172BA" w:rsidP="00CC6FA2">
      <w:pPr>
        <w:pStyle w:val="Lijstalinea"/>
        <w:numPr>
          <w:ilvl w:val="1"/>
          <w:numId w:val="1"/>
        </w:numPr>
        <w:spacing w:line="480" w:lineRule="auto"/>
        <w:jc w:val="both"/>
        <w:rPr>
          <w:rFonts w:cstheme="minorHAnsi"/>
          <w:lang w:val="en-US"/>
        </w:rPr>
      </w:pPr>
      <w:r w:rsidRPr="00A537EF">
        <w:rPr>
          <w:rFonts w:cstheme="minorHAnsi"/>
          <w:lang w:val="en-US"/>
        </w:rPr>
        <w:t>24-hour urinary phosphorus excretion</w:t>
      </w:r>
      <w:r w:rsidR="00D84152">
        <w:rPr>
          <w:rFonts w:cstheme="minorHAnsi"/>
          <w:lang w:val="en-US"/>
        </w:rPr>
        <w:t>, expressed in</w:t>
      </w:r>
      <w:r w:rsidRPr="00A537EF">
        <w:rPr>
          <w:rFonts w:cstheme="minorHAnsi"/>
          <w:lang w:val="en-US"/>
        </w:rPr>
        <w:t xml:space="preserve"> </w:t>
      </w:r>
      <w:r w:rsidR="00F64B74">
        <w:rPr>
          <w:rFonts w:cstheme="minorHAnsi"/>
          <w:lang w:val="en-US"/>
        </w:rPr>
        <w:t>mmol/24 hours</w:t>
      </w:r>
    </w:p>
    <w:p w14:paraId="1FB3E6BC" w14:textId="4A8F3B3E" w:rsidR="00D172BA" w:rsidRPr="00A537EF" w:rsidRDefault="00D172BA" w:rsidP="00CC6FA2">
      <w:pPr>
        <w:pStyle w:val="Lijstalinea"/>
        <w:numPr>
          <w:ilvl w:val="1"/>
          <w:numId w:val="1"/>
        </w:numPr>
        <w:spacing w:line="480" w:lineRule="auto"/>
        <w:jc w:val="both"/>
        <w:rPr>
          <w:rFonts w:cstheme="minorHAnsi"/>
          <w:lang w:val="en-US"/>
        </w:rPr>
      </w:pPr>
      <w:r w:rsidRPr="00A537EF">
        <w:rPr>
          <w:rFonts w:cstheme="minorHAnsi"/>
          <w:lang w:val="en-US"/>
        </w:rPr>
        <w:t>24-hour urinary uric acid excretion</w:t>
      </w:r>
      <w:r w:rsidR="00D84152">
        <w:rPr>
          <w:rFonts w:cstheme="minorHAnsi"/>
          <w:lang w:val="en-US"/>
        </w:rPr>
        <w:t>, expressed in</w:t>
      </w:r>
      <w:r w:rsidRPr="00A537EF">
        <w:rPr>
          <w:rFonts w:cstheme="minorHAnsi"/>
          <w:lang w:val="en-US"/>
        </w:rPr>
        <w:t xml:space="preserve"> </w:t>
      </w:r>
      <w:r w:rsidR="00F64B74">
        <w:rPr>
          <w:rFonts w:cstheme="minorHAnsi"/>
          <w:lang w:val="en-US"/>
        </w:rPr>
        <w:t>mg/24 hours</w:t>
      </w:r>
    </w:p>
    <w:p w14:paraId="53A77D5B" w14:textId="0A4C587A" w:rsidR="00D172BA" w:rsidRPr="009B2CFA" w:rsidRDefault="00D172BA" w:rsidP="00CC6FA2">
      <w:pPr>
        <w:pStyle w:val="Lijstalinea"/>
        <w:numPr>
          <w:ilvl w:val="1"/>
          <w:numId w:val="1"/>
        </w:numPr>
        <w:spacing w:line="480" w:lineRule="auto"/>
        <w:jc w:val="both"/>
        <w:rPr>
          <w:rFonts w:cstheme="minorHAnsi"/>
          <w:lang w:val="en-US"/>
        </w:rPr>
      </w:pPr>
      <w:r w:rsidRPr="009B2CFA">
        <w:rPr>
          <w:rFonts w:cstheme="minorHAnsi"/>
          <w:lang w:val="en-US"/>
        </w:rPr>
        <w:t>24-hour urinary sodium excretion</w:t>
      </w:r>
      <w:r w:rsidR="00D84152">
        <w:rPr>
          <w:rFonts w:cstheme="minorHAnsi"/>
          <w:lang w:val="en-US"/>
        </w:rPr>
        <w:t>, expressed in</w:t>
      </w:r>
      <w:r w:rsidRPr="009B2CFA">
        <w:rPr>
          <w:rFonts w:cstheme="minorHAnsi"/>
          <w:lang w:val="en-US"/>
        </w:rPr>
        <w:t xml:space="preserve"> </w:t>
      </w:r>
      <w:r w:rsidR="00F64B74">
        <w:rPr>
          <w:rFonts w:cstheme="minorHAnsi"/>
          <w:lang w:val="en-US"/>
        </w:rPr>
        <w:t>mmol/24 hours</w:t>
      </w:r>
    </w:p>
    <w:p w14:paraId="5B80FBB3" w14:textId="7FCD4E18" w:rsidR="00D172BA" w:rsidRPr="009B2CFA" w:rsidRDefault="00D172BA" w:rsidP="00CC6FA2">
      <w:pPr>
        <w:pStyle w:val="Lijstalinea"/>
        <w:numPr>
          <w:ilvl w:val="1"/>
          <w:numId w:val="1"/>
        </w:numPr>
        <w:spacing w:line="480" w:lineRule="auto"/>
        <w:jc w:val="both"/>
        <w:rPr>
          <w:rFonts w:cstheme="minorHAnsi"/>
          <w:lang w:val="en-US"/>
        </w:rPr>
      </w:pPr>
      <w:r w:rsidRPr="009B2CFA">
        <w:rPr>
          <w:rFonts w:cstheme="minorHAnsi"/>
          <w:lang w:val="en-US"/>
        </w:rPr>
        <w:t>24-hour urinary urea excretion</w:t>
      </w:r>
      <w:r w:rsidR="00D84152">
        <w:rPr>
          <w:rFonts w:cstheme="minorHAnsi"/>
          <w:lang w:val="en-US"/>
        </w:rPr>
        <w:t>, expressed in</w:t>
      </w:r>
      <w:r w:rsidR="00F64B74">
        <w:rPr>
          <w:rFonts w:cstheme="minorHAnsi"/>
          <w:lang w:val="en-US"/>
        </w:rPr>
        <w:t xml:space="preserve"> g/24 hours</w:t>
      </w:r>
    </w:p>
    <w:p w14:paraId="7E44F497" w14:textId="01A3CD2A" w:rsidR="00D172BA" w:rsidRPr="009B2CFA" w:rsidRDefault="00D172BA" w:rsidP="00CC6FA2">
      <w:pPr>
        <w:pStyle w:val="Lijstalinea"/>
        <w:numPr>
          <w:ilvl w:val="1"/>
          <w:numId w:val="1"/>
        </w:numPr>
        <w:spacing w:line="480" w:lineRule="auto"/>
        <w:jc w:val="both"/>
        <w:rPr>
          <w:rFonts w:cstheme="minorHAnsi"/>
          <w:lang w:val="en-US"/>
        </w:rPr>
      </w:pPr>
      <w:r w:rsidRPr="009B2CFA">
        <w:rPr>
          <w:rFonts w:cstheme="minorHAnsi"/>
          <w:lang w:val="en-US"/>
        </w:rPr>
        <w:t>24-hour diuresis</w:t>
      </w:r>
      <w:r w:rsidR="00D84152">
        <w:rPr>
          <w:rFonts w:cstheme="minorHAnsi"/>
          <w:lang w:val="en-US"/>
        </w:rPr>
        <w:t>, expressed in mL/24 hours</w:t>
      </w:r>
    </w:p>
    <w:p w14:paraId="36683AA5" w14:textId="62C3AE7D" w:rsidR="00D172BA" w:rsidRPr="00BC580F" w:rsidRDefault="00D172BA" w:rsidP="00CC6FA2">
      <w:pPr>
        <w:pStyle w:val="Lijstalinea"/>
        <w:numPr>
          <w:ilvl w:val="1"/>
          <w:numId w:val="1"/>
        </w:numPr>
        <w:spacing w:line="480" w:lineRule="auto"/>
        <w:jc w:val="both"/>
        <w:rPr>
          <w:rFonts w:cstheme="minorHAnsi"/>
          <w:i/>
          <w:iCs/>
          <w:lang w:val="en-US"/>
        </w:rPr>
      </w:pPr>
      <w:r w:rsidRPr="009B2CFA">
        <w:rPr>
          <w:rFonts w:cstheme="minorHAnsi"/>
          <w:lang w:val="en-US"/>
        </w:rPr>
        <w:t>Urinary pH</w:t>
      </w:r>
    </w:p>
    <w:p w14:paraId="579E9419" w14:textId="636BD6AA" w:rsidR="00D172BA" w:rsidRPr="00740F87" w:rsidRDefault="00D172BA" w:rsidP="005769F3">
      <w:pPr>
        <w:spacing w:after="0" w:line="480" w:lineRule="auto"/>
        <w:jc w:val="both"/>
        <w:rPr>
          <w:rFonts w:cstheme="minorHAnsi"/>
          <w:i/>
          <w:iCs/>
          <w:lang w:val="en-US"/>
        </w:rPr>
      </w:pPr>
      <w:r w:rsidRPr="00740F87">
        <w:rPr>
          <w:rFonts w:cstheme="minorHAnsi"/>
          <w:b/>
          <w:bCs/>
          <w:lang w:val="en-US"/>
        </w:rPr>
        <w:t>Follow-up data</w:t>
      </w:r>
      <w:r w:rsidR="00740F87">
        <w:rPr>
          <w:rFonts w:cstheme="minorHAnsi"/>
          <w:b/>
          <w:bCs/>
          <w:lang w:val="en-US"/>
        </w:rPr>
        <w:t xml:space="preserve"> </w:t>
      </w:r>
      <w:r w:rsidR="00740F87">
        <w:rPr>
          <w:rFonts w:cstheme="minorHAnsi"/>
          <w:lang w:val="en-US"/>
        </w:rPr>
        <w:t xml:space="preserve">(data obtained at the follow-up consultations at the </w:t>
      </w:r>
      <w:r w:rsidR="002E3FD9">
        <w:rPr>
          <w:rFonts w:cstheme="minorHAnsi"/>
          <w:lang w:val="en-US"/>
        </w:rPr>
        <w:t>K</w:t>
      </w:r>
      <w:r w:rsidR="00740F87">
        <w:rPr>
          <w:rFonts w:cstheme="minorHAnsi"/>
          <w:lang w:val="en-US"/>
        </w:rPr>
        <w:t>idney stone prevention clinic)</w:t>
      </w:r>
      <w:r w:rsidR="00740F87" w:rsidRPr="00D97EEC">
        <w:rPr>
          <w:rFonts w:cstheme="minorHAnsi"/>
          <w:lang w:val="en-US"/>
        </w:rPr>
        <w:t>:</w:t>
      </w:r>
    </w:p>
    <w:p w14:paraId="79A459D9" w14:textId="77777777" w:rsidR="00D172BA" w:rsidRDefault="00D172BA" w:rsidP="00CC6FA2">
      <w:pPr>
        <w:pStyle w:val="Lijstalinea"/>
        <w:numPr>
          <w:ilvl w:val="0"/>
          <w:numId w:val="1"/>
        </w:numPr>
        <w:spacing w:line="480" w:lineRule="auto"/>
        <w:jc w:val="both"/>
        <w:rPr>
          <w:rFonts w:cstheme="minorHAnsi"/>
          <w:lang w:val="en-US"/>
        </w:rPr>
      </w:pPr>
      <w:r>
        <w:rPr>
          <w:rFonts w:cstheme="minorHAnsi"/>
          <w:lang w:val="en-US"/>
        </w:rPr>
        <w:t>Date of c</w:t>
      </w:r>
      <w:r w:rsidRPr="00A2502C">
        <w:rPr>
          <w:rFonts w:cstheme="minorHAnsi"/>
          <w:lang w:val="en-US"/>
        </w:rPr>
        <w:t xml:space="preserve">onsultation </w:t>
      </w:r>
    </w:p>
    <w:p w14:paraId="3117C0B6" w14:textId="77777777" w:rsidR="00D172BA" w:rsidRDefault="00D172BA" w:rsidP="00CC6FA2">
      <w:pPr>
        <w:pStyle w:val="Lijstalinea"/>
        <w:numPr>
          <w:ilvl w:val="0"/>
          <w:numId w:val="1"/>
        </w:numPr>
        <w:spacing w:line="480" w:lineRule="auto"/>
        <w:jc w:val="both"/>
        <w:rPr>
          <w:rFonts w:cstheme="minorHAnsi"/>
          <w:lang w:val="en-US"/>
        </w:rPr>
      </w:pPr>
      <w:r>
        <w:rPr>
          <w:rFonts w:cstheme="minorHAnsi"/>
          <w:lang w:val="en-US"/>
        </w:rPr>
        <w:t xml:space="preserve">Results of microscopic urine analysis </w:t>
      </w:r>
    </w:p>
    <w:p w14:paraId="7748C8BA" w14:textId="77777777" w:rsidR="00D172BA" w:rsidRPr="009B2CFA" w:rsidRDefault="00D172BA" w:rsidP="00CC6FA2">
      <w:pPr>
        <w:pStyle w:val="Lijstalinea"/>
        <w:numPr>
          <w:ilvl w:val="0"/>
          <w:numId w:val="1"/>
        </w:numPr>
        <w:spacing w:line="480" w:lineRule="auto"/>
        <w:jc w:val="both"/>
        <w:rPr>
          <w:rFonts w:cstheme="minorHAnsi"/>
          <w:lang w:val="en-US"/>
        </w:rPr>
      </w:pPr>
      <w:r w:rsidRPr="009B2CFA">
        <w:rPr>
          <w:rFonts w:cstheme="minorHAnsi"/>
          <w:lang w:val="en-US"/>
        </w:rPr>
        <w:t>Results of the 24-hour urine analysis</w:t>
      </w:r>
    </w:p>
    <w:p w14:paraId="3E4973C4" w14:textId="1B29FD41" w:rsidR="00D172BA" w:rsidRDefault="00D172BA" w:rsidP="00CC6FA2">
      <w:pPr>
        <w:pStyle w:val="Lijstalinea"/>
        <w:numPr>
          <w:ilvl w:val="1"/>
          <w:numId w:val="1"/>
        </w:numPr>
        <w:spacing w:line="480" w:lineRule="auto"/>
        <w:jc w:val="both"/>
        <w:rPr>
          <w:rFonts w:cstheme="minorHAnsi"/>
          <w:lang w:val="en-US"/>
        </w:rPr>
      </w:pPr>
      <w:r>
        <w:rPr>
          <w:rFonts w:cstheme="minorHAnsi"/>
          <w:lang w:val="en-US"/>
        </w:rPr>
        <w:t>24-hours urinary volume</w:t>
      </w:r>
      <w:r w:rsidR="00F64B74">
        <w:rPr>
          <w:rFonts w:cstheme="minorHAnsi"/>
          <w:lang w:val="en-US"/>
        </w:rPr>
        <w:t>, expressed in  mL/24 hours</w:t>
      </w:r>
    </w:p>
    <w:p w14:paraId="22EB0B22" w14:textId="337DC376" w:rsidR="00D172BA" w:rsidRPr="00C97523" w:rsidRDefault="00D172BA" w:rsidP="00CC6FA2">
      <w:pPr>
        <w:pStyle w:val="Lijstalinea"/>
        <w:numPr>
          <w:ilvl w:val="1"/>
          <w:numId w:val="1"/>
        </w:numPr>
        <w:spacing w:line="480" w:lineRule="auto"/>
        <w:jc w:val="both"/>
        <w:rPr>
          <w:rFonts w:cstheme="minorHAnsi"/>
          <w:lang w:val="en-US"/>
        </w:rPr>
      </w:pPr>
      <w:r w:rsidRPr="009B2CFA">
        <w:rPr>
          <w:rFonts w:cstheme="minorHAnsi"/>
          <w:lang w:val="en-US"/>
        </w:rPr>
        <w:t>24-</w:t>
      </w:r>
      <w:r w:rsidRPr="00C97523">
        <w:rPr>
          <w:rFonts w:cstheme="minorHAnsi"/>
          <w:lang w:val="en-US"/>
        </w:rPr>
        <w:t>hour urinary oxalate excretion</w:t>
      </w:r>
      <w:r w:rsidR="00F64B74">
        <w:rPr>
          <w:rFonts w:cstheme="minorHAnsi"/>
          <w:lang w:val="en-US"/>
        </w:rPr>
        <w:t>, expressed in mg/24 hours</w:t>
      </w:r>
      <w:r w:rsidRPr="00C97523">
        <w:rPr>
          <w:rFonts w:cstheme="minorHAnsi"/>
          <w:lang w:val="en-US"/>
        </w:rPr>
        <w:t xml:space="preserve"> </w:t>
      </w:r>
    </w:p>
    <w:p w14:paraId="2E16E487" w14:textId="63FE4F9A" w:rsidR="00D172BA" w:rsidRPr="00C97523" w:rsidRDefault="00D172BA" w:rsidP="00CC6FA2">
      <w:pPr>
        <w:pStyle w:val="Lijstalinea"/>
        <w:numPr>
          <w:ilvl w:val="1"/>
          <w:numId w:val="1"/>
        </w:numPr>
        <w:spacing w:line="480" w:lineRule="auto"/>
        <w:jc w:val="both"/>
        <w:rPr>
          <w:rFonts w:cstheme="minorHAnsi"/>
          <w:lang w:val="en-US"/>
        </w:rPr>
      </w:pPr>
      <w:r w:rsidRPr="00C97523">
        <w:rPr>
          <w:rFonts w:cstheme="minorHAnsi"/>
          <w:lang w:val="en-US"/>
        </w:rPr>
        <w:t>24-hour urinary citrate excretion</w:t>
      </w:r>
      <w:r w:rsidR="00F64B74">
        <w:rPr>
          <w:rFonts w:cstheme="minorHAnsi"/>
          <w:lang w:val="en-US"/>
        </w:rPr>
        <w:t>, expressed in</w:t>
      </w:r>
      <w:r w:rsidR="00F64B74" w:rsidRPr="009B2CFA">
        <w:rPr>
          <w:rFonts w:cstheme="minorHAnsi"/>
          <w:lang w:val="en-US"/>
        </w:rPr>
        <w:t xml:space="preserve"> </w:t>
      </w:r>
      <w:r w:rsidR="00F64B74">
        <w:rPr>
          <w:rFonts w:cstheme="minorHAnsi"/>
          <w:lang w:val="en-US"/>
        </w:rPr>
        <w:t>µmol/24 hours</w:t>
      </w:r>
      <w:r w:rsidRPr="00C97523">
        <w:rPr>
          <w:rFonts w:cstheme="minorHAnsi"/>
          <w:lang w:val="en-US"/>
        </w:rPr>
        <w:t xml:space="preserve"> </w:t>
      </w:r>
    </w:p>
    <w:p w14:paraId="3F49EC54" w14:textId="6A024E63" w:rsidR="00D172BA" w:rsidRPr="00C97523" w:rsidRDefault="00D172BA" w:rsidP="00CC6FA2">
      <w:pPr>
        <w:pStyle w:val="Lijstalinea"/>
        <w:numPr>
          <w:ilvl w:val="1"/>
          <w:numId w:val="1"/>
        </w:numPr>
        <w:spacing w:line="480" w:lineRule="auto"/>
        <w:jc w:val="both"/>
        <w:rPr>
          <w:rFonts w:cstheme="minorHAnsi"/>
          <w:lang w:val="en-US"/>
        </w:rPr>
      </w:pPr>
      <w:r w:rsidRPr="00C97523">
        <w:rPr>
          <w:rFonts w:cstheme="minorHAnsi"/>
          <w:lang w:val="en-US"/>
        </w:rPr>
        <w:t>24-hour urinary calcium excretion</w:t>
      </w:r>
      <w:r w:rsidR="00F64B74">
        <w:rPr>
          <w:rFonts w:cstheme="minorHAnsi"/>
          <w:lang w:val="en-US"/>
        </w:rPr>
        <w:t>,</w:t>
      </w:r>
      <w:r w:rsidR="00F64B74" w:rsidRPr="00A537EF">
        <w:rPr>
          <w:rFonts w:cstheme="minorHAnsi"/>
          <w:lang w:val="en-US"/>
        </w:rPr>
        <w:t xml:space="preserve"> </w:t>
      </w:r>
      <w:r w:rsidR="00F64B74">
        <w:rPr>
          <w:rFonts w:cstheme="minorHAnsi"/>
          <w:lang w:val="en-US"/>
        </w:rPr>
        <w:t xml:space="preserve"> </w:t>
      </w:r>
      <w:r w:rsidR="00F64B74" w:rsidRPr="009B2CFA">
        <w:rPr>
          <w:rFonts w:cstheme="minorHAnsi"/>
          <w:lang w:val="en-US"/>
        </w:rPr>
        <w:t>expressed in mmol/24 hours</w:t>
      </w:r>
      <w:r w:rsidRPr="00C97523">
        <w:rPr>
          <w:rFonts w:cstheme="minorHAnsi"/>
          <w:lang w:val="en-US"/>
        </w:rPr>
        <w:t xml:space="preserve"> </w:t>
      </w:r>
    </w:p>
    <w:p w14:paraId="11FC31D4" w14:textId="4DE8725B" w:rsidR="00D172BA" w:rsidRPr="00C97523" w:rsidRDefault="00D172BA" w:rsidP="00CC6FA2">
      <w:pPr>
        <w:pStyle w:val="Lijstalinea"/>
        <w:numPr>
          <w:ilvl w:val="1"/>
          <w:numId w:val="1"/>
        </w:numPr>
        <w:spacing w:line="480" w:lineRule="auto"/>
        <w:jc w:val="both"/>
        <w:rPr>
          <w:rFonts w:cstheme="minorHAnsi"/>
          <w:lang w:val="en-US"/>
        </w:rPr>
      </w:pPr>
      <w:r w:rsidRPr="00C97523">
        <w:rPr>
          <w:rFonts w:cstheme="minorHAnsi"/>
          <w:lang w:val="en-US"/>
        </w:rPr>
        <w:t>24-hour urinary phosphor</w:t>
      </w:r>
      <w:r>
        <w:rPr>
          <w:rFonts w:cstheme="minorHAnsi"/>
          <w:lang w:val="en-US"/>
        </w:rPr>
        <w:t>us</w:t>
      </w:r>
      <w:r w:rsidRPr="00C97523">
        <w:rPr>
          <w:rFonts w:cstheme="minorHAnsi"/>
          <w:lang w:val="en-US"/>
        </w:rPr>
        <w:t xml:space="preserve"> excretion</w:t>
      </w:r>
      <w:r w:rsidR="00F64B74">
        <w:rPr>
          <w:rFonts w:cstheme="minorHAnsi"/>
          <w:lang w:val="en-US"/>
        </w:rPr>
        <w:t>, expressed in</w:t>
      </w:r>
      <w:r w:rsidR="00F64B74" w:rsidRPr="00A537EF">
        <w:rPr>
          <w:rFonts w:cstheme="minorHAnsi"/>
          <w:lang w:val="en-US"/>
        </w:rPr>
        <w:t xml:space="preserve"> </w:t>
      </w:r>
      <w:r w:rsidR="00F64B74">
        <w:rPr>
          <w:rFonts w:cstheme="minorHAnsi"/>
          <w:lang w:val="en-US"/>
        </w:rPr>
        <w:t>mmol/24 hours</w:t>
      </w:r>
      <w:r w:rsidRPr="00C97523">
        <w:rPr>
          <w:rFonts w:cstheme="minorHAnsi"/>
          <w:lang w:val="en-US"/>
        </w:rPr>
        <w:t xml:space="preserve"> </w:t>
      </w:r>
    </w:p>
    <w:p w14:paraId="1310474B" w14:textId="53D6C98B" w:rsidR="00D172BA" w:rsidRPr="00F64B74" w:rsidRDefault="00D172BA" w:rsidP="00CC6FA2">
      <w:pPr>
        <w:pStyle w:val="Lijstalinea"/>
        <w:numPr>
          <w:ilvl w:val="1"/>
          <w:numId w:val="1"/>
        </w:numPr>
        <w:spacing w:line="480" w:lineRule="auto"/>
        <w:jc w:val="both"/>
        <w:rPr>
          <w:rFonts w:cstheme="minorHAnsi"/>
          <w:lang w:val="en-US"/>
        </w:rPr>
      </w:pPr>
      <w:r w:rsidRPr="00C97523">
        <w:rPr>
          <w:rFonts w:cstheme="minorHAnsi"/>
          <w:lang w:val="en-US"/>
        </w:rPr>
        <w:lastRenderedPageBreak/>
        <w:t>24-hour urinary uric acid excretion</w:t>
      </w:r>
      <w:r w:rsidR="00F64B74">
        <w:rPr>
          <w:rFonts w:cstheme="minorHAnsi"/>
          <w:lang w:val="en-US"/>
        </w:rPr>
        <w:t>, expressed in</w:t>
      </w:r>
      <w:r w:rsidR="00F64B74" w:rsidRPr="00A537EF">
        <w:rPr>
          <w:rFonts w:cstheme="minorHAnsi"/>
          <w:lang w:val="en-US"/>
        </w:rPr>
        <w:t xml:space="preserve"> </w:t>
      </w:r>
      <w:r w:rsidR="00F64B74">
        <w:rPr>
          <w:rFonts w:cstheme="minorHAnsi"/>
          <w:lang w:val="en-US"/>
        </w:rPr>
        <w:t>mg/24 hours</w:t>
      </w:r>
      <w:r w:rsidRPr="00F64B74">
        <w:rPr>
          <w:rFonts w:cstheme="minorHAnsi"/>
          <w:lang w:val="en-US"/>
        </w:rPr>
        <w:t xml:space="preserve"> </w:t>
      </w:r>
    </w:p>
    <w:p w14:paraId="728BC157" w14:textId="54B3EA95" w:rsidR="00D172BA" w:rsidRPr="00C97523" w:rsidRDefault="00D172BA" w:rsidP="00CC6FA2">
      <w:pPr>
        <w:pStyle w:val="Lijstalinea"/>
        <w:numPr>
          <w:ilvl w:val="1"/>
          <w:numId w:val="1"/>
        </w:numPr>
        <w:spacing w:line="480" w:lineRule="auto"/>
        <w:jc w:val="both"/>
        <w:rPr>
          <w:rFonts w:cstheme="minorHAnsi"/>
          <w:lang w:val="en-US"/>
        </w:rPr>
      </w:pPr>
      <w:r w:rsidRPr="00C97523">
        <w:rPr>
          <w:rFonts w:cstheme="minorHAnsi"/>
          <w:lang w:val="en-US"/>
        </w:rPr>
        <w:t>24-hour urinary</w:t>
      </w:r>
      <w:r>
        <w:rPr>
          <w:rFonts w:cstheme="minorHAnsi"/>
          <w:lang w:val="en-US"/>
        </w:rPr>
        <w:t xml:space="preserve"> sodium</w:t>
      </w:r>
      <w:r w:rsidRPr="00C97523">
        <w:rPr>
          <w:rFonts w:cstheme="minorHAnsi"/>
          <w:lang w:val="en-US"/>
        </w:rPr>
        <w:t xml:space="preserve"> excretion</w:t>
      </w:r>
      <w:r w:rsidR="00F64B74">
        <w:rPr>
          <w:rFonts w:cstheme="minorHAnsi"/>
          <w:lang w:val="en-US"/>
        </w:rPr>
        <w:t>, expressed in</w:t>
      </w:r>
      <w:r w:rsidR="00F64B74" w:rsidRPr="009B2CFA">
        <w:rPr>
          <w:rFonts w:cstheme="minorHAnsi"/>
          <w:lang w:val="en-US"/>
        </w:rPr>
        <w:t xml:space="preserve"> </w:t>
      </w:r>
      <w:r w:rsidR="00F64B74">
        <w:rPr>
          <w:rFonts w:cstheme="minorHAnsi"/>
          <w:lang w:val="en-US"/>
        </w:rPr>
        <w:t>mmol/24 hours</w:t>
      </w:r>
      <w:r w:rsidRPr="00C97523">
        <w:rPr>
          <w:rFonts w:cstheme="minorHAnsi"/>
          <w:lang w:val="en-US"/>
        </w:rPr>
        <w:t xml:space="preserve"> </w:t>
      </w:r>
    </w:p>
    <w:p w14:paraId="7685102D" w14:textId="495D0D5B" w:rsidR="00D172BA" w:rsidRPr="00C97523" w:rsidRDefault="00D172BA" w:rsidP="00CC6FA2">
      <w:pPr>
        <w:pStyle w:val="Lijstalinea"/>
        <w:numPr>
          <w:ilvl w:val="1"/>
          <w:numId w:val="1"/>
        </w:numPr>
        <w:spacing w:line="480" w:lineRule="auto"/>
        <w:jc w:val="both"/>
        <w:rPr>
          <w:rFonts w:cstheme="minorHAnsi"/>
          <w:lang w:val="en-US"/>
        </w:rPr>
      </w:pPr>
      <w:r w:rsidRPr="00C97523">
        <w:rPr>
          <w:rFonts w:cstheme="minorHAnsi"/>
          <w:lang w:val="en-US"/>
        </w:rPr>
        <w:t>24-hour urinary urea excretion</w:t>
      </w:r>
      <w:r w:rsidR="00F64B74">
        <w:rPr>
          <w:rFonts w:cstheme="minorHAnsi"/>
          <w:lang w:val="en-US"/>
        </w:rPr>
        <w:t>, expressed in g/24 hours</w:t>
      </w:r>
    </w:p>
    <w:p w14:paraId="69CA8C00" w14:textId="77777777" w:rsidR="00D172BA" w:rsidRPr="00C97523" w:rsidRDefault="00D172BA" w:rsidP="00CC6FA2">
      <w:pPr>
        <w:pStyle w:val="Lijstalinea"/>
        <w:numPr>
          <w:ilvl w:val="1"/>
          <w:numId w:val="1"/>
        </w:numPr>
        <w:spacing w:line="480" w:lineRule="auto"/>
        <w:jc w:val="both"/>
        <w:rPr>
          <w:rFonts w:cstheme="minorHAnsi"/>
          <w:i/>
          <w:iCs/>
          <w:lang w:val="en-US"/>
        </w:rPr>
      </w:pPr>
      <w:r w:rsidRPr="00C97523">
        <w:rPr>
          <w:rFonts w:cstheme="minorHAnsi"/>
          <w:lang w:val="en-US"/>
        </w:rPr>
        <w:t>Urinary pH</w:t>
      </w:r>
    </w:p>
    <w:p w14:paraId="1A69CD5E" w14:textId="77777777" w:rsidR="00D172BA" w:rsidRPr="00C97523" w:rsidRDefault="00D172BA" w:rsidP="00CC6FA2">
      <w:pPr>
        <w:pStyle w:val="Lijstalinea"/>
        <w:numPr>
          <w:ilvl w:val="0"/>
          <w:numId w:val="1"/>
        </w:numPr>
        <w:spacing w:line="480" w:lineRule="auto"/>
        <w:jc w:val="both"/>
        <w:rPr>
          <w:rFonts w:cstheme="minorHAnsi"/>
          <w:i/>
          <w:iCs/>
          <w:lang w:val="en-US"/>
        </w:rPr>
      </w:pPr>
      <w:r w:rsidRPr="00C97523">
        <w:rPr>
          <w:rFonts w:cstheme="minorHAnsi"/>
          <w:lang w:val="en-US"/>
        </w:rPr>
        <w:t xml:space="preserve">Number of symptomatic renal colic episodes since the last consultation </w:t>
      </w:r>
    </w:p>
    <w:p w14:paraId="67F8622B" w14:textId="77777777" w:rsidR="00D172BA" w:rsidRPr="00C97523" w:rsidRDefault="00D172BA" w:rsidP="00CC6FA2">
      <w:pPr>
        <w:pStyle w:val="Lijstalinea"/>
        <w:numPr>
          <w:ilvl w:val="0"/>
          <w:numId w:val="1"/>
        </w:numPr>
        <w:spacing w:line="480" w:lineRule="auto"/>
        <w:jc w:val="both"/>
        <w:rPr>
          <w:rFonts w:cstheme="minorHAnsi"/>
          <w:i/>
          <w:iCs/>
          <w:lang w:val="en-US"/>
        </w:rPr>
      </w:pPr>
      <w:r>
        <w:rPr>
          <w:rFonts w:cstheme="minorHAnsi"/>
          <w:lang w:val="en-US"/>
        </w:rPr>
        <w:t>Type</w:t>
      </w:r>
      <w:r w:rsidRPr="00C97523">
        <w:rPr>
          <w:rFonts w:cstheme="minorHAnsi"/>
          <w:lang w:val="en-US"/>
        </w:rPr>
        <w:t xml:space="preserve"> and number of urologic</w:t>
      </w:r>
      <w:r>
        <w:rPr>
          <w:rFonts w:cstheme="minorHAnsi"/>
          <w:lang w:val="en-US"/>
        </w:rPr>
        <w:t>al</w:t>
      </w:r>
      <w:r w:rsidRPr="00C97523">
        <w:rPr>
          <w:rFonts w:cstheme="minorHAnsi"/>
          <w:lang w:val="en-US"/>
        </w:rPr>
        <w:t xml:space="preserve"> interventions since the last consultation </w:t>
      </w:r>
    </w:p>
    <w:p w14:paraId="3EDAEF5A" w14:textId="77777777" w:rsidR="00D172BA" w:rsidRPr="00C97523" w:rsidRDefault="00D172BA" w:rsidP="00CC6FA2">
      <w:pPr>
        <w:pStyle w:val="Lijstalinea"/>
        <w:numPr>
          <w:ilvl w:val="0"/>
          <w:numId w:val="1"/>
        </w:numPr>
        <w:spacing w:line="480" w:lineRule="auto"/>
        <w:jc w:val="both"/>
        <w:rPr>
          <w:rFonts w:cstheme="minorHAnsi"/>
          <w:i/>
          <w:iCs/>
          <w:lang w:val="en-US"/>
        </w:rPr>
      </w:pPr>
      <w:r w:rsidRPr="00C97523">
        <w:rPr>
          <w:rFonts w:cstheme="minorHAnsi"/>
          <w:lang w:val="en-US"/>
        </w:rPr>
        <w:t>Number of spontaneous</w:t>
      </w:r>
      <w:r>
        <w:rPr>
          <w:rFonts w:cstheme="minorHAnsi"/>
          <w:lang w:val="en-US"/>
        </w:rPr>
        <w:t>ly eliminated</w:t>
      </w:r>
      <w:r w:rsidRPr="00C97523">
        <w:rPr>
          <w:rFonts w:cstheme="minorHAnsi"/>
          <w:lang w:val="en-US"/>
        </w:rPr>
        <w:t xml:space="preserve"> urinary stone</w:t>
      </w:r>
      <w:r>
        <w:rPr>
          <w:rFonts w:cstheme="minorHAnsi"/>
          <w:lang w:val="en-US"/>
        </w:rPr>
        <w:t>s</w:t>
      </w:r>
      <w:r w:rsidRPr="00C97523">
        <w:rPr>
          <w:rFonts w:cstheme="minorHAnsi"/>
          <w:lang w:val="en-US"/>
        </w:rPr>
        <w:t xml:space="preserve"> since the last consultation</w:t>
      </w:r>
    </w:p>
    <w:p w14:paraId="701D2077" w14:textId="77777777" w:rsidR="00D172BA" w:rsidRPr="00634FB8" w:rsidRDefault="00D172BA" w:rsidP="00CC6FA2">
      <w:pPr>
        <w:pStyle w:val="Lijstalinea"/>
        <w:numPr>
          <w:ilvl w:val="0"/>
          <w:numId w:val="1"/>
        </w:numPr>
        <w:spacing w:line="480" w:lineRule="auto"/>
        <w:jc w:val="both"/>
        <w:rPr>
          <w:rFonts w:cstheme="minorHAnsi"/>
          <w:i/>
          <w:iCs/>
          <w:lang w:val="en-US"/>
        </w:rPr>
      </w:pPr>
      <w:r w:rsidRPr="00C97523">
        <w:rPr>
          <w:rFonts w:cstheme="minorHAnsi"/>
          <w:lang w:val="en-US"/>
        </w:rPr>
        <w:t xml:space="preserve">Results of medical imaging, if performed, more specifically new observed stone formation or stone growth </w:t>
      </w:r>
    </w:p>
    <w:p w14:paraId="4CFF2ECE" w14:textId="469F3F0F" w:rsidR="00D172BA" w:rsidRPr="008F3CB0" w:rsidRDefault="00D172BA" w:rsidP="00CC6FA2">
      <w:pPr>
        <w:pStyle w:val="Lijstalinea"/>
        <w:numPr>
          <w:ilvl w:val="0"/>
          <w:numId w:val="1"/>
        </w:numPr>
        <w:spacing w:after="0" w:line="480" w:lineRule="auto"/>
        <w:jc w:val="both"/>
        <w:rPr>
          <w:rFonts w:cstheme="minorHAnsi"/>
          <w:i/>
          <w:iCs/>
          <w:lang w:val="en-US"/>
        </w:rPr>
      </w:pPr>
      <w:r w:rsidRPr="00C97523">
        <w:rPr>
          <w:rFonts w:cstheme="minorHAnsi"/>
          <w:lang w:val="en-US"/>
        </w:rPr>
        <w:t xml:space="preserve">Imposed preventive measures (dietary measures, </w:t>
      </w:r>
      <w:r>
        <w:rPr>
          <w:rFonts w:cstheme="minorHAnsi"/>
          <w:lang w:val="en-US"/>
        </w:rPr>
        <w:t>increasing urinary volume</w:t>
      </w:r>
      <w:r w:rsidRPr="00C97523">
        <w:rPr>
          <w:rFonts w:cstheme="minorHAnsi"/>
          <w:lang w:val="en-US"/>
        </w:rPr>
        <w:t xml:space="preserve"> </w:t>
      </w:r>
      <w:r>
        <w:rPr>
          <w:rFonts w:cstheme="minorHAnsi"/>
          <w:lang w:val="en-US"/>
        </w:rPr>
        <w:t>alkalinizing therapy (</w:t>
      </w:r>
      <w:r w:rsidRPr="00C97523">
        <w:rPr>
          <w:rFonts w:cstheme="minorHAnsi"/>
          <w:lang w:val="en-US"/>
        </w:rPr>
        <w:t>potassium-citrate</w:t>
      </w:r>
      <w:r>
        <w:rPr>
          <w:rFonts w:cstheme="minorHAnsi"/>
          <w:lang w:val="en-US"/>
        </w:rPr>
        <w:t>, sodium citrate, sodium bicarbonate</w:t>
      </w:r>
      <w:r w:rsidRPr="00C97523">
        <w:rPr>
          <w:rFonts w:cstheme="minorHAnsi"/>
          <w:lang w:val="en-US"/>
        </w:rPr>
        <w:t xml:space="preserve"> supplements</w:t>
      </w:r>
      <w:r>
        <w:rPr>
          <w:rFonts w:cstheme="minorHAnsi"/>
          <w:lang w:val="en-US"/>
        </w:rPr>
        <w:t>…)</w:t>
      </w:r>
      <w:r w:rsidRPr="00C97523">
        <w:rPr>
          <w:rFonts w:cstheme="minorHAnsi"/>
          <w:lang w:val="en-US"/>
        </w:rPr>
        <w:t>, calcium supplements, allopurinol</w:t>
      </w:r>
      <w:r>
        <w:rPr>
          <w:rFonts w:cstheme="minorHAnsi"/>
          <w:lang w:val="en-US"/>
        </w:rPr>
        <w:t xml:space="preserve"> or febuxostat</w:t>
      </w:r>
      <w:r w:rsidRPr="00C97523">
        <w:rPr>
          <w:rFonts w:cstheme="minorHAnsi"/>
          <w:lang w:val="en-US"/>
        </w:rPr>
        <w:t xml:space="preserve">, </w:t>
      </w:r>
      <w:r>
        <w:rPr>
          <w:rFonts w:cstheme="minorHAnsi"/>
          <w:lang w:val="en-US"/>
        </w:rPr>
        <w:t>thiazide</w:t>
      </w:r>
      <w:r w:rsidRPr="00C97523">
        <w:rPr>
          <w:rFonts w:cstheme="minorHAnsi"/>
          <w:lang w:val="en-US"/>
        </w:rPr>
        <w:t xml:space="preserve"> </w:t>
      </w:r>
      <w:r>
        <w:rPr>
          <w:rFonts w:cstheme="minorHAnsi"/>
          <w:lang w:val="en-US"/>
        </w:rPr>
        <w:t>or thiazide-like diuretic and thiol-binding agents tiopronin or D-penicillamine</w:t>
      </w:r>
      <w:r w:rsidR="008F3CB0">
        <w:rPr>
          <w:rFonts w:cstheme="minorHAnsi"/>
          <w:lang w:val="en-US"/>
        </w:rPr>
        <w:t>.</w:t>
      </w:r>
    </w:p>
    <w:p w14:paraId="37526DB1" w14:textId="5D1DF2FE" w:rsidR="008F3CB0" w:rsidRPr="00401026" w:rsidRDefault="002A1AF1" w:rsidP="00CC6FA2">
      <w:pPr>
        <w:pStyle w:val="Kop2"/>
        <w:numPr>
          <w:ilvl w:val="0"/>
          <w:numId w:val="3"/>
        </w:numPr>
        <w:spacing w:after="240" w:line="480" w:lineRule="auto"/>
        <w:jc w:val="both"/>
        <w:rPr>
          <w:lang w:val="en-US"/>
        </w:rPr>
      </w:pPr>
      <w:bookmarkStart w:id="19" w:name="_Toc70238547"/>
      <w:r>
        <w:rPr>
          <w:lang w:val="en-US"/>
        </w:rPr>
        <w:t xml:space="preserve">EVALUATION </w:t>
      </w:r>
      <w:r w:rsidR="00401026" w:rsidRPr="00401026">
        <w:rPr>
          <w:lang w:val="en-US"/>
        </w:rPr>
        <w:t>OF URINARY RISK FACTORS</w:t>
      </w:r>
      <w:bookmarkEnd w:id="19"/>
    </w:p>
    <w:p w14:paraId="72FCF4F9" w14:textId="1B734F64" w:rsidR="005946BB" w:rsidRDefault="004A6E16" w:rsidP="005769F3">
      <w:pPr>
        <w:spacing w:line="480" w:lineRule="auto"/>
        <w:jc w:val="both"/>
        <w:rPr>
          <w:rFonts w:cstheme="minorHAnsi"/>
          <w:lang w:val="en-US"/>
        </w:rPr>
      </w:pPr>
      <w:r w:rsidRPr="005946BB">
        <w:rPr>
          <w:rFonts w:cstheme="minorHAnsi"/>
          <w:lang w:val="en-US"/>
        </w:rPr>
        <w:t>Of all patients with nephrolithiasis and nephrocalcinosis followed at the Kidney stone prevention clinic, mean</w:t>
      </w:r>
      <w:r w:rsidR="006A63D9">
        <w:rPr>
          <w:rFonts w:cstheme="minorHAnsi"/>
          <w:lang w:val="en-US"/>
        </w:rPr>
        <w:t xml:space="preserve"> </w:t>
      </w:r>
      <w:r w:rsidR="00D7749A">
        <w:rPr>
          <w:rFonts w:cstheme="minorHAnsi"/>
          <w:lang w:val="en-US"/>
        </w:rPr>
        <w:t xml:space="preserve">and median </w:t>
      </w:r>
      <w:r w:rsidR="006A63D9">
        <w:rPr>
          <w:rFonts w:cstheme="minorHAnsi"/>
          <w:lang w:val="en-US"/>
        </w:rPr>
        <w:t>urinary</w:t>
      </w:r>
      <w:r w:rsidRPr="005946BB">
        <w:rPr>
          <w:rFonts w:cstheme="minorHAnsi"/>
          <w:lang w:val="en-US"/>
        </w:rPr>
        <w:t xml:space="preserve"> oxalate, calcium</w:t>
      </w:r>
      <w:r w:rsidR="005946BB">
        <w:rPr>
          <w:rFonts w:cstheme="minorHAnsi"/>
          <w:lang w:val="en-US"/>
        </w:rPr>
        <w:t xml:space="preserve">, phosphorus, uric acid, </w:t>
      </w:r>
      <w:r w:rsidR="002E3FD9">
        <w:rPr>
          <w:rFonts w:cstheme="minorHAnsi"/>
          <w:lang w:val="en-US"/>
        </w:rPr>
        <w:t>sodium</w:t>
      </w:r>
      <w:r w:rsidR="006A63D9">
        <w:rPr>
          <w:rFonts w:cstheme="minorHAnsi"/>
          <w:lang w:val="en-US"/>
        </w:rPr>
        <w:t xml:space="preserve"> and</w:t>
      </w:r>
      <w:r w:rsidR="005946BB">
        <w:rPr>
          <w:rFonts w:cstheme="minorHAnsi"/>
          <w:lang w:val="en-US"/>
        </w:rPr>
        <w:t xml:space="preserve"> citrate</w:t>
      </w:r>
      <w:r w:rsidRPr="005946BB">
        <w:rPr>
          <w:rFonts w:cstheme="minorHAnsi"/>
          <w:lang w:val="en-US"/>
        </w:rPr>
        <w:t xml:space="preserve"> excretion </w:t>
      </w:r>
      <w:r w:rsidR="00D7749A">
        <w:rPr>
          <w:rFonts w:cstheme="minorHAnsi"/>
          <w:lang w:val="en-US"/>
        </w:rPr>
        <w:t>were</w:t>
      </w:r>
      <w:r w:rsidRPr="005946BB">
        <w:rPr>
          <w:rFonts w:cstheme="minorHAnsi"/>
          <w:lang w:val="en-US"/>
        </w:rPr>
        <w:t xml:space="preserve"> calculated </w:t>
      </w:r>
      <w:r w:rsidR="005946BB">
        <w:rPr>
          <w:rFonts w:cstheme="minorHAnsi"/>
          <w:lang w:val="en-US"/>
        </w:rPr>
        <w:t xml:space="preserve">as well as the mean </w:t>
      </w:r>
      <w:r w:rsidR="00D7749A">
        <w:rPr>
          <w:rFonts w:cstheme="minorHAnsi"/>
          <w:lang w:val="en-US"/>
        </w:rPr>
        <w:t xml:space="preserve">and median </w:t>
      </w:r>
      <w:r w:rsidR="005946BB">
        <w:rPr>
          <w:rFonts w:cstheme="minorHAnsi"/>
          <w:lang w:val="en-US"/>
        </w:rPr>
        <w:t>urinary pH</w:t>
      </w:r>
      <w:r w:rsidR="006A63D9">
        <w:rPr>
          <w:rFonts w:cstheme="minorHAnsi"/>
          <w:lang w:val="en-US"/>
        </w:rPr>
        <w:t xml:space="preserve">, </w:t>
      </w:r>
      <w:r w:rsidR="005946BB">
        <w:rPr>
          <w:rFonts w:cstheme="minorHAnsi"/>
          <w:lang w:val="en-US"/>
        </w:rPr>
        <w:t xml:space="preserve">urinary volume </w:t>
      </w:r>
      <w:r w:rsidR="006A63D9">
        <w:rPr>
          <w:rFonts w:cstheme="minorHAnsi"/>
          <w:lang w:val="en-US"/>
        </w:rPr>
        <w:t xml:space="preserve">and protein intake </w:t>
      </w:r>
      <w:r w:rsidRPr="005946BB">
        <w:rPr>
          <w:rFonts w:cstheme="minorHAnsi"/>
          <w:lang w:val="en-US"/>
        </w:rPr>
        <w:t xml:space="preserve">at baseline evaluation. </w:t>
      </w:r>
    </w:p>
    <w:p w14:paraId="5868AD3D" w14:textId="40A34F06" w:rsidR="000953E7" w:rsidRPr="005946BB" w:rsidRDefault="002A1AF1" w:rsidP="005769F3">
      <w:pPr>
        <w:spacing w:after="0" w:line="480" w:lineRule="auto"/>
        <w:jc w:val="both"/>
        <w:rPr>
          <w:rFonts w:cstheme="minorHAnsi"/>
          <w:lang w:val="en-US"/>
        </w:rPr>
      </w:pPr>
      <w:r>
        <w:rPr>
          <w:rFonts w:cstheme="minorHAnsi"/>
          <w:lang w:val="en-US"/>
        </w:rPr>
        <w:t>The n</w:t>
      </w:r>
      <w:r w:rsidR="004A6E16" w:rsidRPr="005946BB">
        <w:rPr>
          <w:rFonts w:cstheme="minorHAnsi"/>
          <w:lang w:val="en-US"/>
        </w:rPr>
        <w:t>umber of patients with urinary risk factors was calculated</w:t>
      </w:r>
      <w:r w:rsidR="005946BB">
        <w:rPr>
          <w:rFonts w:cstheme="minorHAnsi"/>
          <w:lang w:val="en-US"/>
        </w:rPr>
        <w:t>;</w:t>
      </w:r>
      <w:r w:rsidR="004A6E16" w:rsidRPr="005946BB">
        <w:rPr>
          <w:rFonts w:cstheme="minorHAnsi"/>
          <w:lang w:val="en-US"/>
        </w:rPr>
        <w:t xml:space="preserve"> </w:t>
      </w:r>
      <w:r w:rsidR="005946BB">
        <w:rPr>
          <w:rFonts w:cstheme="minorHAnsi"/>
          <w:lang w:val="en-US"/>
        </w:rPr>
        <w:t>these were defined as follows:</w:t>
      </w:r>
    </w:p>
    <w:p w14:paraId="0B215D17" w14:textId="7581B485" w:rsidR="005946BB" w:rsidRPr="00153D2B" w:rsidRDefault="005946BB" w:rsidP="00CC6FA2">
      <w:pPr>
        <w:pStyle w:val="Lijstalinea"/>
        <w:numPr>
          <w:ilvl w:val="0"/>
          <w:numId w:val="1"/>
        </w:numPr>
        <w:spacing w:line="480" w:lineRule="auto"/>
        <w:jc w:val="both"/>
        <w:rPr>
          <w:rFonts w:cstheme="minorHAnsi"/>
          <w:lang w:val="en-US"/>
        </w:rPr>
      </w:pPr>
      <w:r>
        <w:rPr>
          <w:rFonts w:cstheme="minorHAnsi"/>
          <w:lang w:val="en-US"/>
        </w:rPr>
        <w:t>Hyperoxaluria was defined as urinary oxalate excretion &gt; 45</w:t>
      </w:r>
      <w:r w:rsidR="00292823">
        <w:rPr>
          <w:rFonts w:cstheme="minorHAnsi"/>
          <w:lang w:val="en-US"/>
        </w:rPr>
        <w:t>.0</w:t>
      </w:r>
      <w:r>
        <w:rPr>
          <w:rFonts w:cstheme="minorHAnsi"/>
          <w:lang w:val="en-US"/>
        </w:rPr>
        <w:t xml:space="preserve"> mg/24 hours</w:t>
      </w:r>
    </w:p>
    <w:p w14:paraId="19FCE1A5" w14:textId="77777777" w:rsidR="005946BB" w:rsidRPr="009B2CFA" w:rsidRDefault="005946BB" w:rsidP="00CC6FA2">
      <w:pPr>
        <w:pStyle w:val="Lijstalinea"/>
        <w:numPr>
          <w:ilvl w:val="0"/>
          <w:numId w:val="1"/>
        </w:numPr>
        <w:spacing w:line="480" w:lineRule="auto"/>
        <w:jc w:val="both"/>
        <w:rPr>
          <w:rFonts w:cstheme="minorHAnsi"/>
          <w:lang w:val="en-US"/>
        </w:rPr>
      </w:pPr>
      <w:r>
        <w:rPr>
          <w:rFonts w:cstheme="minorHAnsi"/>
          <w:lang w:val="en-US"/>
        </w:rPr>
        <w:t xml:space="preserve">Hypercalciuria was defined as urinary calcium excretion ≥0.1 mmol/kg ideal weight /24 hours </w:t>
      </w:r>
    </w:p>
    <w:p w14:paraId="156949D1" w14:textId="29CF4DF2" w:rsidR="005946BB" w:rsidRPr="009B2CFA" w:rsidRDefault="005946BB" w:rsidP="00CC6FA2">
      <w:pPr>
        <w:pStyle w:val="Lijstalinea"/>
        <w:numPr>
          <w:ilvl w:val="0"/>
          <w:numId w:val="1"/>
        </w:numPr>
        <w:spacing w:line="480" w:lineRule="auto"/>
        <w:jc w:val="both"/>
        <w:rPr>
          <w:rFonts w:cstheme="minorHAnsi"/>
          <w:lang w:val="en-US"/>
        </w:rPr>
      </w:pPr>
      <w:r>
        <w:rPr>
          <w:rFonts w:cstheme="minorHAnsi"/>
          <w:lang w:val="en-US"/>
        </w:rPr>
        <w:t>Increased urinary phosphorus excretion was defined as urinary phosphorus excretion &gt; 42</w:t>
      </w:r>
      <w:r w:rsidR="00292823">
        <w:rPr>
          <w:rFonts w:cstheme="minorHAnsi"/>
          <w:lang w:val="en-US"/>
        </w:rPr>
        <w:t>.0</w:t>
      </w:r>
      <w:r>
        <w:rPr>
          <w:rFonts w:cstheme="minorHAnsi"/>
          <w:lang w:val="en-US"/>
        </w:rPr>
        <w:t xml:space="preserve"> mmol/24 hours </w:t>
      </w:r>
    </w:p>
    <w:p w14:paraId="0341865C" w14:textId="12DCD832" w:rsidR="005946BB" w:rsidRPr="009B2CFA" w:rsidRDefault="005946BB" w:rsidP="00CC6FA2">
      <w:pPr>
        <w:pStyle w:val="Lijstalinea"/>
        <w:numPr>
          <w:ilvl w:val="0"/>
          <w:numId w:val="1"/>
        </w:numPr>
        <w:spacing w:line="480" w:lineRule="auto"/>
        <w:jc w:val="both"/>
        <w:rPr>
          <w:rFonts w:cstheme="minorHAnsi"/>
          <w:lang w:val="en-US"/>
        </w:rPr>
      </w:pPr>
      <w:r>
        <w:rPr>
          <w:rFonts w:cstheme="minorHAnsi"/>
          <w:lang w:val="en-US"/>
        </w:rPr>
        <w:t>Increased urinary uric acid excretion was defined as urinary uric acid excretion &gt; 750</w:t>
      </w:r>
      <w:r w:rsidR="00292823">
        <w:rPr>
          <w:rFonts w:cstheme="minorHAnsi"/>
          <w:lang w:val="en-US"/>
        </w:rPr>
        <w:t>.0</w:t>
      </w:r>
      <w:r>
        <w:rPr>
          <w:rFonts w:cstheme="minorHAnsi"/>
          <w:lang w:val="en-US"/>
        </w:rPr>
        <w:t xml:space="preserve"> mg/24 hours in female</w:t>
      </w:r>
      <w:r w:rsidR="0063541E">
        <w:rPr>
          <w:rFonts w:cstheme="minorHAnsi"/>
          <w:lang w:val="en-US"/>
        </w:rPr>
        <w:t>s</w:t>
      </w:r>
      <w:r>
        <w:rPr>
          <w:rFonts w:cstheme="minorHAnsi"/>
          <w:lang w:val="en-US"/>
        </w:rPr>
        <w:t xml:space="preserve"> and &gt;800</w:t>
      </w:r>
      <w:r w:rsidR="00292823">
        <w:rPr>
          <w:rFonts w:cstheme="minorHAnsi"/>
          <w:lang w:val="en-US"/>
        </w:rPr>
        <w:t>.0</w:t>
      </w:r>
      <w:r>
        <w:rPr>
          <w:rFonts w:cstheme="minorHAnsi"/>
          <w:lang w:val="en-US"/>
        </w:rPr>
        <w:t xml:space="preserve"> mg/24 hours in male</w:t>
      </w:r>
      <w:r w:rsidR="0063541E">
        <w:rPr>
          <w:rFonts w:cstheme="minorHAnsi"/>
          <w:lang w:val="en-US"/>
        </w:rPr>
        <w:t>s</w:t>
      </w:r>
      <w:r>
        <w:rPr>
          <w:rFonts w:cstheme="minorHAnsi"/>
          <w:lang w:val="en-US"/>
        </w:rPr>
        <w:t xml:space="preserve"> </w:t>
      </w:r>
    </w:p>
    <w:p w14:paraId="03CC2A14" w14:textId="015E6560" w:rsidR="005946BB" w:rsidRPr="009B2CFA" w:rsidRDefault="005946BB" w:rsidP="00CC6FA2">
      <w:pPr>
        <w:pStyle w:val="Lijstalinea"/>
        <w:numPr>
          <w:ilvl w:val="0"/>
          <w:numId w:val="1"/>
        </w:numPr>
        <w:spacing w:line="480" w:lineRule="auto"/>
        <w:jc w:val="both"/>
        <w:rPr>
          <w:rFonts w:cstheme="minorHAnsi"/>
          <w:lang w:val="en-US"/>
        </w:rPr>
      </w:pPr>
      <w:r>
        <w:rPr>
          <w:rFonts w:cstheme="minorHAnsi"/>
          <w:lang w:val="en-US"/>
        </w:rPr>
        <w:lastRenderedPageBreak/>
        <w:t xml:space="preserve">Increased </w:t>
      </w:r>
      <w:r w:rsidR="0016059F">
        <w:rPr>
          <w:rFonts w:cstheme="minorHAnsi"/>
          <w:lang w:val="en-US"/>
        </w:rPr>
        <w:t xml:space="preserve">sodium excretion </w:t>
      </w:r>
      <w:r>
        <w:rPr>
          <w:rFonts w:cstheme="minorHAnsi"/>
          <w:lang w:val="en-US"/>
        </w:rPr>
        <w:t xml:space="preserve">was defined as urinary </w:t>
      </w:r>
      <w:r w:rsidR="0016059F">
        <w:rPr>
          <w:rFonts w:cstheme="minorHAnsi"/>
          <w:lang w:val="en-US"/>
        </w:rPr>
        <w:t xml:space="preserve">sodium </w:t>
      </w:r>
      <w:r>
        <w:rPr>
          <w:rFonts w:cstheme="minorHAnsi"/>
          <w:lang w:val="en-US"/>
        </w:rPr>
        <w:t>excretion &gt; 150</w:t>
      </w:r>
      <w:r w:rsidR="00292823">
        <w:rPr>
          <w:rFonts w:cstheme="minorHAnsi"/>
          <w:lang w:val="en-US"/>
        </w:rPr>
        <w:t>.0</w:t>
      </w:r>
      <w:r>
        <w:rPr>
          <w:rFonts w:cstheme="minorHAnsi"/>
          <w:lang w:val="en-US"/>
        </w:rPr>
        <w:t xml:space="preserve"> mmol/24 hours </w:t>
      </w:r>
    </w:p>
    <w:p w14:paraId="4A76ECA7" w14:textId="0D947D75" w:rsidR="005946BB" w:rsidRDefault="005946BB" w:rsidP="00CC6FA2">
      <w:pPr>
        <w:pStyle w:val="Lijstalinea"/>
        <w:numPr>
          <w:ilvl w:val="0"/>
          <w:numId w:val="1"/>
        </w:numPr>
        <w:spacing w:line="480" w:lineRule="auto"/>
        <w:jc w:val="both"/>
        <w:rPr>
          <w:rFonts w:cstheme="minorHAnsi"/>
          <w:lang w:val="en-US"/>
        </w:rPr>
      </w:pPr>
      <w:r>
        <w:rPr>
          <w:rFonts w:cstheme="minorHAnsi"/>
          <w:lang w:val="en-US"/>
        </w:rPr>
        <w:t>Increased protein intake was defined as protein intake &gt; 1</w:t>
      </w:r>
      <w:r w:rsidR="00292823">
        <w:rPr>
          <w:rFonts w:cstheme="minorHAnsi"/>
          <w:lang w:val="en-US"/>
        </w:rPr>
        <w:t xml:space="preserve">.0 </w:t>
      </w:r>
      <w:r>
        <w:rPr>
          <w:rFonts w:cstheme="minorHAnsi"/>
          <w:lang w:val="en-US"/>
        </w:rPr>
        <w:t>g/kg ideal weight</w:t>
      </w:r>
      <w:r w:rsidR="006A63D9">
        <w:rPr>
          <w:rFonts w:cstheme="minorHAnsi"/>
          <w:lang w:val="en-US"/>
        </w:rPr>
        <w:t>/24 hours</w:t>
      </w:r>
      <w:r>
        <w:rPr>
          <w:rFonts w:cstheme="minorHAnsi"/>
          <w:lang w:val="en-US"/>
        </w:rPr>
        <w:t xml:space="preserve"> </w:t>
      </w:r>
    </w:p>
    <w:p w14:paraId="4F6193A8" w14:textId="1F6A1379" w:rsidR="005946BB" w:rsidRPr="009E316C" w:rsidRDefault="005946BB" w:rsidP="00CC6FA2">
      <w:pPr>
        <w:pStyle w:val="Lijstalinea"/>
        <w:numPr>
          <w:ilvl w:val="0"/>
          <w:numId w:val="1"/>
        </w:numPr>
        <w:spacing w:line="480" w:lineRule="auto"/>
        <w:jc w:val="both"/>
        <w:rPr>
          <w:rFonts w:cstheme="minorHAnsi"/>
          <w:lang w:val="en-US"/>
        </w:rPr>
      </w:pPr>
      <w:r>
        <w:rPr>
          <w:rFonts w:cstheme="minorHAnsi"/>
          <w:lang w:val="en-US"/>
        </w:rPr>
        <w:t>Low</w:t>
      </w:r>
      <w:r w:rsidRPr="009E316C">
        <w:rPr>
          <w:rFonts w:cstheme="minorHAnsi"/>
          <w:lang w:val="en-US"/>
        </w:rPr>
        <w:t xml:space="preserve"> urinary </w:t>
      </w:r>
      <w:r>
        <w:rPr>
          <w:rFonts w:cstheme="minorHAnsi"/>
          <w:lang w:val="en-US"/>
        </w:rPr>
        <w:t>output was defined as u</w:t>
      </w:r>
      <w:r w:rsidRPr="009E316C">
        <w:rPr>
          <w:rFonts w:cstheme="minorHAnsi"/>
          <w:lang w:val="en-US"/>
        </w:rPr>
        <w:t>rinary volume &lt; 2000</w:t>
      </w:r>
      <w:r w:rsidR="00292823">
        <w:rPr>
          <w:rFonts w:cstheme="minorHAnsi"/>
          <w:lang w:val="en-US"/>
        </w:rPr>
        <w:t>.0</w:t>
      </w:r>
      <w:r w:rsidRPr="009E316C">
        <w:rPr>
          <w:rFonts w:cstheme="minorHAnsi"/>
          <w:lang w:val="en-US"/>
        </w:rPr>
        <w:t xml:space="preserve"> ml/24 hours </w:t>
      </w:r>
    </w:p>
    <w:p w14:paraId="6D6A6C25" w14:textId="45134E1B" w:rsidR="005946BB" w:rsidRPr="009E316C" w:rsidRDefault="005946BB" w:rsidP="00CC6FA2">
      <w:pPr>
        <w:pStyle w:val="Lijstalinea"/>
        <w:numPr>
          <w:ilvl w:val="0"/>
          <w:numId w:val="1"/>
        </w:numPr>
        <w:spacing w:line="480" w:lineRule="auto"/>
        <w:jc w:val="both"/>
        <w:rPr>
          <w:rFonts w:cstheme="minorHAnsi"/>
          <w:lang w:val="en-US"/>
        </w:rPr>
      </w:pPr>
      <w:r>
        <w:rPr>
          <w:rFonts w:cstheme="minorHAnsi"/>
          <w:lang w:val="en-US"/>
        </w:rPr>
        <w:t xml:space="preserve">Hypocitraturia was defined as </w:t>
      </w:r>
      <w:r w:rsidRPr="009E316C">
        <w:rPr>
          <w:rFonts w:cstheme="minorHAnsi"/>
          <w:lang w:val="en-US"/>
        </w:rPr>
        <w:t xml:space="preserve">urinary citrate excretion </w:t>
      </w:r>
      <w:r>
        <w:rPr>
          <w:rFonts w:cstheme="minorHAnsi"/>
          <w:lang w:val="en-US"/>
        </w:rPr>
        <w:t xml:space="preserve">≤ </w:t>
      </w:r>
      <w:r w:rsidRPr="009E316C">
        <w:rPr>
          <w:rFonts w:cstheme="minorHAnsi"/>
          <w:lang w:val="en-US"/>
        </w:rPr>
        <w:t>1500</w:t>
      </w:r>
      <w:r w:rsidR="00292823">
        <w:rPr>
          <w:rFonts w:cstheme="minorHAnsi"/>
          <w:lang w:val="en-US"/>
        </w:rPr>
        <w:t>.0</w:t>
      </w:r>
      <w:r w:rsidRPr="009E316C">
        <w:rPr>
          <w:rFonts w:cstheme="minorHAnsi"/>
          <w:lang w:val="en-US"/>
        </w:rPr>
        <w:t xml:space="preserve"> µmol/24 hours </w:t>
      </w:r>
    </w:p>
    <w:p w14:paraId="26C3B8A9" w14:textId="77777777" w:rsidR="005946BB" w:rsidRPr="009E316C" w:rsidRDefault="005946BB" w:rsidP="00CC6FA2">
      <w:pPr>
        <w:pStyle w:val="Lijstalinea"/>
        <w:numPr>
          <w:ilvl w:val="0"/>
          <w:numId w:val="1"/>
        </w:numPr>
        <w:spacing w:line="480" w:lineRule="auto"/>
        <w:jc w:val="both"/>
        <w:rPr>
          <w:rFonts w:cstheme="minorHAnsi"/>
          <w:lang w:val="en-US"/>
        </w:rPr>
      </w:pPr>
      <w:r>
        <w:rPr>
          <w:rFonts w:cstheme="minorHAnsi"/>
          <w:lang w:val="en-US"/>
        </w:rPr>
        <w:t xml:space="preserve">Low </w:t>
      </w:r>
      <w:r w:rsidRPr="009E316C">
        <w:rPr>
          <w:rFonts w:cstheme="minorHAnsi"/>
          <w:lang w:val="en-US"/>
        </w:rPr>
        <w:t xml:space="preserve">urinary pH </w:t>
      </w:r>
      <w:r>
        <w:rPr>
          <w:rFonts w:cstheme="minorHAnsi"/>
          <w:lang w:val="en-US"/>
        </w:rPr>
        <w:t xml:space="preserve">was defined as </w:t>
      </w:r>
      <w:r w:rsidRPr="009E316C">
        <w:rPr>
          <w:rFonts w:cstheme="minorHAnsi"/>
          <w:lang w:val="en-US"/>
        </w:rPr>
        <w:t xml:space="preserve">urinary pH &lt; 5.5 </w:t>
      </w:r>
    </w:p>
    <w:p w14:paraId="49F17BD0" w14:textId="52EB23BF" w:rsidR="004A6E16" w:rsidRPr="001F0BC2" w:rsidRDefault="004A6E16" w:rsidP="005769F3">
      <w:pPr>
        <w:spacing w:line="480" w:lineRule="auto"/>
        <w:jc w:val="both"/>
        <w:rPr>
          <w:rFonts w:cstheme="minorHAnsi"/>
          <w:lang w:val="en-US"/>
        </w:rPr>
      </w:pPr>
      <w:r w:rsidRPr="005946BB">
        <w:rPr>
          <w:rFonts w:cstheme="minorHAnsi"/>
          <w:lang w:val="en-US"/>
        </w:rPr>
        <w:t xml:space="preserve">In all patients with nephrolithiasis and nephrocalcinosis with </w:t>
      </w:r>
      <w:r w:rsidR="005946BB" w:rsidRPr="005946BB">
        <w:rPr>
          <w:rFonts w:cstheme="minorHAnsi"/>
          <w:lang w:val="en-US"/>
        </w:rPr>
        <w:t xml:space="preserve">at least </w:t>
      </w:r>
      <w:r w:rsidR="00292823">
        <w:rPr>
          <w:rFonts w:cstheme="minorHAnsi"/>
          <w:lang w:val="en-US"/>
        </w:rPr>
        <w:t>six</w:t>
      </w:r>
      <w:r w:rsidR="005946BB" w:rsidRPr="005946BB">
        <w:rPr>
          <w:rFonts w:cstheme="minorHAnsi"/>
          <w:lang w:val="en-US"/>
        </w:rPr>
        <w:t xml:space="preserve"> months clinical and biochemical follow-up </w:t>
      </w:r>
      <w:r w:rsidR="004551DC" w:rsidRPr="005946BB">
        <w:rPr>
          <w:rFonts w:cstheme="minorHAnsi"/>
          <w:lang w:val="en-US"/>
        </w:rPr>
        <w:t xml:space="preserve">mean </w:t>
      </w:r>
      <w:r w:rsidR="00D7749A">
        <w:rPr>
          <w:rFonts w:cstheme="minorHAnsi"/>
          <w:lang w:val="en-US"/>
        </w:rPr>
        <w:t xml:space="preserve">and median </w:t>
      </w:r>
      <w:r w:rsidR="006A63D9">
        <w:rPr>
          <w:rFonts w:cstheme="minorHAnsi"/>
          <w:lang w:val="en-US"/>
        </w:rPr>
        <w:t xml:space="preserve">urinary </w:t>
      </w:r>
      <w:r w:rsidR="004551DC" w:rsidRPr="005946BB">
        <w:rPr>
          <w:rFonts w:cstheme="minorHAnsi"/>
          <w:lang w:val="en-US"/>
        </w:rPr>
        <w:t>oxalate, calcium</w:t>
      </w:r>
      <w:r w:rsidR="004551DC">
        <w:rPr>
          <w:rFonts w:cstheme="minorHAnsi"/>
          <w:lang w:val="en-US"/>
        </w:rPr>
        <w:t xml:space="preserve">, phosphorus, uric acid, </w:t>
      </w:r>
      <w:r w:rsidR="006A63D9">
        <w:rPr>
          <w:rFonts w:cstheme="minorHAnsi"/>
          <w:lang w:val="en-US"/>
        </w:rPr>
        <w:t>sodium and</w:t>
      </w:r>
      <w:r w:rsidR="004551DC">
        <w:rPr>
          <w:rFonts w:cstheme="minorHAnsi"/>
          <w:lang w:val="en-US"/>
        </w:rPr>
        <w:t xml:space="preserve"> citrate</w:t>
      </w:r>
      <w:r w:rsidR="004551DC" w:rsidRPr="005946BB">
        <w:rPr>
          <w:rFonts w:cstheme="minorHAnsi"/>
          <w:lang w:val="en-US"/>
        </w:rPr>
        <w:t xml:space="preserve"> excretion </w:t>
      </w:r>
      <w:r w:rsidR="00D7749A">
        <w:rPr>
          <w:rFonts w:cstheme="minorHAnsi"/>
          <w:lang w:val="en-US"/>
        </w:rPr>
        <w:t>were</w:t>
      </w:r>
      <w:r w:rsidR="004551DC" w:rsidRPr="005946BB">
        <w:rPr>
          <w:rFonts w:cstheme="minorHAnsi"/>
          <w:lang w:val="en-US"/>
        </w:rPr>
        <w:t xml:space="preserve"> calculated </w:t>
      </w:r>
      <w:r w:rsidR="004551DC">
        <w:rPr>
          <w:rFonts w:cstheme="minorHAnsi"/>
          <w:lang w:val="en-US"/>
        </w:rPr>
        <w:t>as well as the mean</w:t>
      </w:r>
      <w:r w:rsidR="00D7749A">
        <w:rPr>
          <w:rFonts w:cstheme="minorHAnsi"/>
          <w:lang w:val="en-US"/>
        </w:rPr>
        <w:t xml:space="preserve"> and median</w:t>
      </w:r>
      <w:r w:rsidR="004551DC">
        <w:rPr>
          <w:rFonts w:cstheme="minorHAnsi"/>
          <w:lang w:val="en-US"/>
        </w:rPr>
        <w:t xml:space="preserve"> urinary pH</w:t>
      </w:r>
      <w:r w:rsidR="006A63D9">
        <w:rPr>
          <w:rFonts w:cstheme="minorHAnsi"/>
          <w:lang w:val="en-US"/>
        </w:rPr>
        <w:t>,</w:t>
      </w:r>
      <w:r w:rsidR="004551DC">
        <w:rPr>
          <w:rFonts w:cstheme="minorHAnsi"/>
          <w:lang w:val="en-US"/>
        </w:rPr>
        <w:t xml:space="preserve"> urinary volume </w:t>
      </w:r>
      <w:r w:rsidR="006A63D9">
        <w:rPr>
          <w:rFonts w:cstheme="minorHAnsi"/>
          <w:lang w:val="en-US"/>
        </w:rPr>
        <w:t xml:space="preserve">and protein intake </w:t>
      </w:r>
      <w:r w:rsidR="004551DC" w:rsidRPr="005946BB">
        <w:rPr>
          <w:rFonts w:cstheme="minorHAnsi"/>
          <w:lang w:val="en-US"/>
        </w:rPr>
        <w:t>at</w:t>
      </w:r>
      <w:r w:rsidR="004551DC">
        <w:rPr>
          <w:rFonts w:cstheme="minorHAnsi"/>
          <w:lang w:val="en-US"/>
        </w:rPr>
        <w:t xml:space="preserve"> </w:t>
      </w:r>
      <w:r w:rsidRPr="005946BB">
        <w:rPr>
          <w:rFonts w:cstheme="minorHAnsi"/>
          <w:lang w:val="en-US"/>
        </w:rPr>
        <w:t xml:space="preserve">last </w:t>
      </w:r>
      <w:r w:rsidR="006A63D9">
        <w:rPr>
          <w:rFonts w:cstheme="minorHAnsi"/>
          <w:lang w:val="en-US"/>
        </w:rPr>
        <w:t xml:space="preserve">clinical and biochemical </w:t>
      </w:r>
      <w:r w:rsidRPr="005946BB">
        <w:rPr>
          <w:rFonts w:cstheme="minorHAnsi"/>
          <w:lang w:val="en-US"/>
        </w:rPr>
        <w:t>follow-up.</w:t>
      </w:r>
    </w:p>
    <w:p w14:paraId="2CF688EE" w14:textId="559159CE" w:rsidR="004A6E16" w:rsidRDefault="0007683B" w:rsidP="00CC6FA2">
      <w:pPr>
        <w:pStyle w:val="Kop2"/>
        <w:numPr>
          <w:ilvl w:val="0"/>
          <w:numId w:val="3"/>
        </w:numPr>
        <w:spacing w:line="480" w:lineRule="auto"/>
        <w:rPr>
          <w:lang w:val="en-US"/>
        </w:rPr>
      </w:pPr>
      <w:bookmarkStart w:id="20" w:name="_Toc70238548"/>
      <w:r>
        <w:rPr>
          <w:lang w:val="en-US"/>
        </w:rPr>
        <w:t>DETERMINATION</w:t>
      </w:r>
      <w:r w:rsidRPr="005946BB">
        <w:rPr>
          <w:lang w:val="en-US"/>
        </w:rPr>
        <w:t xml:space="preserve"> OF </w:t>
      </w:r>
      <w:r>
        <w:rPr>
          <w:lang w:val="en-US"/>
        </w:rPr>
        <w:t>THE PRE- AND POSTTREATMENT RATES</w:t>
      </w:r>
      <w:bookmarkEnd w:id="20"/>
      <w:r>
        <w:rPr>
          <w:lang w:val="en-US"/>
        </w:rPr>
        <w:t xml:space="preserve"> </w:t>
      </w:r>
    </w:p>
    <w:p w14:paraId="7FE5DBD6" w14:textId="4AD3DDED" w:rsidR="009E74A2" w:rsidRDefault="009E74A2" w:rsidP="00CC6FA2">
      <w:pPr>
        <w:pStyle w:val="Kop3"/>
        <w:numPr>
          <w:ilvl w:val="1"/>
          <w:numId w:val="3"/>
        </w:numPr>
        <w:spacing w:line="480" w:lineRule="auto"/>
        <w:rPr>
          <w:lang w:val="en-US"/>
        </w:rPr>
      </w:pPr>
      <w:bookmarkStart w:id="21" w:name="_Toc68163850"/>
      <w:bookmarkStart w:id="22" w:name="_Toc68333361"/>
      <w:bookmarkStart w:id="23" w:name="_Toc68704035"/>
      <w:bookmarkStart w:id="24" w:name="_Toc70154198"/>
      <w:bookmarkStart w:id="25" w:name="_Toc70238549"/>
      <w:r>
        <w:rPr>
          <w:lang w:val="en-US"/>
        </w:rPr>
        <w:t>N</w:t>
      </w:r>
      <w:r w:rsidR="00581D1E">
        <w:rPr>
          <w:lang w:val="en-US"/>
        </w:rPr>
        <w:t>ephrolithiasis and nephrocalcinosis</w:t>
      </w:r>
      <w:r>
        <w:rPr>
          <w:lang w:val="en-US"/>
        </w:rPr>
        <w:t xml:space="preserve"> diagnosis</w:t>
      </w:r>
      <w:bookmarkEnd w:id="21"/>
      <w:bookmarkEnd w:id="22"/>
      <w:bookmarkEnd w:id="23"/>
      <w:bookmarkEnd w:id="24"/>
      <w:bookmarkEnd w:id="25"/>
    </w:p>
    <w:p w14:paraId="7774F3F4" w14:textId="0AA1EA11" w:rsidR="009E74A2" w:rsidRPr="00492E57" w:rsidRDefault="009E74A2" w:rsidP="00540A95">
      <w:pPr>
        <w:spacing w:line="480" w:lineRule="auto"/>
        <w:jc w:val="both"/>
        <w:rPr>
          <w:rFonts w:cstheme="minorHAnsi"/>
          <w:lang w:val="en-US"/>
        </w:rPr>
      </w:pPr>
      <w:r w:rsidRPr="00974B4E">
        <w:rPr>
          <w:rFonts w:cstheme="minorHAnsi"/>
          <w:lang w:val="en-US"/>
        </w:rPr>
        <w:t>NL/NC diagnosis</w:t>
      </w:r>
      <w:r>
        <w:rPr>
          <w:rFonts w:cstheme="minorHAnsi"/>
          <w:lang w:val="en-US"/>
        </w:rPr>
        <w:t xml:space="preserve"> was defined as </w:t>
      </w:r>
      <w:r w:rsidRPr="00974B4E">
        <w:rPr>
          <w:rFonts w:cstheme="minorHAnsi"/>
          <w:lang w:val="en-US"/>
        </w:rPr>
        <w:t>the first symptomatic renal colic episode or first asymptomatic visualization of nephrolithiasis on medical imaging</w:t>
      </w:r>
      <w:r>
        <w:rPr>
          <w:rFonts w:cstheme="minorHAnsi"/>
          <w:lang w:val="en-US"/>
        </w:rPr>
        <w:t>.</w:t>
      </w:r>
    </w:p>
    <w:p w14:paraId="5872AE7A" w14:textId="6828CA4D" w:rsidR="004551DC" w:rsidRDefault="004551DC" w:rsidP="00CC6FA2">
      <w:pPr>
        <w:pStyle w:val="Kop3"/>
        <w:numPr>
          <w:ilvl w:val="1"/>
          <w:numId w:val="3"/>
        </w:numPr>
        <w:spacing w:line="480" w:lineRule="auto"/>
        <w:rPr>
          <w:lang w:val="en-US"/>
        </w:rPr>
      </w:pPr>
      <w:bookmarkStart w:id="26" w:name="_Toc68163851"/>
      <w:bookmarkStart w:id="27" w:name="_Toc68333362"/>
      <w:bookmarkStart w:id="28" w:name="_Toc68704036"/>
      <w:bookmarkStart w:id="29" w:name="_Toc70154199"/>
      <w:bookmarkStart w:id="30" w:name="_Toc70238550"/>
      <w:r>
        <w:rPr>
          <w:lang w:val="en-US"/>
        </w:rPr>
        <w:t>Symptomatic renal colic rate</w:t>
      </w:r>
      <w:bookmarkEnd w:id="26"/>
      <w:bookmarkEnd w:id="27"/>
      <w:bookmarkEnd w:id="28"/>
      <w:bookmarkEnd w:id="29"/>
      <w:bookmarkEnd w:id="30"/>
    </w:p>
    <w:p w14:paraId="5197B21B" w14:textId="2F945BE8" w:rsidR="008F4F39" w:rsidRDefault="008F4F39" w:rsidP="005769F3">
      <w:pPr>
        <w:shd w:val="clear" w:color="auto" w:fill="FFFFFF"/>
        <w:spacing w:line="480" w:lineRule="auto"/>
        <w:jc w:val="both"/>
        <w:rPr>
          <w:rFonts w:cstheme="minorHAnsi"/>
          <w:lang w:val="en-US"/>
        </w:rPr>
      </w:pPr>
      <w:r>
        <w:rPr>
          <w:rFonts w:cstheme="minorHAnsi"/>
          <w:lang w:val="en-US"/>
        </w:rPr>
        <w:t>A symptomatic renal colic was defined as a typical acute loin to groin colicky pain associated with nausea, vomiting and renal angle tenderness, with or without microscopic or macroscopic haematuria and with or without medical imaging confirmation. Any symptomatic renal colic occurring within 30 days of a prior symptomatic renal colic was regarded as one single renal colic.</w:t>
      </w:r>
    </w:p>
    <w:p w14:paraId="0475A054" w14:textId="0A02789A" w:rsidR="005769F3" w:rsidRPr="005769F3" w:rsidRDefault="004551DC" w:rsidP="005769F3">
      <w:pPr>
        <w:shd w:val="clear" w:color="auto" w:fill="FFFFFF"/>
        <w:spacing w:line="480" w:lineRule="auto"/>
        <w:jc w:val="both"/>
        <w:rPr>
          <w:rFonts w:eastAsia="Times New Roman" w:cstheme="minorHAnsi"/>
          <w:color w:val="000000"/>
          <w:bdr w:val="none" w:sz="0" w:space="0" w:color="auto" w:frame="1"/>
          <w:lang w:val="en-US" w:eastAsia="nl-BE"/>
        </w:rPr>
      </w:pPr>
      <w:r w:rsidRPr="004551DC">
        <w:rPr>
          <w:rFonts w:cstheme="minorHAnsi"/>
          <w:lang w:val="en-US"/>
        </w:rPr>
        <w:t xml:space="preserve">In all patients with nephrolithiasis and excluding those with nephrocalcinosis, pre-treatment </w:t>
      </w:r>
      <w:r>
        <w:rPr>
          <w:rFonts w:cstheme="minorHAnsi"/>
          <w:lang w:val="en-US"/>
        </w:rPr>
        <w:t>symptomatic renal colic</w:t>
      </w:r>
      <w:r w:rsidRPr="004551DC">
        <w:rPr>
          <w:rFonts w:cstheme="minorHAnsi"/>
          <w:lang w:val="en-US"/>
        </w:rPr>
        <w:t xml:space="preserve"> rate was calculated</w:t>
      </w:r>
      <w:r>
        <w:rPr>
          <w:rFonts w:cstheme="minorHAnsi"/>
          <w:lang w:val="en-US"/>
        </w:rPr>
        <w:t>. T</w:t>
      </w:r>
      <w:r w:rsidRPr="004551DC">
        <w:rPr>
          <w:rFonts w:cstheme="minorHAnsi"/>
          <w:lang w:val="en-US"/>
        </w:rPr>
        <w:t>he rate was calculated as</w:t>
      </w:r>
      <w:r>
        <w:rPr>
          <w:rFonts w:cstheme="minorHAnsi"/>
          <w:lang w:val="en-US"/>
        </w:rPr>
        <w:t xml:space="preserve"> the </w:t>
      </w:r>
      <w:r w:rsidRPr="004551DC">
        <w:rPr>
          <w:rFonts w:cstheme="minorHAnsi"/>
          <w:lang w:val="en-US"/>
        </w:rPr>
        <w:t>number of symptomatic renal colic episodes since the diagnosis of nephrolithiasis, divided by the number of years between the diagnosis and first consultation at the Kidney stone prevention clinic</w:t>
      </w:r>
      <w:r>
        <w:rPr>
          <w:rFonts w:cstheme="minorHAnsi"/>
          <w:lang w:val="en-US"/>
        </w:rPr>
        <w:t xml:space="preserve">. </w:t>
      </w:r>
      <w:r w:rsidR="00BC580F" w:rsidRPr="00222B4B">
        <w:rPr>
          <w:rFonts w:eastAsia="Times New Roman" w:cstheme="minorHAnsi"/>
          <w:color w:val="000000"/>
          <w:bdr w:val="none" w:sz="0" w:space="0" w:color="auto" w:frame="1"/>
          <w:lang w:val="en-US" w:eastAsia="nl-BE"/>
        </w:rPr>
        <w:t>If insufficient data</w:t>
      </w:r>
      <w:r w:rsidR="006A63D9">
        <w:rPr>
          <w:rFonts w:eastAsia="Times New Roman" w:cstheme="minorHAnsi"/>
          <w:color w:val="000000"/>
          <w:bdr w:val="none" w:sz="0" w:space="0" w:color="auto" w:frame="1"/>
          <w:lang w:val="en-US" w:eastAsia="nl-BE"/>
        </w:rPr>
        <w:t xml:space="preserve"> were</w:t>
      </w:r>
      <w:r w:rsidR="00BC580F" w:rsidRPr="00222B4B">
        <w:rPr>
          <w:rFonts w:eastAsia="Times New Roman" w:cstheme="minorHAnsi"/>
          <w:color w:val="000000"/>
          <w:bdr w:val="none" w:sz="0" w:space="0" w:color="auto" w:frame="1"/>
          <w:lang w:val="en-US" w:eastAsia="nl-BE"/>
        </w:rPr>
        <w:t xml:space="preserve"> available, the pre-treatment </w:t>
      </w:r>
      <w:r w:rsidR="00401026">
        <w:rPr>
          <w:rFonts w:eastAsia="Times New Roman" w:cstheme="minorHAnsi"/>
          <w:color w:val="000000"/>
          <w:bdr w:val="none" w:sz="0" w:space="0" w:color="auto" w:frame="1"/>
          <w:lang w:val="en-US" w:eastAsia="nl-BE"/>
        </w:rPr>
        <w:t>symptomatic renal colic</w:t>
      </w:r>
      <w:r w:rsidR="00BC580F" w:rsidRPr="00222B4B">
        <w:rPr>
          <w:rFonts w:eastAsia="Times New Roman" w:cstheme="minorHAnsi"/>
          <w:color w:val="000000"/>
          <w:bdr w:val="none" w:sz="0" w:space="0" w:color="auto" w:frame="1"/>
          <w:lang w:val="en-US" w:eastAsia="nl-BE"/>
        </w:rPr>
        <w:t xml:space="preserve"> rate </w:t>
      </w:r>
      <w:r w:rsidR="006A63D9">
        <w:rPr>
          <w:rFonts w:eastAsia="Times New Roman" w:cstheme="minorHAnsi"/>
          <w:color w:val="000000"/>
          <w:bdr w:val="none" w:sz="0" w:space="0" w:color="auto" w:frame="1"/>
          <w:lang w:val="en-US" w:eastAsia="nl-BE"/>
        </w:rPr>
        <w:t>was</w:t>
      </w:r>
      <w:r w:rsidR="00BC580F" w:rsidRPr="00222B4B">
        <w:rPr>
          <w:rFonts w:eastAsia="Times New Roman" w:cstheme="minorHAnsi"/>
          <w:color w:val="000000"/>
          <w:bdr w:val="none" w:sz="0" w:space="0" w:color="auto" w:frame="1"/>
          <w:lang w:val="en-US" w:eastAsia="nl-BE"/>
        </w:rPr>
        <w:t xml:space="preserve"> calculated based on the number of </w:t>
      </w:r>
      <w:r w:rsidR="00401026">
        <w:rPr>
          <w:rFonts w:eastAsia="Times New Roman" w:cstheme="minorHAnsi"/>
          <w:color w:val="000000"/>
          <w:bdr w:val="none" w:sz="0" w:space="0" w:color="auto" w:frame="1"/>
          <w:lang w:val="en-US" w:eastAsia="nl-BE"/>
        </w:rPr>
        <w:t>symptomatic renal colics</w:t>
      </w:r>
      <w:r w:rsidR="00BC580F" w:rsidRPr="00222B4B">
        <w:rPr>
          <w:rFonts w:eastAsia="Times New Roman" w:cstheme="minorHAnsi"/>
          <w:color w:val="000000"/>
          <w:bdr w:val="none" w:sz="0" w:space="0" w:color="auto" w:frame="1"/>
          <w:lang w:val="en-US" w:eastAsia="nl-BE"/>
        </w:rPr>
        <w:t xml:space="preserve"> during the </w:t>
      </w:r>
      <w:r w:rsidR="00292823">
        <w:rPr>
          <w:rFonts w:eastAsia="Times New Roman" w:cstheme="minorHAnsi"/>
          <w:color w:val="000000"/>
          <w:bdr w:val="none" w:sz="0" w:space="0" w:color="auto" w:frame="1"/>
          <w:lang w:val="en-US" w:eastAsia="nl-BE"/>
        </w:rPr>
        <w:t>five</w:t>
      </w:r>
      <w:r w:rsidR="00BC580F" w:rsidRPr="00222B4B">
        <w:rPr>
          <w:rFonts w:eastAsia="Times New Roman" w:cstheme="minorHAnsi"/>
          <w:color w:val="000000"/>
          <w:bdr w:val="none" w:sz="0" w:space="0" w:color="auto" w:frame="1"/>
          <w:lang w:val="en-US" w:eastAsia="nl-BE"/>
        </w:rPr>
        <w:t xml:space="preserve"> years before the first consultation at the Kidney stone prevention clinic.</w:t>
      </w:r>
    </w:p>
    <w:p w14:paraId="477EE1BC" w14:textId="6642F551" w:rsidR="00BC580F" w:rsidRDefault="004551DC" w:rsidP="005769F3">
      <w:pPr>
        <w:spacing w:line="480" w:lineRule="auto"/>
        <w:jc w:val="both"/>
        <w:rPr>
          <w:rFonts w:cstheme="minorHAnsi"/>
          <w:lang w:val="en-US"/>
        </w:rPr>
      </w:pPr>
      <w:r w:rsidRPr="004551DC">
        <w:rPr>
          <w:rFonts w:cstheme="minorHAnsi"/>
          <w:lang w:val="en-US"/>
        </w:rPr>
        <w:lastRenderedPageBreak/>
        <w:t>In all patients with nephrolithiasis</w:t>
      </w:r>
      <w:r w:rsidR="001A2577">
        <w:rPr>
          <w:rFonts w:cstheme="minorHAnsi"/>
          <w:lang w:val="en-US"/>
        </w:rPr>
        <w:t xml:space="preserve"> with minimum 12 months clinical and biochemical follow-up</w:t>
      </w:r>
      <w:r w:rsidR="006A63D9">
        <w:rPr>
          <w:rFonts w:cstheme="minorHAnsi"/>
          <w:lang w:val="en-US"/>
        </w:rPr>
        <w:t>,</w:t>
      </w:r>
      <w:r w:rsidRPr="004551DC">
        <w:rPr>
          <w:rFonts w:cstheme="minorHAnsi"/>
          <w:lang w:val="en-US"/>
        </w:rPr>
        <w:t xml:space="preserve"> excluding those with nephrocalcinosis</w:t>
      </w:r>
      <w:r>
        <w:rPr>
          <w:rFonts w:cstheme="minorHAnsi"/>
          <w:lang w:val="en-US"/>
        </w:rPr>
        <w:t>, p</w:t>
      </w:r>
      <w:r w:rsidRPr="004551DC">
        <w:rPr>
          <w:rFonts w:cstheme="minorHAnsi"/>
          <w:lang w:val="en-US"/>
        </w:rPr>
        <w:t xml:space="preserve">ost-treatment </w:t>
      </w:r>
      <w:r w:rsidR="00BC580F">
        <w:rPr>
          <w:rFonts w:cstheme="minorHAnsi"/>
          <w:lang w:val="en-US"/>
        </w:rPr>
        <w:t>symptomatic renal</w:t>
      </w:r>
      <w:r w:rsidRPr="004551DC">
        <w:rPr>
          <w:rFonts w:cstheme="minorHAnsi"/>
          <w:lang w:val="en-US"/>
        </w:rPr>
        <w:t xml:space="preserve"> rate was calculated</w:t>
      </w:r>
      <w:r>
        <w:rPr>
          <w:rFonts w:cstheme="minorHAnsi"/>
          <w:lang w:val="en-US"/>
        </w:rPr>
        <w:t>. The rate was calculated as</w:t>
      </w:r>
      <w:r w:rsidR="00BC580F">
        <w:rPr>
          <w:rFonts w:cstheme="minorHAnsi"/>
          <w:lang w:val="en-US"/>
        </w:rPr>
        <w:t xml:space="preserve"> the </w:t>
      </w:r>
      <w:r w:rsidR="00BC580F" w:rsidRPr="00BC580F">
        <w:rPr>
          <w:rFonts w:cstheme="minorHAnsi"/>
          <w:lang w:val="en-US"/>
        </w:rPr>
        <w:t>number of symptomatic renal colic episodes since the first consultation at the kidney stone prevention clinic until final follow-up divided by the number of years in follow-up</w:t>
      </w:r>
      <w:r w:rsidR="00BC580F">
        <w:rPr>
          <w:rFonts w:cstheme="minorHAnsi"/>
          <w:lang w:val="en-US"/>
        </w:rPr>
        <w:t xml:space="preserve">. </w:t>
      </w:r>
    </w:p>
    <w:p w14:paraId="4C5A27E3" w14:textId="671FFD7E" w:rsidR="004551DC" w:rsidRDefault="004551DC" w:rsidP="00CC6FA2">
      <w:pPr>
        <w:pStyle w:val="Kop3"/>
        <w:numPr>
          <w:ilvl w:val="1"/>
          <w:numId w:val="3"/>
        </w:numPr>
        <w:spacing w:line="480" w:lineRule="auto"/>
        <w:rPr>
          <w:lang w:val="en-US"/>
        </w:rPr>
      </w:pPr>
      <w:bookmarkStart w:id="31" w:name="_Toc68163852"/>
      <w:bookmarkStart w:id="32" w:name="_Toc68333363"/>
      <w:bookmarkStart w:id="33" w:name="_Toc68704037"/>
      <w:bookmarkStart w:id="34" w:name="_Toc70154200"/>
      <w:bookmarkStart w:id="35" w:name="_Toc70238551"/>
      <w:r>
        <w:rPr>
          <w:lang w:val="en-US"/>
        </w:rPr>
        <w:t>Kidney stone formation rate</w:t>
      </w:r>
      <w:bookmarkEnd w:id="31"/>
      <w:bookmarkEnd w:id="32"/>
      <w:bookmarkEnd w:id="33"/>
      <w:bookmarkEnd w:id="34"/>
      <w:bookmarkEnd w:id="35"/>
    </w:p>
    <w:p w14:paraId="77AF65BA" w14:textId="27EF8CE5" w:rsidR="00D5288D" w:rsidRDefault="00BC580F" w:rsidP="005769F3">
      <w:pPr>
        <w:spacing w:line="480" w:lineRule="auto"/>
        <w:jc w:val="both"/>
        <w:rPr>
          <w:rFonts w:cstheme="minorHAnsi"/>
          <w:lang w:val="en-US"/>
        </w:rPr>
      </w:pPr>
      <w:r w:rsidRPr="00BC580F">
        <w:rPr>
          <w:rFonts w:cstheme="minorHAnsi"/>
          <w:lang w:val="en-US"/>
        </w:rPr>
        <w:t xml:space="preserve">In all patients with nephrolithiasis and excluding those with nephrocalcinosis, pre-treatment stone formation rate was calculated. The rate was calculated as the number of kidney stones formed since the diagnosis of nephrolithiasis, divided by the number of years between the diagnosis and the first consultation at the Kidney stone prevention clinic. This equals the number of kidney stones removed by urological interventions or spontaneous elimination and the number of residual stones visualized on medical imaging (by means of ultrasound or CT-scan) at the start of preventive measures divided by the number of years between the diagnosis and the first consultation at the Kidney stone prevention clinic. </w:t>
      </w:r>
      <w:r w:rsidR="00D5288D" w:rsidRPr="002A1AF1">
        <w:rPr>
          <w:rFonts w:cstheme="minorHAnsi"/>
          <w:lang w:val="en-US"/>
        </w:rPr>
        <w:t xml:space="preserve">If insufficient data were available to calculate kidney stone formation rate since diagnosis, the pre-treatment stone formation rate was calculated based on the number of kidney stones formed during the </w:t>
      </w:r>
      <w:r w:rsidR="00292823">
        <w:rPr>
          <w:rFonts w:cstheme="minorHAnsi"/>
          <w:lang w:val="en-US"/>
        </w:rPr>
        <w:t>five</w:t>
      </w:r>
      <w:r w:rsidR="00D5288D" w:rsidRPr="002A1AF1">
        <w:rPr>
          <w:rFonts w:cstheme="minorHAnsi"/>
          <w:lang w:val="en-US"/>
        </w:rPr>
        <w:t xml:space="preserve"> years before the first consultation at the Kidney stone prevention clinic.</w:t>
      </w:r>
    </w:p>
    <w:p w14:paraId="3FDBF2D3" w14:textId="1A5B7960" w:rsidR="001B423A" w:rsidRDefault="002A1AF1" w:rsidP="005769F3">
      <w:pPr>
        <w:spacing w:line="480" w:lineRule="auto"/>
        <w:jc w:val="both"/>
        <w:rPr>
          <w:rFonts w:cstheme="minorHAnsi"/>
          <w:lang w:val="en-US"/>
        </w:rPr>
      </w:pPr>
      <w:r w:rsidRPr="002A1AF1">
        <w:rPr>
          <w:rFonts w:cstheme="minorHAnsi"/>
          <w:lang w:val="en-US"/>
        </w:rPr>
        <w:t xml:space="preserve">To account for the time period during which kidney stones are formed but remain asymptomatic, </w:t>
      </w:r>
      <w:r w:rsidR="00D5288D">
        <w:rPr>
          <w:rFonts w:cstheme="minorHAnsi"/>
          <w:lang w:val="en-US"/>
        </w:rPr>
        <w:t xml:space="preserve">two additional calculations were made. In a first calculation, </w:t>
      </w:r>
      <w:r w:rsidRPr="002A1AF1">
        <w:rPr>
          <w:rFonts w:cstheme="minorHAnsi"/>
          <w:lang w:val="en-US"/>
        </w:rPr>
        <w:t xml:space="preserve">in patients with an interval between diagnosis of nephrolithiasis and first consultation at the Kidney stone prevention clinic less than </w:t>
      </w:r>
      <w:r w:rsidR="00292823">
        <w:rPr>
          <w:rFonts w:cstheme="minorHAnsi"/>
          <w:lang w:val="en-US"/>
        </w:rPr>
        <w:t>five</w:t>
      </w:r>
      <w:r w:rsidRPr="002A1AF1">
        <w:rPr>
          <w:rFonts w:cstheme="minorHAnsi"/>
          <w:lang w:val="en-US"/>
        </w:rPr>
        <w:t xml:space="preserve"> year</w:t>
      </w:r>
      <w:r w:rsidR="000C3B37">
        <w:rPr>
          <w:rFonts w:cstheme="minorHAnsi"/>
          <w:lang w:val="en-US"/>
        </w:rPr>
        <w:t>s</w:t>
      </w:r>
      <w:r w:rsidR="00D5288D">
        <w:rPr>
          <w:rFonts w:cstheme="minorHAnsi"/>
          <w:lang w:val="en-US"/>
        </w:rPr>
        <w:t xml:space="preserve">, </w:t>
      </w:r>
      <w:r w:rsidRPr="002A1AF1">
        <w:rPr>
          <w:rFonts w:cstheme="minorHAnsi"/>
          <w:lang w:val="en-US"/>
        </w:rPr>
        <w:t xml:space="preserve">the time interval for formation of stones up to the date of first consultation at the Kidney stone prevention clinic was set at </w:t>
      </w:r>
      <w:r w:rsidR="00292823">
        <w:rPr>
          <w:rFonts w:cstheme="minorHAnsi"/>
          <w:lang w:val="en-US"/>
        </w:rPr>
        <w:t>five</w:t>
      </w:r>
      <w:r w:rsidRPr="002A1AF1">
        <w:rPr>
          <w:rFonts w:cstheme="minorHAnsi"/>
          <w:lang w:val="en-US"/>
        </w:rPr>
        <w:t xml:space="preserve"> years.</w:t>
      </w:r>
      <w:r w:rsidRPr="002A1AF1">
        <w:rPr>
          <w:lang w:val="en-GB"/>
        </w:rPr>
        <w:t xml:space="preserve"> </w:t>
      </w:r>
      <w:r w:rsidR="00D5288D">
        <w:rPr>
          <w:lang w:val="en-GB"/>
        </w:rPr>
        <w:t xml:space="preserve">In </w:t>
      </w:r>
      <w:r w:rsidR="000C3B37">
        <w:rPr>
          <w:lang w:val="en-GB"/>
        </w:rPr>
        <w:t>a</w:t>
      </w:r>
      <w:r w:rsidR="00D5288D">
        <w:rPr>
          <w:lang w:val="en-GB"/>
        </w:rPr>
        <w:t xml:space="preserve"> second</w:t>
      </w:r>
      <w:r w:rsidR="000C3B37">
        <w:rPr>
          <w:lang w:val="en-GB"/>
        </w:rPr>
        <w:t xml:space="preserve"> approach</w:t>
      </w:r>
      <w:r w:rsidR="00D5288D">
        <w:rPr>
          <w:lang w:val="en-GB"/>
        </w:rPr>
        <w:t xml:space="preserve">, </w:t>
      </w:r>
      <w:r w:rsidR="001F5720" w:rsidRPr="001F5720">
        <w:rPr>
          <w:lang w:val="en-GB"/>
        </w:rPr>
        <w:t>the actual pre-treatment intervals were used</w:t>
      </w:r>
      <w:r w:rsidR="001F5720">
        <w:rPr>
          <w:lang w:val="en-GB"/>
        </w:rPr>
        <w:t xml:space="preserve"> but </w:t>
      </w:r>
      <w:r w:rsidR="00D5288D">
        <w:rPr>
          <w:lang w:val="en-GB"/>
        </w:rPr>
        <w:t xml:space="preserve">only </w:t>
      </w:r>
      <w:r w:rsidR="00D5288D" w:rsidRPr="00D5288D">
        <w:rPr>
          <w:lang w:val="en-GB"/>
        </w:rPr>
        <w:t xml:space="preserve">patients with </w:t>
      </w:r>
      <w:r w:rsidR="001F5720">
        <w:rPr>
          <w:lang w:val="en-GB"/>
        </w:rPr>
        <w:t>a pre-treatment interval longer than</w:t>
      </w:r>
      <w:r w:rsidR="00D5288D" w:rsidRPr="00D5288D">
        <w:rPr>
          <w:lang w:val="en-GB"/>
        </w:rPr>
        <w:t xml:space="preserve"> three years</w:t>
      </w:r>
      <w:r w:rsidR="00D5288D">
        <w:rPr>
          <w:lang w:val="en-GB"/>
        </w:rPr>
        <w:t xml:space="preserve"> were taken into account. </w:t>
      </w:r>
    </w:p>
    <w:p w14:paraId="59869C91" w14:textId="3250CD25" w:rsidR="00C14333" w:rsidRPr="00BC580F" w:rsidRDefault="00BC580F" w:rsidP="005769F3">
      <w:pPr>
        <w:spacing w:after="0" w:line="480" w:lineRule="auto"/>
        <w:jc w:val="both"/>
        <w:rPr>
          <w:lang w:val="en-US"/>
        </w:rPr>
      </w:pPr>
      <w:r w:rsidRPr="00BC580F">
        <w:rPr>
          <w:rFonts w:cstheme="minorHAnsi"/>
          <w:lang w:val="en-US"/>
        </w:rPr>
        <w:t>In all patients with nephrolithiasis</w:t>
      </w:r>
      <w:r w:rsidR="004B7D21">
        <w:rPr>
          <w:rFonts w:cstheme="minorHAnsi"/>
          <w:lang w:val="en-US"/>
        </w:rPr>
        <w:t xml:space="preserve"> with </w:t>
      </w:r>
      <w:r w:rsidR="004B7D21" w:rsidRPr="00BC580F">
        <w:rPr>
          <w:rFonts w:cstheme="minorHAnsi"/>
          <w:lang w:val="en-US"/>
        </w:rPr>
        <w:t>minimum 12 months clinical, biochemical and imaging follow-up at the Kidney stone prevention clinic</w:t>
      </w:r>
      <w:r w:rsidR="006A63D9">
        <w:rPr>
          <w:rFonts w:cstheme="minorHAnsi"/>
          <w:lang w:val="en-US"/>
        </w:rPr>
        <w:t xml:space="preserve">, </w:t>
      </w:r>
      <w:r w:rsidRPr="00BC580F">
        <w:rPr>
          <w:rFonts w:cstheme="minorHAnsi"/>
          <w:lang w:val="en-US"/>
        </w:rPr>
        <w:t xml:space="preserve">excluding those with nephrocalcinosis and with, post-treatment formation rate was calculated. The rate was calculated as the number of spontaneously or urologically eliminated kidney stones not visible on medical imaging at the start of preventive </w:t>
      </w:r>
      <w:r w:rsidRPr="00BC580F">
        <w:rPr>
          <w:rFonts w:cstheme="minorHAnsi"/>
          <w:lang w:val="en-US"/>
        </w:rPr>
        <w:lastRenderedPageBreak/>
        <w:t>measures plus number of new stones and number of grown stones visible on medical imaging (by means of ultrasound or CT-scan) since the first consultation at the Kidney stone prevention clinic until final medical imaging divided by the number of years with imaging follow-up.</w:t>
      </w:r>
      <w:r w:rsidR="002A1AF1">
        <w:rPr>
          <w:rFonts w:cstheme="minorHAnsi"/>
          <w:lang w:val="en-US"/>
        </w:rPr>
        <w:t xml:space="preserve"> </w:t>
      </w:r>
      <w:r w:rsidR="00B96F93" w:rsidRPr="00B96F93">
        <w:rPr>
          <w:rFonts w:cstheme="minorHAnsi"/>
          <w:lang w:val="en-US"/>
        </w:rPr>
        <w:t xml:space="preserve">If both ultrasound and CT had been performed, only the CT scan was considered. </w:t>
      </w:r>
    </w:p>
    <w:p w14:paraId="25B7E521" w14:textId="02852B66" w:rsidR="004551DC" w:rsidRPr="004551DC" w:rsidRDefault="004551DC" w:rsidP="00CC6FA2">
      <w:pPr>
        <w:pStyle w:val="Kop3"/>
        <w:numPr>
          <w:ilvl w:val="1"/>
          <w:numId w:val="3"/>
        </w:numPr>
        <w:spacing w:line="480" w:lineRule="auto"/>
        <w:rPr>
          <w:lang w:val="en-US"/>
        </w:rPr>
      </w:pPr>
      <w:bookmarkStart w:id="36" w:name="_Toc68163853"/>
      <w:bookmarkStart w:id="37" w:name="_Toc68333364"/>
      <w:bookmarkStart w:id="38" w:name="_Toc68704038"/>
      <w:bookmarkStart w:id="39" w:name="_Toc70154201"/>
      <w:bookmarkStart w:id="40" w:name="_Toc70238552"/>
      <w:r>
        <w:rPr>
          <w:lang w:val="en-US"/>
        </w:rPr>
        <w:t>Urological intervention rate</w:t>
      </w:r>
      <w:bookmarkEnd w:id="36"/>
      <w:bookmarkEnd w:id="37"/>
      <w:bookmarkEnd w:id="38"/>
      <w:bookmarkEnd w:id="39"/>
      <w:bookmarkEnd w:id="40"/>
      <w:r>
        <w:rPr>
          <w:lang w:val="en-US"/>
        </w:rPr>
        <w:t xml:space="preserve"> </w:t>
      </w:r>
    </w:p>
    <w:p w14:paraId="4D8EA44A" w14:textId="697DB900" w:rsidR="00BC580F" w:rsidRDefault="00BC580F" w:rsidP="005769F3">
      <w:pPr>
        <w:shd w:val="clear" w:color="auto" w:fill="FFFFFF"/>
        <w:spacing w:line="480" w:lineRule="auto"/>
        <w:jc w:val="both"/>
        <w:rPr>
          <w:rFonts w:eastAsia="Times New Roman" w:cstheme="minorHAnsi"/>
          <w:color w:val="000000"/>
          <w:bdr w:val="none" w:sz="0" w:space="0" w:color="auto" w:frame="1"/>
          <w:lang w:val="en-US" w:eastAsia="nl-BE"/>
        </w:rPr>
      </w:pPr>
      <w:r w:rsidRPr="00BC580F">
        <w:rPr>
          <w:rFonts w:cstheme="minorHAnsi"/>
          <w:lang w:val="en-US"/>
        </w:rPr>
        <w:t xml:space="preserve">In all patients with nephrolithiasis and excluding those with nephrocalcinosis, pre-treatment urological intervention rate was calculated. The rate was calculated as number of urological procedures performed for the indication of nephrolithiasis since the diagnosis of nephrolithiasis until the first consultation at the Kidney stone prevention clinic divided by the number of years between the diagnosis and the first consultation at the Kidney stone prevention clinic. </w:t>
      </w:r>
      <w:r w:rsidRPr="00222B4B">
        <w:rPr>
          <w:rFonts w:eastAsia="Times New Roman" w:cstheme="minorHAnsi"/>
          <w:color w:val="000000"/>
          <w:bdr w:val="none" w:sz="0" w:space="0" w:color="auto" w:frame="1"/>
          <w:lang w:val="en-US" w:eastAsia="nl-BE"/>
        </w:rPr>
        <w:t xml:space="preserve">If insufficient data </w:t>
      </w:r>
      <w:r w:rsidR="006A63D9">
        <w:rPr>
          <w:rFonts w:eastAsia="Times New Roman" w:cstheme="minorHAnsi"/>
          <w:color w:val="000000"/>
          <w:bdr w:val="none" w:sz="0" w:space="0" w:color="auto" w:frame="1"/>
          <w:lang w:val="en-US" w:eastAsia="nl-BE"/>
        </w:rPr>
        <w:t>were</w:t>
      </w:r>
      <w:r w:rsidR="006A63D9" w:rsidRPr="00222B4B">
        <w:rPr>
          <w:rFonts w:eastAsia="Times New Roman" w:cstheme="minorHAnsi"/>
          <w:color w:val="000000"/>
          <w:bdr w:val="none" w:sz="0" w:space="0" w:color="auto" w:frame="1"/>
          <w:lang w:val="en-US" w:eastAsia="nl-BE"/>
        </w:rPr>
        <w:t xml:space="preserve"> </w:t>
      </w:r>
      <w:r w:rsidRPr="00222B4B">
        <w:rPr>
          <w:rFonts w:eastAsia="Times New Roman" w:cstheme="minorHAnsi"/>
          <w:color w:val="000000"/>
          <w:bdr w:val="none" w:sz="0" w:space="0" w:color="auto" w:frame="1"/>
          <w:lang w:val="en-US" w:eastAsia="nl-BE"/>
        </w:rPr>
        <w:t xml:space="preserve">available, the pre-treatment urological intervention rate </w:t>
      </w:r>
      <w:r w:rsidR="006A63D9">
        <w:rPr>
          <w:rFonts w:eastAsia="Times New Roman" w:cstheme="minorHAnsi"/>
          <w:color w:val="000000"/>
          <w:bdr w:val="none" w:sz="0" w:space="0" w:color="auto" w:frame="1"/>
          <w:lang w:val="en-US" w:eastAsia="nl-BE"/>
        </w:rPr>
        <w:t>was</w:t>
      </w:r>
      <w:r w:rsidRPr="00222B4B">
        <w:rPr>
          <w:rFonts w:eastAsia="Times New Roman" w:cstheme="minorHAnsi"/>
          <w:color w:val="000000"/>
          <w:bdr w:val="none" w:sz="0" w:space="0" w:color="auto" w:frame="1"/>
          <w:lang w:val="en-US" w:eastAsia="nl-BE"/>
        </w:rPr>
        <w:t xml:space="preserve"> calculated based on the number of urological interventions during the </w:t>
      </w:r>
      <w:r w:rsidR="00292823">
        <w:rPr>
          <w:rFonts w:eastAsia="Times New Roman" w:cstheme="minorHAnsi"/>
          <w:color w:val="000000"/>
          <w:bdr w:val="none" w:sz="0" w:space="0" w:color="auto" w:frame="1"/>
          <w:lang w:val="en-US" w:eastAsia="nl-BE"/>
        </w:rPr>
        <w:t>five</w:t>
      </w:r>
      <w:r w:rsidRPr="00222B4B">
        <w:rPr>
          <w:rFonts w:eastAsia="Times New Roman" w:cstheme="minorHAnsi"/>
          <w:color w:val="000000"/>
          <w:bdr w:val="none" w:sz="0" w:space="0" w:color="auto" w:frame="1"/>
          <w:lang w:val="en-US" w:eastAsia="nl-BE"/>
        </w:rPr>
        <w:t xml:space="preserve"> years before the first consultation at the Kidney stone prevention clinic.</w:t>
      </w:r>
    </w:p>
    <w:p w14:paraId="7B64219D" w14:textId="60DAD630" w:rsidR="004A6E16" w:rsidRDefault="00BC580F" w:rsidP="005769F3">
      <w:pPr>
        <w:spacing w:after="0" w:line="480" w:lineRule="auto"/>
        <w:jc w:val="both"/>
        <w:rPr>
          <w:rFonts w:cstheme="minorHAnsi"/>
          <w:lang w:val="en-US"/>
        </w:rPr>
      </w:pPr>
      <w:r w:rsidRPr="00BC580F">
        <w:rPr>
          <w:rFonts w:cstheme="minorHAnsi"/>
          <w:lang w:val="en-US"/>
        </w:rPr>
        <w:t>Urological interventions include</w:t>
      </w:r>
      <w:r w:rsidR="004A2C3A">
        <w:rPr>
          <w:rFonts w:cstheme="minorHAnsi"/>
          <w:lang w:val="en-US"/>
        </w:rPr>
        <w:t>d</w:t>
      </w:r>
      <w:r w:rsidRPr="00BC580F">
        <w:rPr>
          <w:rFonts w:cstheme="minorHAnsi"/>
          <w:lang w:val="en-US"/>
        </w:rPr>
        <w:t xml:space="preserve"> extracorporeal shockwave lithotripsy, ureterorenoscopy, double-J stenting, (mini-) percutaneous nephrolithotomy, bladder stone lithotripsy and (partial) nephrectomy.</w:t>
      </w:r>
    </w:p>
    <w:p w14:paraId="75399D7B" w14:textId="247191F0" w:rsidR="009E74A2" w:rsidRDefault="009E74A2" w:rsidP="005769F3">
      <w:pPr>
        <w:spacing w:line="480" w:lineRule="auto"/>
        <w:jc w:val="both"/>
        <w:rPr>
          <w:rFonts w:eastAsia="Times New Roman" w:cstheme="minorHAnsi"/>
          <w:color w:val="000000"/>
          <w:bdr w:val="none" w:sz="0" w:space="0" w:color="auto" w:frame="1"/>
          <w:lang w:val="en-US" w:eastAsia="nl-BE"/>
        </w:rPr>
      </w:pPr>
      <w:r w:rsidRPr="009E74A2">
        <w:rPr>
          <w:rFonts w:eastAsia="Times New Roman" w:cstheme="minorHAnsi"/>
          <w:color w:val="000000"/>
          <w:bdr w:val="none" w:sz="0" w:space="0" w:color="auto" w:frame="1"/>
          <w:lang w:val="en-US" w:eastAsia="nl-BE"/>
        </w:rPr>
        <w:t xml:space="preserve">If a double J stent was placed </w:t>
      </w:r>
      <w:r>
        <w:rPr>
          <w:rFonts w:eastAsia="Times New Roman" w:cstheme="minorHAnsi"/>
          <w:color w:val="000000"/>
          <w:bdr w:val="none" w:sz="0" w:space="0" w:color="auto" w:frame="1"/>
          <w:lang w:val="en-US" w:eastAsia="nl-BE"/>
        </w:rPr>
        <w:t xml:space="preserve">prior to </w:t>
      </w:r>
      <w:r w:rsidRPr="009E74A2">
        <w:rPr>
          <w:rFonts w:eastAsia="Times New Roman" w:cstheme="minorHAnsi"/>
          <w:color w:val="000000"/>
          <w:bdr w:val="none" w:sz="0" w:space="0" w:color="auto" w:frame="1"/>
          <w:lang w:val="en-US" w:eastAsia="nl-BE"/>
        </w:rPr>
        <w:t>ESWL, URS</w:t>
      </w:r>
      <w:r w:rsidR="00E766C2">
        <w:rPr>
          <w:rFonts w:eastAsia="Times New Roman" w:cstheme="minorHAnsi"/>
          <w:color w:val="000000"/>
          <w:bdr w:val="none" w:sz="0" w:space="0" w:color="auto" w:frame="1"/>
          <w:lang w:val="en-US" w:eastAsia="nl-BE"/>
        </w:rPr>
        <w:t>, PNL</w:t>
      </w:r>
      <w:r w:rsidRPr="009E74A2">
        <w:rPr>
          <w:rFonts w:eastAsia="Times New Roman" w:cstheme="minorHAnsi"/>
          <w:color w:val="000000"/>
          <w:bdr w:val="none" w:sz="0" w:space="0" w:color="auto" w:frame="1"/>
          <w:lang w:val="en-US" w:eastAsia="nl-BE"/>
        </w:rPr>
        <w:t xml:space="preserve"> or spontaneous elimination, this was always considered a separate procedure.</w:t>
      </w:r>
      <w:r w:rsidRPr="009E74A2">
        <w:rPr>
          <w:lang w:val="en-GB"/>
        </w:rPr>
        <w:t xml:space="preserve"> </w:t>
      </w:r>
      <w:r w:rsidRPr="009E74A2">
        <w:rPr>
          <w:rFonts w:eastAsia="Times New Roman" w:cstheme="minorHAnsi"/>
          <w:color w:val="000000"/>
          <w:bdr w:val="none" w:sz="0" w:space="0" w:color="auto" w:frame="1"/>
          <w:lang w:val="en-US" w:eastAsia="nl-BE"/>
        </w:rPr>
        <w:t xml:space="preserve">A bilateral URS was noted as carrying out two URS. </w:t>
      </w:r>
    </w:p>
    <w:p w14:paraId="7B5B1734" w14:textId="4657CFCC" w:rsidR="004A6E16" w:rsidRPr="000B3BEF" w:rsidRDefault="00BC580F" w:rsidP="005769F3">
      <w:pPr>
        <w:spacing w:after="0" w:line="480" w:lineRule="auto"/>
        <w:jc w:val="both"/>
        <w:rPr>
          <w:lang w:val="en-US"/>
        </w:rPr>
      </w:pPr>
      <w:r w:rsidRPr="00BC580F">
        <w:rPr>
          <w:rFonts w:cstheme="minorHAnsi"/>
          <w:lang w:val="en-US"/>
        </w:rPr>
        <w:t>In all patients with nephrolithiasis</w:t>
      </w:r>
      <w:r w:rsidR="004B7D21" w:rsidRPr="004B7D21">
        <w:rPr>
          <w:rFonts w:cstheme="minorHAnsi"/>
          <w:lang w:val="en-US"/>
        </w:rPr>
        <w:t xml:space="preserve"> </w:t>
      </w:r>
      <w:r w:rsidR="004B7D21" w:rsidRPr="00BC580F">
        <w:rPr>
          <w:rFonts w:cstheme="minorHAnsi"/>
          <w:lang w:val="en-US"/>
        </w:rPr>
        <w:t>with minimum 12 months clinical and biochemical follow-up at the Kidney stone prevention clinic</w:t>
      </w:r>
      <w:r w:rsidR="006A63D9">
        <w:rPr>
          <w:rFonts w:cstheme="minorHAnsi"/>
          <w:lang w:val="en-US"/>
        </w:rPr>
        <w:t>,</w:t>
      </w:r>
      <w:r w:rsidRPr="00BC580F">
        <w:rPr>
          <w:rFonts w:cstheme="minorHAnsi"/>
          <w:lang w:val="en-US"/>
        </w:rPr>
        <w:t xml:space="preserve"> excluding those with nephrocalcinosis, post-treatment urological intervention rate was calculated. The rate was calculated as number of urological procedures performed for the indication of nephrolithiasis since the first consultation at the Kidney stone prevention clinic until final follow-up divided by the number of years in follow-</w:t>
      </w:r>
      <w:r w:rsidRPr="00BC580F">
        <w:rPr>
          <w:lang w:val="en-US"/>
        </w:rPr>
        <w:t>up.</w:t>
      </w:r>
    </w:p>
    <w:p w14:paraId="4AB8668C" w14:textId="52EAAFAC" w:rsidR="00401026" w:rsidRPr="00545712" w:rsidRDefault="00436704" w:rsidP="00CC6FA2">
      <w:pPr>
        <w:pStyle w:val="Kop2"/>
        <w:numPr>
          <w:ilvl w:val="0"/>
          <w:numId w:val="3"/>
        </w:numPr>
        <w:spacing w:line="480" w:lineRule="auto"/>
        <w:rPr>
          <w:lang w:val="en-US"/>
        </w:rPr>
      </w:pPr>
      <w:bookmarkStart w:id="41" w:name="_Toc70238553"/>
      <w:r>
        <w:rPr>
          <w:lang w:val="en-US"/>
        </w:rPr>
        <w:lastRenderedPageBreak/>
        <w:t>DEFINITIONS</w:t>
      </w:r>
      <w:bookmarkEnd w:id="41"/>
      <w:r>
        <w:rPr>
          <w:lang w:val="en-US"/>
        </w:rPr>
        <w:t xml:space="preserve"> </w:t>
      </w:r>
    </w:p>
    <w:p w14:paraId="609FABE3" w14:textId="5BC8296F" w:rsidR="0003016D" w:rsidRPr="00012003" w:rsidRDefault="0003016D" w:rsidP="00CC6FA2">
      <w:pPr>
        <w:pStyle w:val="Kop3"/>
        <w:numPr>
          <w:ilvl w:val="1"/>
          <w:numId w:val="3"/>
        </w:numPr>
        <w:spacing w:line="480" w:lineRule="auto"/>
        <w:rPr>
          <w:lang w:val="en-US"/>
        </w:rPr>
      </w:pPr>
      <w:bookmarkStart w:id="42" w:name="_Toc68163855"/>
      <w:bookmarkStart w:id="43" w:name="_Toc68333366"/>
      <w:bookmarkStart w:id="44" w:name="_Toc68704040"/>
      <w:bookmarkStart w:id="45" w:name="_Toc70154203"/>
      <w:bookmarkStart w:id="46" w:name="_Toc70238554"/>
      <w:r w:rsidRPr="00012003">
        <w:rPr>
          <w:lang w:val="en-US"/>
        </w:rPr>
        <w:t>Terms and definitions</w:t>
      </w:r>
      <w:bookmarkEnd w:id="42"/>
      <w:bookmarkEnd w:id="43"/>
      <w:bookmarkEnd w:id="44"/>
      <w:bookmarkEnd w:id="45"/>
      <w:bookmarkEnd w:id="46"/>
    </w:p>
    <w:tbl>
      <w:tblPr>
        <w:tblStyle w:val="Tabelraster"/>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229"/>
      </w:tblGrid>
      <w:tr w:rsidR="00BC7017" w:rsidRPr="00210A36" w14:paraId="4C20CB49" w14:textId="77777777" w:rsidTr="00BC7017">
        <w:trPr>
          <w:trHeight w:val="397"/>
        </w:trPr>
        <w:tc>
          <w:tcPr>
            <w:tcW w:w="2699" w:type="dxa"/>
            <w:hideMark/>
          </w:tcPr>
          <w:p w14:paraId="4DBC5279" w14:textId="77777777" w:rsidR="00BC7017" w:rsidRPr="00BC7017" w:rsidRDefault="00BC7017" w:rsidP="005769F3">
            <w:pPr>
              <w:spacing w:line="480" w:lineRule="auto"/>
              <w:rPr>
                <w:rFonts w:ascii="Calibri" w:eastAsia="Times New Roman" w:hAnsi="Calibri" w:cs="Times New Roman"/>
                <w:color w:val="000000"/>
                <w:lang w:val="en-GB" w:eastAsia="nl-BE"/>
              </w:rPr>
            </w:pPr>
            <w:r w:rsidRPr="00BC7017">
              <w:rPr>
                <w:rFonts w:ascii="Calibri" w:eastAsia="Times New Roman" w:hAnsi="Calibri" w:cs="Times New Roman"/>
                <w:color w:val="000000"/>
                <w:lang w:val="en-US" w:eastAsia="nl-BE"/>
              </w:rPr>
              <w:t>Age of NL/NC diagnosis</w:t>
            </w:r>
          </w:p>
        </w:tc>
        <w:tc>
          <w:tcPr>
            <w:tcW w:w="7229" w:type="dxa"/>
            <w:hideMark/>
          </w:tcPr>
          <w:p w14:paraId="4CB4B8C2" w14:textId="3076EFBC" w:rsidR="00BC7017" w:rsidRPr="00BC7017" w:rsidRDefault="00BC7017" w:rsidP="005769F3">
            <w:pPr>
              <w:spacing w:line="480" w:lineRule="auto"/>
              <w:rPr>
                <w:rFonts w:ascii="Calibri" w:eastAsia="Times New Roman" w:hAnsi="Calibri" w:cs="Times New Roman"/>
                <w:color w:val="000000"/>
                <w:lang w:val="en-GB" w:eastAsia="nl-BE"/>
              </w:rPr>
            </w:pPr>
            <w:r>
              <w:rPr>
                <w:rFonts w:ascii="Calibri" w:eastAsia="Times New Roman" w:hAnsi="Calibri" w:cs="Times New Roman"/>
                <w:color w:val="000000"/>
                <w:lang w:val="en-US" w:eastAsia="nl-BE"/>
              </w:rPr>
              <w:t>A</w:t>
            </w:r>
            <w:r w:rsidRPr="00BC7017">
              <w:rPr>
                <w:rFonts w:ascii="Calibri" w:eastAsia="Times New Roman" w:hAnsi="Calibri" w:cs="Times New Roman"/>
                <w:color w:val="000000"/>
                <w:lang w:val="en-US" w:eastAsia="nl-BE"/>
              </w:rPr>
              <w:t xml:space="preserve">ge </w:t>
            </w:r>
            <w:r w:rsidR="006A63D9">
              <w:rPr>
                <w:rFonts w:ascii="Calibri" w:eastAsia="Times New Roman" w:hAnsi="Calibri" w:cs="Times New Roman"/>
                <w:color w:val="000000"/>
                <w:lang w:val="en-US" w:eastAsia="nl-BE"/>
              </w:rPr>
              <w:t>at</w:t>
            </w:r>
            <w:r w:rsidR="006A63D9" w:rsidRPr="00BC7017">
              <w:rPr>
                <w:rFonts w:ascii="Calibri" w:eastAsia="Times New Roman" w:hAnsi="Calibri" w:cs="Times New Roman"/>
                <w:color w:val="000000"/>
                <w:lang w:val="en-US" w:eastAsia="nl-BE"/>
              </w:rPr>
              <w:t xml:space="preserve"> </w:t>
            </w:r>
            <w:r w:rsidRPr="00BC7017">
              <w:rPr>
                <w:rFonts w:ascii="Calibri" w:eastAsia="Times New Roman" w:hAnsi="Calibri" w:cs="Times New Roman"/>
                <w:color w:val="000000"/>
                <w:lang w:val="en-US" w:eastAsia="nl-BE"/>
              </w:rPr>
              <w:t>the first symptomatic renal colic episode or first asymptomatic visualization of nephrolithiasis on medical imaging</w:t>
            </w:r>
          </w:p>
        </w:tc>
      </w:tr>
      <w:tr w:rsidR="00BC7017" w:rsidRPr="00210A36" w14:paraId="39AC7C0A" w14:textId="77777777" w:rsidTr="00BC7017">
        <w:trPr>
          <w:trHeight w:val="397"/>
        </w:trPr>
        <w:tc>
          <w:tcPr>
            <w:tcW w:w="2699" w:type="dxa"/>
            <w:hideMark/>
          </w:tcPr>
          <w:p w14:paraId="21237D13" w14:textId="77777777" w:rsidR="00BC7017" w:rsidRPr="00BC7017" w:rsidRDefault="00BC7017" w:rsidP="005769F3">
            <w:pPr>
              <w:spacing w:line="480" w:lineRule="auto"/>
              <w:rPr>
                <w:rFonts w:ascii="Calibri" w:eastAsia="Times New Roman" w:hAnsi="Calibri" w:cs="Times New Roman"/>
                <w:color w:val="000000"/>
                <w:lang w:eastAsia="nl-BE"/>
              </w:rPr>
            </w:pPr>
            <w:r w:rsidRPr="00BC7017">
              <w:rPr>
                <w:rFonts w:ascii="Calibri" w:eastAsia="Times New Roman" w:hAnsi="Calibri" w:cs="Times New Roman"/>
                <w:color w:val="000000"/>
                <w:lang w:val="en-US" w:eastAsia="nl-BE"/>
              </w:rPr>
              <w:t>Arterial hypertension</w:t>
            </w:r>
          </w:p>
        </w:tc>
        <w:tc>
          <w:tcPr>
            <w:tcW w:w="7229" w:type="dxa"/>
            <w:hideMark/>
          </w:tcPr>
          <w:p w14:paraId="6981F54D" w14:textId="67E65446" w:rsidR="00BC7017" w:rsidRPr="00BC7017" w:rsidRDefault="00BC7017" w:rsidP="005769F3">
            <w:pPr>
              <w:spacing w:line="480" w:lineRule="auto"/>
              <w:rPr>
                <w:rFonts w:ascii="Calibri" w:eastAsia="Times New Roman" w:hAnsi="Calibri" w:cs="Times New Roman"/>
                <w:color w:val="000000"/>
                <w:lang w:val="en-GB" w:eastAsia="nl-BE"/>
              </w:rPr>
            </w:pPr>
            <w:r>
              <w:rPr>
                <w:rFonts w:ascii="Calibri" w:eastAsia="Times New Roman" w:hAnsi="Calibri" w:cs="Times New Roman"/>
                <w:color w:val="000000"/>
                <w:lang w:val="en-US" w:eastAsia="nl-BE"/>
              </w:rPr>
              <w:t>S</w:t>
            </w:r>
            <w:r w:rsidRPr="00BC7017">
              <w:rPr>
                <w:rFonts w:ascii="Calibri" w:eastAsia="Times New Roman" w:hAnsi="Calibri" w:cs="Times New Roman"/>
                <w:color w:val="000000"/>
                <w:lang w:val="en-US" w:eastAsia="nl-BE"/>
              </w:rPr>
              <w:t>ystolic blood pressure values ≥ 140</w:t>
            </w:r>
            <w:r w:rsidR="00292823">
              <w:rPr>
                <w:rFonts w:ascii="Calibri" w:eastAsia="Times New Roman" w:hAnsi="Calibri" w:cs="Times New Roman"/>
                <w:color w:val="000000"/>
                <w:lang w:val="en-US" w:eastAsia="nl-BE"/>
              </w:rPr>
              <w:t>.0</w:t>
            </w:r>
            <w:r w:rsidRPr="00BC7017">
              <w:rPr>
                <w:rFonts w:ascii="Calibri" w:eastAsia="Times New Roman" w:hAnsi="Calibri" w:cs="Times New Roman"/>
                <w:color w:val="000000"/>
                <w:lang w:val="en-US" w:eastAsia="nl-BE"/>
              </w:rPr>
              <w:t xml:space="preserve"> mmHg  and/or diastolic blood pressure values ≥90</w:t>
            </w:r>
            <w:r w:rsidR="00292823">
              <w:rPr>
                <w:rFonts w:ascii="Calibri" w:eastAsia="Times New Roman" w:hAnsi="Calibri" w:cs="Times New Roman"/>
                <w:color w:val="000000"/>
                <w:lang w:val="en-US" w:eastAsia="nl-BE"/>
              </w:rPr>
              <w:t>.0</w:t>
            </w:r>
            <w:r w:rsidRPr="00BC7017">
              <w:rPr>
                <w:rFonts w:ascii="Calibri" w:eastAsia="Times New Roman" w:hAnsi="Calibri" w:cs="Times New Roman"/>
                <w:color w:val="000000"/>
                <w:lang w:val="en-US" w:eastAsia="nl-BE"/>
              </w:rPr>
              <w:t xml:space="preserve"> mmHg</w:t>
            </w:r>
            <w:r w:rsidR="006A63D9">
              <w:rPr>
                <w:rFonts w:ascii="Calibri" w:eastAsia="Times New Roman" w:hAnsi="Calibri" w:cs="Times New Roman"/>
                <w:color w:val="000000"/>
                <w:lang w:val="en-US" w:eastAsia="nl-BE"/>
              </w:rPr>
              <w:t>, or treated with antihypertensive medication</w:t>
            </w:r>
          </w:p>
        </w:tc>
      </w:tr>
      <w:tr w:rsidR="00BC7017" w:rsidRPr="00210A36" w14:paraId="7B26D284" w14:textId="77777777" w:rsidTr="00BC7017">
        <w:trPr>
          <w:trHeight w:val="397"/>
        </w:trPr>
        <w:tc>
          <w:tcPr>
            <w:tcW w:w="2699" w:type="dxa"/>
            <w:hideMark/>
          </w:tcPr>
          <w:p w14:paraId="291F6925" w14:textId="77777777" w:rsidR="00BC7017" w:rsidRPr="00BC7017" w:rsidRDefault="00BC7017" w:rsidP="005769F3">
            <w:pPr>
              <w:spacing w:line="480" w:lineRule="auto"/>
              <w:rPr>
                <w:rFonts w:ascii="Calibri" w:eastAsia="Times New Roman" w:hAnsi="Calibri" w:cs="Times New Roman"/>
                <w:color w:val="000000"/>
                <w:lang w:eastAsia="nl-BE"/>
              </w:rPr>
            </w:pPr>
            <w:r w:rsidRPr="00BC7017">
              <w:rPr>
                <w:rFonts w:ascii="Calibri" w:eastAsia="Times New Roman" w:hAnsi="Calibri" w:cs="Times New Roman"/>
                <w:color w:val="000000"/>
                <w:lang w:val="en-US" w:eastAsia="nl-BE"/>
              </w:rPr>
              <w:t>Bariatric surgery</w:t>
            </w:r>
          </w:p>
        </w:tc>
        <w:tc>
          <w:tcPr>
            <w:tcW w:w="7229" w:type="dxa"/>
            <w:hideMark/>
          </w:tcPr>
          <w:p w14:paraId="35117E4B" w14:textId="670CBDAA" w:rsidR="00BC7017" w:rsidRPr="00BC7017" w:rsidRDefault="00BC7017" w:rsidP="005769F3">
            <w:pPr>
              <w:spacing w:line="480" w:lineRule="auto"/>
              <w:rPr>
                <w:rFonts w:ascii="Calibri" w:eastAsia="Times New Roman" w:hAnsi="Calibri" w:cs="Times New Roman"/>
                <w:color w:val="000000"/>
                <w:lang w:val="en-GB" w:eastAsia="nl-BE"/>
              </w:rPr>
            </w:pPr>
            <w:r w:rsidRPr="00BC7017">
              <w:rPr>
                <w:rFonts w:ascii="Calibri" w:eastAsia="Times New Roman" w:hAnsi="Calibri" w:cs="Times New Roman"/>
                <w:color w:val="000000"/>
                <w:lang w:val="en-US" w:eastAsia="nl-BE"/>
              </w:rPr>
              <w:t>Including sleeve gastrectomy</w:t>
            </w:r>
            <w:r w:rsidR="00E9115D">
              <w:rPr>
                <w:rFonts w:ascii="Calibri" w:eastAsia="Times New Roman" w:hAnsi="Calibri" w:cs="Times New Roman"/>
                <w:color w:val="000000"/>
                <w:lang w:val="en-US" w:eastAsia="nl-BE"/>
              </w:rPr>
              <w:t xml:space="preserve">, </w:t>
            </w:r>
            <w:r w:rsidRPr="00BC7017">
              <w:rPr>
                <w:rFonts w:ascii="Calibri" w:eastAsia="Times New Roman" w:hAnsi="Calibri" w:cs="Times New Roman"/>
                <w:color w:val="000000"/>
                <w:lang w:val="en-US" w:eastAsia="nl-BE"/>
              </w:rPr>
              <w:t>gastric bypass</w:t>
            </w:r>
            <w:r w:rsidR="00E9115D">
              <w:rPr>
                <w:rFonts w:ascii="Calibri" w:eastAsia="Times New Roman" w:hAnsi="Calibri" w:cs="Times New Roman"/>
                <w:color w:val="000000"/>
                <w:lang w:val="en-US" w:eastAsia="nl-BE"/>
              </w:rPr>
              <w:t xml:space="preserve"> and gastric band</w:t>
            </w:r>
            <w:r w:rsidR="0063541E">
              <w:rPr>
                <w:rFonts w:ascii="Calibri" w:eastAsia="Times New Roman" w:hAnsi="Calibri" w:cs="Times New Roman"/>
                <w:color w:val="000000"/>
                <w:lang w:val="en-US" w:eastAsia="nl-BE"/>
              </w:rPr>
              <w:t>ing</w:t>
            </w:r>
          </w:p>
        </w:tc>
      </w:tr>
      <w:tr w:rsidR="00BC7017" w:rsidRPr="00210A36" w14:paraId="0AC57050" w14:textId="77777777" w:rsidTr="00BC7017">
        <w:trPr>
          <w:trHeight w:val="397"/>
        </w:trPr>
        <w:tc>
          <w:tcPr>
            <w:tcW w:w="2699" w:type="dxa"/>
            <w:hideMark/>
          </w:tcPr>
          <w:p w14:paraId="1B6718E7" w14:textId="77777777" w:rsidR="00BC7017" w:rsidRPr="00BC7017" w:rsidRDefault="00BC7017" w:rsidP="005769F3">
            <w:pPr>
              <w:spacing w:line="480" w:lineRule="auto"/>
              <w:rPr>
                <w:rFonts w:ascii="Calibri" w:eastAsia="Times New Roman" w:hAnsi="Calibri" w:cs="Times New Roman"/>
                <w:color w:val="000000"/>
                <w:lang w:eastAsia="nl-BE"/>
              </w:rPr>
            </w:pPr>
            <w:r w:rsidRPr="00BC7017">
              <w:rPr>
                <w:rFonts w:ascii="Calibri" w:eastAsia="Times New Roman" w:hAnsi="Calibri" w:cs="Times New Roman"/>
                <w:color w:val="000000"/>
                <w:lang w:val="en-US" w:eastAsia="nl-BE"/>
              </w:rPr>
              <w:t>Cardiovascular disease</w:t>
            </w:r>
          </w:p>
        </w:tc>
        <w:tc>
          <w:tcPr>
            <w:tcW w:w="7229" w:type="dxa"/>
            <w:hideMark/>
          </w:tcPr>
          <w:p w14:paraId="5D330EA3" w14:textId="77777777" w:rsidR="00BC7017" w:rsidRPr="00BC7017" w:rsidRDefault="00BC7017" w:rsidP="005769F3">
            <w:pPr>
              <w:spacing w:line="480" w:lineRule="auto"/>
              <w:rPr>
                <w:rFonts w:ascii="Calibri" w:eastAsia="Times New Roman" w:hAnsi="Calibri" w:cs="Times New Roman"/>
                <w:color w:val="000000"/>
                <w:lang w:val="en-GB" w:eastAsia="nl-BE"/>
              </w:rPr>
            </w:pPr>
            <w:bookmarkStart w:id="47" w:name="RANGE!B4"/>
            <w:r w:rsidRPr="00BC7017">
              <w:rPr>
                <w:rFonts w:ascii="Calibri" w:eastAsia="Times New Roman" w:hAnsi="Calibri" w:cs="Times New Roman"/>
                <w:color w:val="000000"/>
                <w:lang w:val="en-US" w:eastAsia="nl-BE"/>
              </w:rPr>
              <w:t>Including AMI, CAD, CABG, PAD, PTCA and ischemic stroke</w:t>
            </w:r>
            <w:bookmarkEnd w:id="47"/>
          </w:p>
        </w:tc>
      </w:tr>
      <w:tr w:rsidR="00BC7017" w:rsidRPr="00210A36" w14:paraId="66E180FC" w14:textId="77777777" w:rsidTr="00BC7017">
        <w:trPr>
          <w:trHeight w:val="397"/>
        </w:trPr>
        <w:tc>
          <w:tcPr>
            <w:tcW w:w="2699" w:type="dxa"/>
            <w:hideMark/>
          </w:tcPr>
          <w:p w14:paraId="53727285" w14:textId="77777777" w:rsidR="00BC7017" w:rsidRPr="00BC7017" w:rsidRDefault="00BC7017" w:rsidP="005769F3">
            <w:pPr>
              <w:spacing w:line="480" w:lineRule="auto"/>
              <w:rPr>
                <w:rFonts w:ascii="Calibri" w:eastAsia="Times New Roman" w:hAnsi="Calibri" w:cs="Times New Roman"/>
                <w:color w:val="000000"/>
                <w:lang w:eastAsia="nl-BE"/>
              </w:rPr>
            </w:pPr>
            <w:r w:rsidRPr="00BC7017">
              <w:rPr>
                <w:rFonts w:ascii="Calibri" w:eastAsia="Times New Roman" w:hAnsi="Calibri" w:cs="Times New Roman"/>
                <w:color w:val="000000"/>
                <w:lang w:val="en-US" w:eastAsia="nl-BE"/>
              </w:rPr>
              <w:t>CKD</w:t>
            </w:r>
          </w:p>
        </w:tc>
        <w:tc>
          <w:tcPr>
            <w:tcW w:w="7229" w:type="dxa"/>
            <w:hideMark/>
          </w:tcPr>
          <w:p w14:paraId="68A040C4" w14:textId="7EC1EE6F" w:rsidR="00BC7017" w:rsidRPr="00012003" w:rsidRDefault="00BC7017" w:rsidP="005769F3">
            <w:pPr>
              <w:spacing w:line="480" w:lineRule="auto"/>
              <w:rPr>
                <w:rFonts w:ascii="Calibri" w:eastAsia="Times New Roman" w:hAnsi="Calibri" w:cs="Times New Roman"/>
                <w:color w:val="000000"/>
                <w:lang w:val="en-GB" w:eastAsia="nl-BE"/>
              </w:rPr>
            </w:pPr>
            <w:r w:rsidRPr="00BC7017">
              <w:rPr>
                <w:rFonts w:ascii="Calibri" w:eastAsia="Times New Roman" w:hAnsi="Calibri" w:cs="Times New Roman"/>
                <w:color w:val="000000"/>
                <w:lang w:val="en-US" w:eastAsia="nl-BE"/>
              </w:rPr>
              <w:t xml:space="preserve">eGFR </w:t>
            </w:r>
            <w:r w:rsidR="006A63D9">
              <w:rPr>
                <w:rFonts w:ascii="Calibri" w:eastAsia="Times New Roman" w:hAnsi="Calibri" w:cs="Times New Roman"/>
                <w:color w:val="000000"/>
                <w:lang w:val="en-US" w:eastAsia="nl-BE"/>
              </w:rPr>
              <w:t xml:space="preserve">(MDRD or CKD-EPI) </w:t>
            </w:r>
            <w:r w:rsidRPr="00BC7017">
              <w:rPr>
                <w:rFonts w:ascii="Calibri" w:eastAsia="Times New Roman" w:hAnsi="Calibri" w:cs="Times New Roman"/>
                <w:color w:val="000000"/>
                <w:lang w:val="en-US" w:eastAsia="nl-BE"/>
              </w:rPr>
              <w:t>&lt;60</w:t>
            </w:r>
            <w:r w:rsidR="00292823">
              <w:rPr>
                <w:rFonts w:ascii="Calibri" w:eastAsia="Times New Roman" w:hAnsi="Calibri" w:cs="Times New Roman"/>
                <w:color w:val="000000"/>
                <w:lang w:val="en-US" w:eastAsia="nl-BE"/>
              </w:rPr>
              <w:t>.0</w:t>
            </w:r>
            <w:r w:rsidRPr="00BC7017">
              <w:rPr>
                <w:rFonts w:ascii="Calibri" w:eastAsia="Times New Roman" w:hAnsi="Calibri" w:cs="Times New Roman"/>
                <w:color w:val="000000"/>
                <w:lang w:val="en-US" w:eastAsia="nl-BE"/>
              </w:rPr>
              <w:t xml:space="preserve"> mL/min</w:t>
            </w:r>
            <w:r w:rsidR="006A63D9">
              <w:rPr>
                <w:rFonts w:ascii="Calibri" w:eastAsia="Times New Roman" w:hAnsi="Calibri" w:cs="Times New Roman"/>
                <w:color w:val="000000"/>
                <w:lang w:val="en-US" w:eastAsia="nl-BE"/>
              </w:rPr>
              <w:t xml:space="preserve"> for minimum </w:t>
            </w:r>
            <w:r w:rsidR="00D7749A">
              <w:rPr>
                <w:rFonts w:ascii="Calibri" w:eastAsia="Times New Roman" w:hAnsi="Calibri" w:cs="Times New Roman"/>
                <w:color w:val="000000"/>
                <w:lang w:val="en-US" w:eastAsia="nl-BE"/>
              </w:rPr>
              <w:t>three</w:t>
            </w:r>
            <w:r w:rsidR="006A63D9">
              <w:rPr>
                <w:rFonts w:ascii="Calibri" w:eastAsia="Times New Roman" w:hAnsi="Calibri" w:cs="Times New Roman"/>
                <w:color w:val="000000"/>
                <w:lang w:val="en-US" w:eastAsia="nl-BE"/>
              </w:rPr>
              <w:t xml:space="preserve"> months</w:t>
            </w:r>
          </w:p>
        </w:tc>
      </w:tr>
      <w:tr w:rsidR="00BC7017" w:rsidRPr="00210A36" w14:paraId="24CF6663" w14:textId="77777777" w:rsidTr="00BC7017">
        <w:trPr>
          <w:trHeight w:val="397"/>
        </w:trPr>
        <w:tc>
          <w:tcPr>
            <w:tcW w:w="2699" w:type="dxa"/>
            <w:hideMark/>
          </w:tcPr>
          <w:p w14:paraId="741E1EF5" w14:textId="77777777" w:rsidR="00BC7017" w:rsidRPr="00BC7017" w:rsidRDefault="00BC7017" w:rsidP="005769F3">
            <w:pPr>
              <w:spacing w:line="480" w:lineRule="auto"/>
              <w:rPr>
                <w:rFonts w:ascii="Calibri" w:eastAsia="Times New Roman" w:hAnsi="Calibri" w:cs="Times New Roman"/>
                <w:color w:val="000000"/>
                <w:lang w:eastAsia="nl-BE"/>
              </w:rPr>
            </w:pPr>
            <w:r w:rsidRPr="00BC7017">
              <w:rPr>
                <w:rFonts w:ascii="Calibri" w:eastAsia="Times New Roman" w:hAnsi="Calibri" w:cs="Times New Roman"/>
                <w:color w:val="000000"/>
                <w:lang w:val="en-US" w:eastAsia="nl-BE"/>
              </w:rPr>
              <w:t>Diabetes</w:t>
            </w:r>
          </w:p>
        </w:tc>
        <w:tc>
          <w:tcPr>
            <w:tcW w:w="7229" w:type="dxa"/>
            <w:hideMark/>
          </w:tcPr>
          <w:p w14:paraId="42968DEC" w14:textId="77777777" w:rsidR="00BC7017" w:rsidRPr="00BC7017" w:rsidRDefault="00BC7017" w:rsidP="005769F3">
            <w:pPr>
              <w:spacing w:line="480" w:lineRule="auto"/>
              <w:rPr>
                <w:rFonts w:ascii="Calibri" w:eastAsia="Times New Roman" w:hAnsi="Calibri" w:cs="Times New Roman"/>
                <w:color w:val="000000"/>
                <w:lang w:val="en-GB" w:eastAsia="nl-BE"/>
              </w:rPr>
            </w:pPr>
            <w:r w:rsidRPr="00BC7017">
              <w:rPr>
                <w:rFonts w:ascii="Calibri" w:eastAsia="Times New Roman" w:hAnsi="Calibri" w:cs="Times New Roman"/>
                <w:color w:val="000000"/>
                <w:lang w:val="en-US" w:eastAsia="nl-BE"/>
              </w:rPr>
              <w:t>Including diabetes type 1, type 2 and unclassified diabetes</w:t>
            </w:r>
          </w:p>
        </w:tc>
      </w:tr>
      <w:tr w:rsidR="00BC7017" w:rsidRPr="00210A36" w14:paraId="5DF2734E" w14:textId="77777777" w:rsidTr="00BC7017">
        <w:trPr>
          <w:trHeight w:val="1020"/>
        </w:trPr>
        <w:tc>
          <w:tcPr>
            <w:tcW w:w="2699" w:type="dxa"/>
          </w:tcPr>
          <w:p w14:paraId="69491A58" w14:textId="79CCA0A7" w:rsidR="00BC7017" w:rsidRPr="00BC7017" w:rsidRDefault="00BC7017" w:rsidP="005769F3">
            <w:pPr>
              <w:spacing w:line="480" w:lineRule="auto"/>
              <w:rPr>
                <w:rFonts w:ascii="Calibri" w:eastAsia="Times New Roman" w:hAnsi="Calibri" w:cs="Times New Roman"/>
                <w:color w:val="000000"/>
                <w:lang w:val="en-US" w:eastAsia="nl-BE"/>
              </w:rPr>
            </w:pPr>
            <w:r>
              <w:rPr>
                <w:rFonts w:ascii="Calibri" w:eastAsia="Times New Roman" w:hAnsi="Calibri" w:cs="Times New Roman"/>
                <w:color w:val="000000"/>
                <w:lang w:val="en-US" w:eastAsia="nl-BE"/>
              </w:rPr>
              <w:t>Gastro-intestinal  comorbidities</w:t>
            </w:r>
          </w:p>
        </w:tc>
        <w:tc>
          <w:tcPr>
            <w:tcW w:w="7229" w:type="dxa"/>
          </w:tcPr>
          <w:p w14:paraId="3484991B" w14:textId="38C3606B" w:rsidR="00BC7017" w:rsidRPr="00BC7017" w:rsidRDefault="00BC7017" w:rsidP="005769F3">
            <w:pPr>
              <w:spacing w:line="480" w:lineRule="auto"/>
              <w:rPr>
                <w:rFonts w:cstheme="minorHAnsi"/>
                <w:i/>
                <w:iCs/>
                <w:lang w:val="en-US"/>
              </w:rPr>
            </w:pPr>
            <w:r w:rsidRPr="00BC7017">
              <w:rPr>
                <w:rFonts w:ascii="Calibri" w:eastAsia="Times New Roman" w:hAnsi="Calibri" w:cs="Times New Roman"/>
                <w:color w:val="000000"/>
                <w:lang w:val="en-US" w:eastAsia="nl-BE"/>
              </w:rPr>
              <w:t xml:space="preserve">Including </w:t>
            </w:r>
            <w:r w:rsidRPr="00BC7017">
              <w:rPr>
                <w:rFonts w:cstheme="minorHAnsi"/>
                <w:lang w:val="en-US"/>
              </w:rPr>
              <w:t>IBD, ileal resection, colon resection, pancreatic insufficiency, bariatric surgery (sleeve gastrectomy</w:t>
            </w:r>
            <w:r w:rsidR="00E32C60">
              <w:rPr>
                <w:rFonts w:cstheme="minorHAnsi"/>
                <w:lang w:val="en-US"/>
              </w:rPr>
              <w:t>,</w:t>
            </w:r>
            <w:r w:rsidR="000610BD">
              <w:rPr>
                <w:rFonts w:cstheme="minorHAnsi"/>
                <w:lang w:val="en-US"/>
              </w:rPr>
              <w:t xml:space="preserve"> </w:t>
            </w:r>
            <w:r w:rsidRPr="00BC7017">
              <w:rPr>
                <w:rFonts w:cstheme="minorHAnsi"/>
                <w:lang w:val="en-US"/>
              </w:rPr>
              <w:t>gastric bypass</w:t>
            </w:r>
            <w:r w:rsidR="00E32C60">
              <w:rPr>
                <w:rFonts w:cstheme="minorHAnsi"/>
                <w:lang w:val="en-US"/>
              </w:rPr>
              <w:t xml:space="preserve"> and gastric banding</w:t>
            </w:r>
            <w:r w:rsidRPr="00BC7017">
              <w:rPr>
                <w:rFonts w:cstheme="minorHAnsi"/>
                <w:lang w:val="en-US"/>
              </w:rPr>
              <w:t>), celiac disease and lactose intolerance</w:t>
            </w:r>
          </w:p>
        </w:tc>
      </w:tr>
      <w:tr w:rsidR="00BC7017" w:rsidRPr="00210A36" w14:paraId="0ACBAAE6" w14:textId="77777777" w:rsidTr="00BC7017">
        <w:trPr>
          <w:trHeight w:val="397"/>
        </w:trPr>
        <w:tc>
          <w:tcPr>
            <w:tcW w:w="2699" w:type="dxa"/>
            <w:hideMark/>
          </w:tcPr>
          <w:p w14:paraId="43979AAA" w14:textId="77777777" w:rsidR="00BC7017" w:rsidRPr="00BC7017" w:rsidRDefault="00BC7017" w:rsidP="005769F3">
            <w:pPr>
              <w:spacing w:line="480" w:lineRule="auto"/>
              <w:rPr>
                <w:rFonts w:ascii="Calibri" w:eastAsia="Times New Roman" w:hAnsi="Calibri" w:cs="Times New Roman"/>
                <w:color w:val="000000"/>
                <w:lang w:eastAsia="nl-BE"/>
              </w:rPr>
            </w:pPr>
            <w:r w:rsidRPr="00BC7017">
              <w:rPr>
                <w:rFonts w:ascii="Calibri" w:eastAsia="Times New Roman" w:hAnsi="Calibri" w:cs="Times New Roman"/>
                <w:color w:val="000000"/>
                <w:lang w:val="en-US" w:eastAsia="nl-BE"/>
              </w:rPr>
              <w:t>IBD</w:t>
            </w:r>
          </w:p>
        </w:tc>
        <w:tc>
          <w:tcPr>
            <w:tcW w:w="7229" w:type="dxa"/>
            <w:hideMark/>
          </w:tcPr>
          <w:p w14:paraId="2A15362A" w14:textId="77777777" w:rsidR="00BC7017" w:rsidRPr="00BC7017" w:rsidRDefault="00BC7017" w:rsidP="005769F3">
            <w:pPr>
              <w:spacing w:line="480" w:lineRule="auto"/>
              <w:rPr>
                <w:rFonts w:ascii="Calibri" w:eastAsia="Times New Roman" w:hAnsi="Calibri" w:cs="Times New Roman"/>
                <w:color w:val="000000"/>
                <w:lang w:val="en-GB" w:eastAsia="nl-BE"/>
              </w:rPr>
            </w:pPr>
            <w:r w:rsidRPr="00BC7017">
              <w:rPr>
                <w:rFonts w:ascii="Calibri" w:eastAsia="Times New Roman" w:hAnsi="Calibri" w:cs="Times New Roman"/>
                <w:color w:val="000000"/>
                <w:lang w:val="en-US" w:eastAsia="nl-BE"/>
              </w:rPr>
              <w:t>Including Crohn's disease and ulcerative colitis</w:t>
            </w:r>
          </w:p>
        </w:tc>
      </w:tr>
      <w:tr w:rsidR="00BC7017" w:rsidRPr="00210A36" w14:paraId="0BF96007" w14:textId="77777777" w:rsidTr="00BC7017">
        <w:trPr>
          <w:trHeight w:val="1077"/>
        </w:trPr>
        <w:tc>
          <w:tcPr>
            <w:tcW w:w="2699" w:type="dxa"/>
          </w:tcPr>
          <w:p w14:paraId="015C0891" w14:textId="261C4177" w:rsidR="00BC7017" w:rsidRPr="00BC7017" w:rsidRDefault="00BC7017" w:rsidP="005769F3">
            <w:pPr>
              <w:spacing w:line="480" w:lineRule="auto"/>
              <w:rPr>
                <w:rFonts w:ascii="Calibri" w:eastAsia="Times New Roman" w:hAnsi="Calibri" w:cs="Times New Roman"/>
                <w:color w:val="000000"/>
                <w:lang w:val="en-US" w:eastAsia="nl-BE"/>
              </w:rPr>
            </w:pPr>
            <w:r>
              <w:rPr>
                <w:rFonts w:ascii="Calibri" w:eastAsia="Times New Roman" w:hAnsi="Calibri" w:cs="Times New Roman"/>
                <w:color w:val="000000"/>
                <w:lang w:val="en-US" w:eastAsia="nl-BE"/>
              </w:rPr>
              <w:t>Metabolic disorders</w:t>
            </w:r>
          </w:p>
        </w:tc>
        <w:tc>
          <w:tcPr>
            <w:tcW w:w="7229" w:type="dxa"/>
          </w:tcPr>
          <w:p w14:paraId="42C14824" w14:textId="77AD245C" w:rsidR="00BC7017" w:rsidRPr="00BC7017" w:rsidRDefault="00BC7017" w:rsidP="005769F3">
            <w:pPr>
              <w:spacing w:line="480" w:lineRule="auto"/>
              <w:rPr>
                <w:rFonts w:ascii="Calibri" w:eastAsia="Times New Roman" w:hAnsi="Calibri" w:cs="Times New Roman"/>
                <w:color w:val="000000"/>
                <w:lang w:val="en-US" w:eastAsia="nl-BE"/>
              </w:rPr>
            </w:pPr>
            <w:r>
              <w:rPr>
                <w:rFonts w:ascii="Calibri" w:eastAsia="Times New Roman" w:hAnsi="Calibri" w:cs="Times New Roman"/>
                <w:color w:val="000000"/>
                <w:lang w:val="en-US" w:eastAsia="nl-BE"/>
              </w:rPr>
              <w:t xml:space="preserve">Including </w:t>
            </w:r>
            <w:r w:rsidRPr="00BC7017">
              <w:rPr>
                <w:rFonts w:ascii="Calibri" w:eastAsia="Times New Roman" w:hAnsi="Calibri" w:cs="Times New Roman"/>
                <w:color w:val="000000"/>
                <w:lang w:val="en-US" w:eastAsia="nl-BE"/>
              </w:rPr>
              <w:t>(</w:t>
            </w:r>
            <w:proofErr w:type="spellStart"/>
            <w:r w:rsidRPr="00BC7017">
              <w:rPr>
                <w:rFonts w:ascii="Calibri" w:eastAsia="Times New Roman" w:hAnsi="Calibri" w:cs="Times New Roman"/>
                <w:color w:val="000000"/>
                <w:lang w:val="en-US" w:eastAsia="nl-BE"/>
              </w:rPr>
              <w:t>normocalcemic</w:t>
            </w:r>
            <w:proofErr w:type="spellEnd"/>
            <w:r w:rsidRPr="00BC7017">
              <w:rPr>
                <w:rFonts w:ascii="Calibri" w:eastAsia="Times New Roman" w:hAnsi="Calibri" w:cs="Times New Roman"/>
                <w:color w:val="000000"/>
                <w:lang w:val="en-US" w:eastAsia="nl-BE"/>
              </w:rPr>
              <w:t xml:space="preserve">) hyperparathyroidism, distal renal tubular acidosis (and presence of </w:t>
            </w:r>
            <w:proofErr w:type="spellStart"/>
            <w:r w:rsidRPr="00BC7017">
              <w:rPr>
                <w:rFonts w:ascii="Calibri" w:eastAsia="Times New Roman" w:hAnsi="Calibri" w:cs="Times New Roman"/>
                <w:color w:val="000000"/>
                <w:lang w:val="en-US" w:eastAsia="nl-BE"/>
              </w:rPr>
              <w:t>Sjögren's</w:t>
            </w:r>
            <w:proofErr w:type="spellEnd"/>
            <w:r w:rsidRPr="00BC7017">
              <w:rPr>
                <w:rFonts w:ascii="Calibri" w:eastAsia="Times New Roman" w:hAnsi="Calibri" w:cs="Times New Roman"/>
                <w:color w:val="000000"/>
                <w:lang w:val="en-US" w:eastAsia="nl-BE"/>
              </w:rPr>
              <w:t xml:space="preserve"> syndrome), hypercalcemia, enteric hyperoxaluria, cystinuria and Fanconi syndrome</w:t>
            </w:r>
          </w:p>
        </w:tc>
      </w:tr>
      <w:tr w:rsidR="00BC7017" w:rsidRPr="00BC7017" w14:paraId="0CE56199" w14:textId="77777777" w:rsidTr="00BC7017">
        <w:trPr>
          <w:trHeight w:val="397"/>
        </w:trPr>
        <w:tc>
          <w:tcPr>
            <w:tcW w:w="2699" w:type="dxa"/>
            <w:hideMark/>
          </w:tcPr>
          <w:p w14:paraId="4267F187" w14:textId="77777777" w:rsidR="00BC7017" w:rsidRPr="00BC7017" w:rsidRDefault="00BC7017" w:rsidP="005769F3">
            <w:pPr>
              <w:spacing w:line="480" w:lineRule="auto"/>
              <w:rPr>
                <w:rFonts w:ascii="Calibri" w:eastAsia="Times New Roman" w:hAnsi="Calibri" w:cs="Times New Roman"/>
                <w:color w:val="000000"/>
                <w:lang w:eastAsia="nl-BE"/>
              </w:rPr>
            </w:pPr>
            <w:r w:rsidRPr="00BC7017">
              <w:rPr>
                <w:rFonts w:ascii="Calibri" w:eastAsia="Times New Roman" w:hAnsi="Calibri" w:cs="Times New Roman"/>
                <w:color w:val="000000"/>
                <w:lang w:val="en-US" w:eastAsia="nl-BE"/>
              </w:rPr>
              <w:t>Obesity</w:t>
            </w:r>
          </w:p>
        </w:tc>
        <w:tc>
          <w:tcPr>
            <w:tcW w:w="7229" w:type="dxa"/>
            <w:hideMark/>
          </w:tcPr>
          <w:p w14:paraId="28A995D2" w14:textId="2E8DE24C" w:rsidR="00BC7017" w:rsidRPr="00BC7017" w:rsidRDefault="00BC7017" w:rsidP="005769F3">
            <w:pPr>
              <w:spacing w:line="480" w:lineRule="auto"/>
              <w:rPr>
                <w:rFonts w:ascii="Calibri" w:eastAsia="Times New Roman" w:hAnsi="Calibri" w:cs="Times New Roman"/>
                <w:color w:val="000000"/>
                <w:lang w:eastAsia="nl-BE"/>
              </w:rPr>
            </w:pPr>
            <w:r w:rsidRPr="00BC7017">
              <w:rPr>
                <w:rFonts w:ascii="Calibri" w:eastAsia="Times New Roman" w:hAnsi="Calibri" w:cs="Times New Roman"/>
                <w:color w:val="000000"/>
                <w:lang w:val="en-US" w:eastAsia="nl-BE"/>
              </w:rPr>
              <w:t>BMI ≥ 30</w:t>
            </w:r>
            <w:r w:rsidR="00292823">
              <w:rPr>
                <w:rFonts w:ascii="Calibri" w:eastAsia="Times New Roman" w:hAnsi="Calibri" w:cs="Times New Roman"/>
                <w:color w:val="000000"/>
                <w:lang w:val="en-US" w:eastAsia="nl-BE"/>
              </w:rPr>
              <w:t>.0</w:t>
            </w:r>
            <w:r w:rsidRPr="00BC7017">
              <w:rPr>
                <w:rFonts w:ascii="Calibri" w:eastAsia="Times New Roman" w:hAnsi="Calibri" w:cs="Times New Roman"/>
                <w:color w:val="000000"/>
                <w:lang w:val="en-US" w:eastAsia="nl-BE"/>
              </w:rPr>
              <w:t xml:space="preserve"> kg/m²</w:t>
            </w:r>
          </w:p>
        </w:tc>
      </w:tr>
      <w:tr w:rsidR="00BC7017" w:rsidRPr="00210A36" w14:paraId="450BF3CC" w14:textId="77777777" w:rsidTr="00BC7017">
        <w:trPr>
          <w:trHeight w:val="397"/>
        </w:trPr>
        <w:tc>
          <w:tcPr>
            <w:tcW w:w="2699" w:type="dxa"/>
            <w:hideMark/>
          </w:tcPr>
          <w:p w14:paraId="56DDE8EC" w14:textId="77777777" w:rsidR="00BC7017" w:rsidRPr="00BC7017" w:rsidRDefault="00BC7017" w:rsidP="005769F3">
            <w:pPr>
              <w:spacing w:line="480" w:lineRule="auto"/>
              <w:rPr>
                <w:rFonts w:ascii="Calibri" w:eastAsia="Times New Roman" w:hAnsi="Calibri" w:cs="Times New Roman"/>
                <w:color w:val="000000"/>
                <w:lang w:eastAsia="nl-BE"/>
              </w:rPr>
            </w:pPr>
            <w:r w:rsidRPr="00BC7017">
              <w:rPr>
                <w:rFonts w:ascii="Calibri" w:eastAsia="Times New Roman" w:hAnsi="Calibri" w:cs="Times New Roman"/>
                <w:color w:val="000000"/>
                <w:lang w:val="en-US" w:eastAsia="nl-BE"/>
              </w:rPr>
              <w:t>Prostatic disease</w:t>
            </w:r>
          </w:p>
        </w:tc>
        <w:tc>
          <w:tcPr>
            <w:tcW w:w="7229" w:type="dxa"/>
            <w:hideMark/>
          </w:tcPr>
          <w:p w14:paraId="1A3D845F" w14:textId="77777777" w:rsidR="00BC7017" w:rsidRPr="00BC7017" w:rsidRDefault="00BC7017" w:rsidP="005769F3">
            <w:pPr>
              <w:spacing w:line="480" w:lineRule="auto"/>
              <w:rPr>
                <w:rFonts w:ascii="Calibri" w:eastAsia="Times New Roman" w:hAnsi="Calibri" w:cs="Times New Roman"/>
                <w:color w:val="000000"/>
                <w:lang w:val="en-GB" w:eastAsia="nl-BE"/>
              </w:rPr>
            </w:pPr>
            <w:r w:rsidRPr="00BC7017">
              <w:rPr>
                <w:rFonts w:ascii="Calibri" w:eastAsia="Times New Roman" w:hAnsi="Calibri" w:cs="Times New Roman"/>
                <w:color w:val="000000"/>
                <w:lang w:val="en-US" w:eastAsia="nl-BE"/>
              </w:rPr>
              <w:t>Including prostate carcinoma, TURP, BPH and prostatectomy</w:t>
            </w:r>
          </w:p>
        </w:tc>
      </w:tr>
      <w:tr w:rsidR="00BC7017" w:rsidRPr="00210A36" w14:paraId="1D717FCE" w14:textId="77777777" w:rsidTr="00BC7017">
        <w:trPr>
          <w:trHeight w:val="1361"/>
        </w:trPr>
        <w:tc>
          <w:tcPr>
            <w:tcW w:w="2699" w:type="dxa"/>
          </w:tcPr>
          <w:p w14:paraId="77886569" w14:textId="74A1AA9E" w:rsidR="00BC7017" w:rsidRPr="00BC7017" w:rsidRDefault="00BC7017" w:rsidP="005769F3">
            <w:pPr>
              <w:spacing w:line="480" w:lineRule="auto"/>
              <w:rPr>
                <w:rFonts w:ascii="Calibri" w:eastAsia="Times New Roman" w:hAnsi="Calibri" w:cs="Times New Roman"/>
                <w:color w:val="000000"/>
                <w:lang w:val="en-US" w:eastAsia="nl-BE"/>
              </w:rPr>
            </w:pPr>
            <w:r>
              <w:rPr>
                <w:rFonts w:ascii="Calibri" w:eastAsia="Times New Roman" w:hAnsi="Calibri" w:cs="Times New Roman"/>
                <w:color w:val="000000"/>
                <w:lang w:val="en-US" w:eastAsia="nl-BE"/>
              </w:rPr>
              <w:t>Renal and urological abnormalities</w:t>
            </w:r>
          </w:p>
        </w:tc>
        <w:tc>
          <w:tcPr>
            <w:tcW w:w="7229" w:type="dxa"/>
          </w:tcPr>
          <w:p w14:paraId="46A75B97" w14:textId="3380BE29" w:rsidR="00BC7017" w:rsidRPr="00BC7017" w:rsidRDefault="00BC7017" w:rsidP="005769F3">
            <w:pPr>
              <w:spacing w:line="480" w:lineRule="auto"/>
              <w:rPr>
                <w:rFonts w:ascii="Calibri" w:eastAsia="Times New Roman" w:hAnsi="Calibri" w:cs="Times New Roman"/>
                <w:color w:val="000000"/>
                <w:lang w:val="en-US" w:eastAsia="nl-BE"/>
              </w:rPr>
            </w:pPr>
            <w:r>
              <w:rPr>
                <w:rFonts w:ascii="Calibri" w:eastAsia="Times New Roman" w:hAnsi="Calibri" w:cs="Times New Roman"/>
                <w:color w:val="000000"/>
                <w:lang w:val="en-US" w:eastAsia="nl-BE"/>
              </w:rPr>
              <w:t xml:space="preserve">Including </w:t>
            </w:r>
            <w:r w:rsidRPr="00BC580F">
              <w:rPr>
                <w:rFonts w:cstheme="minorHAnsi"/>
                <w:lang w:val="en-US"/>
              </w:rPr>
              <w:t>prostatic disease, unique functioning kidney, ADPKD, horseshoe kidney, kidney duplication, PUJ stenosis, ureter stenosis, urethra stenosis, vesicourethral reflux, neurogenic bladder, cystectomy, congenital mega-ureter, bladder polyp/tumor and recurrent UTIs</w:t>
            </w:r>
          </w:p>
        </w:tc>
      </w:tr>
      <w:tr w:rsidR="00BC7017" w:rsidRPr="00210A36" w14:paraId="76F37252" w14:textId="77777777" w:rsidTr="00BC7017">
        <w:trPr>
          <w:trHeight w:val="397"/>
        </w:trPr>
        <w:tc>
          <w:tcPr>
            <w:tcW w:w="2699" w:type="dxa"/>
            <w:hideMark/>
          </w:tcPr>
          <w:p w14:paraId="7694B74B" w14:textId="77777777" w:rsidR="00BC7017" w:rsidRPr="00BC7017" w:rsidRDefault="00BC7017" w:rsidP="005769F3">
            <w:pPr>
              <w:spacing w:line="480" w:lineRule="auto"/>
              <w:rPr>
                <w:rFonts w:ascii="Calibri" w:eastAsia="Times New Roman" w:hAnsi="Calibri" w:cs="Times New Roman"/>
                <w:color w:val="000000"/>
                <w:lang w:eastAsia="nl-BE"/>
              </w:rPr>
            </w:pPr>
            <w:r w:rsidRPr="00BC7017">
              <w:rPr>
                <w:rFonts w:ascii="Calibri" w:eastAsia="Times New Roman" w:hAnsi="Calibri" w:cs="Times New Roman"/>
                <w:color w:val="000000"/>
                <w:lang w:val="en-GB" w:eastAsia="nl-BE"/>
              </w:rPr>
              <w:t>Unique functioning  kidney</w:t>
            </w:r>
          </w:p>
        </w:tc>
        <w:tc>
          <w:tcPr>
            <w:tcW w:w="7229" w:type="dxa"/>
            <w:hideMark/>
          </w:tcPr>
          <w:p w14:paraId="42489E73" w14:textId="0A05ADE5" w:rsidR="00E766C2" w:rsidRPr="005769F3" w:rsidRDefault="00BC7017" w:rsidP="005769F3">
            <w:pPr>
              <w:spacing w:line="480" w:lineRule="auto"/>
              <w:rPr>
                <w:rFonts w:ascii="Calibri" w:eastAsia="Times New Roman" w:hAnsi="Calibri" w:cs="Times New Roman"/>
                <w:color w:val="000000"/>
                <w:lang w:val="en-US" w:eastAsia="nl-BE"/>
              </w:rPr>
            </w:pPr>
            <w:r w:rsidRPr="00BC7017">
              <w:rPr>
                <w:rFonts w:ascii="Calibri" w:eastAsia="Times New Roman" w:hAnsi="Calibri" w:cs="Times New Roman"/>
                <w:color w:val="000000"/>
                <w:lang w:val="en-US" w:eastAsia="nl-BE"/>
              </w:rPr>
              <w:t>Including nephrectomy, kidney atrophy and congenital unique kidney</w:t>
            </w:r>
          </w:p>
        </w:tc>
      </w:tr>
    </w:tbl>
    <w:p w14:paraId="4E78A438" w14:textId="77777777" w:rsidR="00BC7017" w:rsidRPr="00BC7017" w:rsidRDefault="00BC7017" w:rsidP="00540A95">
      <w:pPr>
        <w:pStyle w:val="Kop3"/>
        <w:spacing w:after="240" w:line="480" w:lineRule="auto"/>
        <w:ind w:left="0"/>
        <w:rPr>
          <w:sz w:val="2"/>
          <w:szCs w:val="2"/>
          <w:lang w:val="en-GB"/>
        </w:rPr>
      </w:pPr>
    </w:p>
    <w:p w14:paraId="06A3544E" w14:textId="4D61333B" w:rsidR="00480785" w:rsidRPr="00401026" w:rsidRDefault="00480785" w:rsidP="00CC6FA2">
      <w:pPr>
        <w:pStyle w:val="Kop3"/>
        <w:numPr>
          <w:ilvl w:val="1"/>
          <w:numId w:val="3"/>
        </w:numPr>
        <w:spacing w:line="480" w:lineRule="auto"/>
        <w:rPr>
          <w:lang w:val="en-US"/>
        </w:rPr>
      </w:pPr>
      <w:bookmarkStart w:id="48" w:name="_Toc68163856"/>
      <w:bookmarkStart w:id="49" w:name="_Toc68333367"/>
      <w:bookmarkStart w:id="50" w:name="_Toc68704041"/>
      <w:bookmarkStart w:id="51" w:name="_Toc70154204"/>
      <w:bookmarkStart w:id="52" w:name="_Toc70238555"/>
      <w:r w:rsidRPr="00401026">
        <w:rPr>
          <w:lang w:val="en-US"/>
        </w:rPr>
        <w:t>Stone compositions</w:t>
      </w:r>
      <w:bookmarkEnd w:id="48"/>
      <w:bookmarkEnd w:id="49"/>
      <w:bookmarkEnd w:id="50"/>
      <w:bookmarkEnd w:id="51"/>
      <w:bookmarkEnd w:id="52"/>
    </w:p>
    <w:p w14:paraId="33C0FDF6" w14:textId="31CB8F37" w:rsidR="0003016D" w:rsidRPr="007C2A5A" w:rsidRDefault="0003016D" w:rsidP="005769F3">
      <w:pPr>
        <w:spacing w:line="480" w:lineRule="auto"/>
        <w:jc w:val="both"/>
        <w:rPr>
          <w:lang w:val="en-GB"/>
        </w:rPr>
      </w:pPr>
      <w:r w:rsidRPr="007C2A5A">
        <w:rPr>
          <w:lang w:val="en-GB"/>
        </w:rPr>
        <w:t xml:space="preserve">The stone compositions were determined by means </w:t>
      </w:r>
      <w:proofErr w:type="spellStart"/>
      <w:r w:rsidR="00C173E4">
        <w:rPr>
          <w:lang w:val="en-GB"/>
        </w:rPr>
        <w:t>morphoconstitutional</w:t>
      </w:r>
      <w:proofErr w:type="spellEnd"/>
      <w:r w:rsidR="00C173E4">
        <w:rPr>
          <w:lang w:val="en-GB"/>
        </w:rPr>
        <w:t xml:space="preserve"> stone analysis, comprising optic microscopy and Fourier-transform </w:t>
      </w:r>
      <w:r w:rsidRPr="007C2A5A">
        <w:rPr>
          <w:lang w:val="en-GB"/>
        </w:rPr>
        <w:t xml:space="preserve">infrared spectrophotometry, which is considered the gold standard (23). Hereafter they were categorised according to the </w:t>
      </w:r>
      <w:bookmarkStart w:id="53" w:name="_Hlk68163468"/>
      <w:r w:rsidRPr="007C2A5A">
        <w:rPr>
          <w:lang w:val="en-GB"/>
        </w:rPr>
        <w:t>definitions of the European Renal Stone Network Survey</w:t>
      </w:r>
      <w:bookmarkEnd w:id="53"/>
      <w:r w:rsidR="00B4275C">
        <w:rPr>
          <w:lang w:val="en-GB"/>
        </w:rPr>
        <w:t>, which can be found in attachment 1</w:t>
      </w:r>
      <w:r w:rsidRPr="007C2A5A">
        <w:rPr>
          <w:lang w:val="en-GB"/>
        </w:rPr>
        <w:t>. Thus</w:t>
      </w:r>
      <w:r w:rsidR="00181D50">
        <w:rPr>
          <w:lang w:val="en-GB"/>
        </w:rPr>
        <w:t>,</w:t>
      </w:r>
      <w:r w:rsidR="00012003">
        <w:rPr>
          <w:lang w:val="en-GB"/>
        </w:rPr>
        <w:t xml:space="preserve"> </w:t>
      </w:r>
      <w:r w:rsidR="00C173E4">
        <w:rPr>
          <w:lang w:val="en-GB"/>
        </w:rPr>
        <w:t>seven</w:t>
      </w:r>
      <w:r w:rsidRPr="007C2A5A">
        <w:rPr>
          <w:lang w:val="en-GB"/>
        </w:rPr>
        <w:t xml:space="preserve"> categories were created:</w:t>
      </w:r>
    </w:p>
    <w:p w14:paraId="0DDBA24F" w14:textId="39376B1F" w:rsidR="0003016D" w:rsidRDefault="0003016D" w:rsidP="00CC6FA2">
      <w:pPr>
        <w:pStyle w:val="Lijstalinea"/>
        <w:numPr>
          <w:ilvl w:val="0"/>
          <w:numId w:val="2"/>
        </w:numPr>
        <w:spacing w:line="480" w:lineRule="auto"/>
        <w:jc w:val="both"/>
        <w:rPr>
          <w:lang w:val="en-GB"/>
        </w:rPr>
      </w:pPr>
      <w:r w:rsidRPr="00740F87">
        <w:rPr>
          <w:b/>
          <w:bCs/>
          <w:lang w:val="en-GB"/>
        </w:rPr>
        <w:t>Calcium oxalate stones</w:t>
      </w:r>
      <w:r w:rsidRPr="007C2A5A">
        <w:rPr>
          <w:lang w:val="en-GB"/>
        </w:rPr>
        <w:t>: &gt;50</w:t>
      </w:r>
      <w:r w:rsidR="00292823">
        <w:rPr>
          <w:lang w:val="en-GB"/>
        </w:rPr>
        <w:t>.0</w:t>
      </w:r>
      <w:r w:rsidRPr="007C2A5A">
        <w:rPr>
          <w:lang w:val="en-GB"/>
        </w:rPr>
        <w:t>% of the dry weight of the stone represented by calcium oxalate</w:t>
      </w:r>
    </w:p>
    <w:p w14:paraId="3DEE5F4E" w14:textId="345D81E7" w:rsidR="0003016D" w:rsidRPr="007C2A5A" w:rsidRDefault="0003016D" w:rsidP="00CC6FA2">
      <w:pPr>
        <w:pStyle w:val="Lijstalinea"/>
        <w:numPr>
          <w:ilvl w:val="0"/>
          <w:numId w:val="2"/>
        </w:numPr>
        <w:spacing w:line="480" w:lineRule="auto"/>
        <w:jc w:val="both"/>
        <w:rPr>
          <w:lang w:val="en-GB"/>
        </w:rPr>
      </w:pPr>
      <w:r w:rsidRPr="00740F87">
        <w:rPr>
          <w:b/>
          <w:bCs/>
          <w:lang w:val="en-GB"/>
        </w:rPr>
        <w:t>Calcium phosphate stones</w:t>
      </w:r>
      <w:r w:rsidRPr="007C2A5A">
        <w:rPr>
          <w:lang w:val="en-GB"/>
        </w:rPr>
        <w:t>: &gt;50</w:t>
      </w:r>
      <w:r w:rsidR="00292823">
        <w:rPr>
          <w:lang w:val="en-GB"/>
        </w:rPr>
        <w:t>.0</w:t>
      </w:r>
      <w:r w:rsidRPr="007C2A5A">
        <w:rPr>
          <w:lang w:val="en-GB"/>
        </w:rPr>
        <w:t>% of the dry weight of the stone represented by calcium phosphate</w:t>
      </w:r>
    </w:p>
    <w:p w14:paraId="7CCB0C6C" w14:textId="77777777" w:rsidR="0003016D" w:rsidRPr="007C2A5A" w:rsidRDefault="0003016D" w:rsidP="00CC6FA2">
      <w:pPr>
        <w:pStyle w:val="Lijstalinea"/>
        <w:numPr>
          <w:ilvl w:val="0"/>
          <w:numId w:val="2"/>
        </w:numPr>
        <w:spacing w:line="480" w:lineRule="auto"/>
        <w:jc w:val="both"/>
        <w:rPr>
          <w:lang w:val="en-GB"/>
        </w:rPr>
      </w:pPr>
      <w:r w:rsidRPr="00740F87">
        <w:rPr>
          <w:b/>
          <w:bCs/>
          <w:lang w:val="en-GB"/>
        </w:rPr>
        <w:t>Brushite stones</w:t>
      </w:r>
      <w:r w:rsidRPr="007C2A5A">
        <w:rPr>
          <w:lang w:val="en-GB"/>
        </w:rPr>
        <w:t>: any brushite in the stone</w:t>
      </w:r>
    </w:p>
    <w:p w14:paraId="14A88A51" w14:textId="6B82CA9A" w:rsidR="0003016D" w:rsidRPr="007C2A5A" w:rsidRDefault="0003016D" w:rsidP="00CC6FA2">
      <w:pPr>
        <w:pStyle w:val="Lijstalinea"/>
        <w:numPr>
          <w:ilvl w:val="0"/>
          <w:numId w:val="2"/>
        </w:numPr>
        <w:spacing w:line="480" w:lineRule="auto"/>
        <w:jc w:val="both"/>
        <w:rPr>
          <w:lang w:val="en-GB"/>
        </w:rPr>
      </w:pPr>
      <w:r w:rsidRPr="00740F87">
        <w:rPr>
          <w:b/>
          <w:bCs/>
          <w:lang w:val="en-GB"/>
        </w:rPr>
        <w:t>Uric acid stones</w:t>
      </w:r>
      <w:r w:rsidRPr="007C2A5A">
        <w:rPr>
          <w:lang w:val="en-GB"/>
        </w:rPr>
        <w:t>: &gt;50</w:t>
      </w:r>
      <w:r w:rsidR="00292823">
        <w:rPr>
          <w:lang w:val="en-GB"/>
        </w:rPr>
        <w:t>.0</w:t>
      </w:r>
      <w:r w:rsidRPr="007C2A5A">
        <w:rPr>
          <w:lang w:val="en-GB"/>
        </w:rPr>
        <w:t>% of the dry weight of the stone represented by uric acid</w:t>
      </w:r>
    </w:p>
    <w:p w14:paraId="20CEFB4D" w14:textId="77777777" w:rsidR="0003016D" w:rsidRPr="007C2A5A" w:rsidRDefault="0003016D" w:rsidP="00CC6FA2">
      <w:pPr>
        <w:pStyle w:val="Lijstalinea"/>
        <w:numPr>
          <w:ilvl w:val="0"/>
          <w:numId w:val="2"/>
        </w:numPr>
        <w:spacing w:line="480" w:lineRule="auto"/>
        <w:jc w:val="both"/>
        <w:rPr>
          <w:lang w:val="en-GB"/>
        </w:rPr>
      </w:pPr>
      <w:r w:rsidRPr="00740F87">
        <w:rPr>
          <w:b/>
          <w:bCs/>
          <w:lang w:val="en-GB"/>
        </w:rPr>
        <w:t>Struvite stones</w:t>
      </w:r>
      <w:r w:rsidRPr="007C2A5A">
        <w:rPr>
          <w:lang w:val="en-GB"/>
        </w:rPr>
        <w:t>: any struvite in the stone</w:t>
      </w:r>
    </w:p>
    <w:p w14:paraId="3F8B8374" w14:textId="77777777" w:rsidR="0003016D" w:rsidRPr="007C2A5A" w:rsidRDefault="0003016D" w:rsidP="00CC6FA2">
      <w:pPr>
        <w:pStyle w:val="Lijstalinea"/>
        <w:numPr>
          <w:ilvl w:val="0"/>
          <w:numId w:val="2"/>
        </w:numPr>
        <w:spacing w:line="480" w:lineRule="auto"/>
        <w:jc w:val="both"/>
        <w:rPr>
          <w:lang w:val="en-GB"/>
        </w:rPr>
      </w:pPr>
      <w:r w:rsidRPr="00740F87">
        <w:rPr>
          <w:b/>
          <w:bCs/>
          <w:lang w:val="en-GB"/>
        </w:rPr>
        <w:t>Cystine stones</w:t>
      </w:r>
      <w:r w:rsidRPr="007C2A5A">
        <w:rPr>
          <w:lang w:val="en-GB"/>
        </w:rPr>
        <w:t>: any cystine in the stone</w:t>
      </w:r>
    </w:p>
    <w:p w14:paraId="663EC1BE" w14:textId="77777777" w:rsidR="0003016D" w:rsidRPr="007C2A5A" w:rsidRDefault="0003016D" w:rsidP="00CC6FA2">
      <w:pPr>
        <w:pStyle w:val="Lijstalinea"/>
        <w:numPr>
          <w:ilvl w:val="0"/>
          <w:numId w:val="2"/>
        </w:numPr>
        <w:spacing w:line="480" w:lineRule="auto"/>
        <w:jc w:val="both"/>
        <w:rPr>
          <w:lang w:val="en-GB"/>
        </w:rPr>
      </w:pPr>
      <w:r w:rsidRPr="00740F87">
        <w:rPr>
          <w:b/>
          <w:bCs/>
          <w:lang w:val="en-GB"/>
        </w:rPr>
        <w:t>Mixed stones</w:t>
      </w:r>
      <w:r w:rsidRPr="007C2A5A">
        <w:rPr>
          <w:lang w:val="en-GB"/>
        </w:rPr>
        <w:t>:  stones that did not meet any of the previous definitions</w:t>
      </w:r>
    </w:p>
    <w:p w14:paraId="3CBA07ED" w14:textId="3D401D4C" w:rsidR="00044AD6" w:rsidRDefault="00D172BA" w:rsidP="00CC6FA2">
      <w:pPr>
        <w:pStyle w:val="Kop2"/>
        <w:numPr>
          <w:ilvl w:val="0"/>
          <w:numId w:val="3"/>
        </w:numPr>
        <w:spacing w:line="480" w:lineRule="auto"/>
        <w:rPr>
          <w:lang w:val="en-US"/>
        </w:rPr>
      </w:pPr>
      <w:bookmarkStart w:id="54" w:name="_Toc70238556"/>
      <w:r>
        <w:rPr>
          <w:lang w:val="en-US"/>
        </w:rPr>
        <w:t>STATISTICAL ANALYSIS</w:t>
      </w:r>
      <w:bookmarkEnd w:id="54"/>
      <w:r w:rsidR="00BD31F8" w:rsidRPr="00D172BA">
        <w:rPr>
          <w:lang w:val="en-US"/>
        </w:rPr>
        <w:t xml:space="preserve"> </w:t>
      </w:r>
    </w:p>
    <w:p w14:paraId="5FB0BD15" w14:textId="295B0A0D" w:rsidR="00044AD6" w:rsidRPr="003B72F7" w:rsidRDefault="00A67A46" w:rsidP="00CC6FA2">
      <w:pPr>
        <w:pStyle w:val="Kop3"/>
        <w:numPr>
          <w:ilvl w:val="1"/>
          <w:numId w:val="3"/>
        </w:numPr>
        <w:spacing w:line="480" w:lineRule="auto"/>
        <w:rPr>
          <w:lang w:val="en-US"/>
        </w:rPr>
      </w:pPr>
      <w:bookmarkStart w:id="55" w:name="_Toc68163858"/>
      <w:bookmarkStart w:id="56" w:name="_Toc68333369"/>
      <w:bookmarkStart w:id="57" w:name="_Toc68704043"/>
      <w:bookmarkStart w:id="58" w:name="_Toc70154206"/>
      <w:bookmarkStart w:id="59" w:name="_Toc70238557"/>
      <w:r>
        <w:rPr>
          <w:lang w:val="en-US"/>
        </w:rPr>
        <w:t>Baseline characteristics of the study population</w:t>
      </w:r>
      <w:bookmarkEnd w:id="55"/>
      <w:bookmarkEnd w:id="56"/>
      <w:bookmarkEnd w:id="57"/>
      <w:bookmarkEnd w:id="58"/>
      <w:bookmarkEnd w:id="59"/>
    </w:p>
    <w:p w14:paraId="35D8029A" w14:textId="2BCD43B8" w:rsidR="00593278" w:rsidRDefault="00593278" w:rsidP="005769F3">
      <w:pPr>
        <w:spacing w:line="480" w:lineRule="auto"/>
        <w:jc w:val="both"/>
        <w:rPr>
          <w:rFonts w:ascii="Calibri" w:hAnsi="Calibri"/>
          <w:lang w:val="en-GB"/>
        </w:rPr>
      </w:pPr>
      <w:r w:rsidRPr="00FC055B">
        <w:rPr>
          <w:rFonts w:ascii="Calibri" w:hAnsi="Calibri"/>
          <w:lang w:val="en-GB"/>
        </w:rPr>
        <w:t>Baselin</w:t>
      </w:r>
      <w:r>
        <w:rPr>
          <w:rFonts w:ascii="Calibri" w:hAnsi="Calibri"/>
          <w:lang w:val="en-GB"/>
        </w:rPr>
        <w:t>e properties of the population we</w:t>
      </w:r>
      <w:r w:rsidRPr="00FC055B">
        <w:rPr>
          <w:rFonts w:ascii="Calibri" w:hAnsi="Calibri"/>
          <w:lang w:val="en-GB"/>
        </w:rPr>
        <w:t>re reported in terms of descriptive statistics using mean</w:t>
      </w:r>
      <w:r w:rsidR="00121F32">
        <w:rPr>
          <w:rFonts w:ascii="Calibri" w:hAnsi="Calibri"/>
          <w:lang w:val="en-GB"/>
        </w:rPr>
        <w:t xml:space="preserve"> </w:t>
      </w:r>
      <w:r w:rsidRPr="00FC055B">
        <w:rPr>
          <w:rFonts w:ascii="Calibri" w:hAnsi="Calibri"/>
          <w:lang w:val="en-GB"/>
        </w:rPr>
        <w:t>±</w:t>
      </w:r>
      <w:r w:rsidR="00121F32">
        <w:rPr>
          <w:rFonts w:ascii="Calibri" w:hAnsi="Calibri"/>
          <w:lang w:val="en-GB"/>
        </w:rPr>
        <w:t xml:space="preserve"> </w:t>
      </w:r>
      <w:r w:rsidRPr="00FC055B">
        <w:rPr>
          <w:rFonts w:ascii="Calibri" w:hAnsi="Calibri"/>
          <w:lang w:val="en-GB"/>
        </w:rPr>
        <w:t>SD for normally distributed continuous variables, median with inter-quartile range (IQR) for continuous variables without normal distribution and proportions for categorical variables.</w:t>
      </w:r>
    </w:p>
    <w:p w14:paraId="432D7959" w14:textId="0347B9E4" w:rsidR="00A67A46" w:rsidRDefault="00A67A46" w:rsidP="00CC6FA2">
      <w:pPr>
        <w:pStyle w:val="Kop3"/>
        <w:numPr>
          <w:ilvl w:val="1"/>
          <w:numId w:val="3"/>
        </w:numPr>
        <w:spacing w:line="480" w:lineRule="auto"/>
        <w:rPr>
          <w:lang w:val="en-US"/>
        </w:rPr>
      </w:pPr>
      <w:bookmarkStart w:id="60" w:name="_Toc68163859"/>
      <w:bookmarkStart w:id="61" w:name="_Toc68333370"/>
      <w:bookmarkStart w:id="62" w:name="_Toc68704044"/>
      <w:bookmarkStart w:id="63" w:name="_Toc70154207"/>
      <w:bookmarkStart w:id="64" w:name="_Toc70238558"/>
      <w:r>
        <w:rPr>
          <w:lang w:val="en-US"/>
        </w:rPr>
        <w:t xml:space="preserve">Evaluation of the </w:t>
      </w:r>
      <w:r w:rsidR="000B3BEF">
        <w:rPr>
          <w:lang w:val="en-US"/>
        </w:rPr>
        <w:t>mean reduction</w:t>
      </w:r>
      <w:r>
        <w:rPr>
          <w:lang w:val="en-US"/>
        </w:rPr>
        <w:t xml:space="preserve"> in urinary risk factors</w:t>
      </w:r>
      <w:bookmarkEnd w:id="60"/>
      <w:bookmarkEnd w:id="61"/>
      <w:bookmarkEnd w:id="62"/>
      <w:bookmarkEnd w:id="63"/>
      <w:bookmarkEnd w:id="64"/>
    </w:p>
    <w:p w14:paraId="0E0487F9" w14:textId="6941FD1B" w:rsidR="00A67A46" w:rsidRPr="00A67A46" w:rsidRDefault="00A67A46" w:rsidP="005769F3">
      <w:pPr>
        <w:spacing w:line="480" w:lineRule="auto"/>
        <w:jc w:val="both"/>
        <w:rPr>
          <w:rFonts w:ascii="Calibri" w:hAnsi="Calibri"/>
          <w:lang w:val="en-GB"/>
        </w:rPr>
      </w:pPr>
      <w:r w:rsidRPr="00A67A46">
        <w:rPr>
          <w:rFonts w:ascii="Calibri" w:hAnsi="Calibri"/>
          <w:lang w:val="en-GB"/>
        </w:rPr>
        <w:t xml:space="preserve">The effect of preventive measures on urinary risk factors for stone formation was investigated on an intention-to-treat basis by analysing results of the </w:t>
      </w:r>
      <w:r w:rsidR="00121F32" w:rsidRPr="009B2CFA">
        <w:rPr>
          <w:rFonts w:cstheme="minorHAnsi"/>
          <w:lang w:val="en-US"/>
        </w:rPr>
        <w:t>24-hour urine analysis</w:t>
      </w:r>
      <w:r w:rsidR="00121F32">
        <w:rPr>
          <w:rFonts w:cstheme="minorHAnsi"/>
          <w:lang w:val="en-US"/>
        </w:rPr>
        <w:t xml:space="preserve"> data </w:t>
      </w:r>
      <w:r w:rsidRPr="00A67A46">
        <w:rPr>
          <w:rFonts w:ascii="Calibri" w:hAnsi="Calibri"/>
          <w:lang w:val="en-GB"/>
        </w:rPr>
        <w:t xml:space="preserve">collected at baseline and follow-up visits after initiating preventive measures. </w:t>
      </w:r>
    </w:p>
    <w:p w14:paraId="49848E21" w14:textId="6A54EA40" w:rsidR="00121F32" w:rsidRPr="003B72F7" w:rsidRDefault="00121F32" w:rsidP="005769F3">
      <w:pPr>
        <w:spacing w:line="480" w:lineRule="auto"/>
        <w:jc w:val="both"/>
        <w:rPr>
          <w:rFonts w:ascii="Calibri" w:hAnsi="Calibri"/>
          <w:lang w:val="en-GB"/>
        </w:rPr>
      </w:pPr>
      <w:r>
        <w:rPr>
          <w:rFonts w:ascii="Calibri" w:hAnsi="Calibri"/>
          <w:lang w:val="en-GB"/>
        </w:rPr>
        <w:lastRenderedPageBreak/>
        <w:t xml:space="preserve">The </w:t>
      </w:r>
      <w:r w:rsidR="00A67A46" w:rsidRPr="00A67A46">
        <w:rPr>
          <w:rFonts w:ascii="Calibri" w:hAnsi="Calibri"/>
          <w:lang w:val="en-GB"/>
        </w:rPr>
        <w:t>Wilcoxon signed-rank test</w:t>
      </w:r>
      <w:r>
        <w:rPr>
          <w:rFonts w:ascii="Calibri" w:hAnsi="Calibri"/>
          <w:lang w:val="en-GB"/>
        </w:rPr>
        <w:t xml:space="preserve"> was used to compare the urinary risk factors pre- and post-treatment in all patients with nephrolithiasis and nephrocalcinosis with at least six months clinical and biochemical follow-up at the kidney stone prevention clinic. </w:t>
      </w:r>
    </w:p>
    <w:p w14:paraId="67957F6F" w14:textId="358F0E75" w:rsidR="00121F32" w:rsidRDefault="00A67A46" w:rsidP="00CC6FA2">
      <w:pPr>
        <w:pStyle w:val="Kop3"/>
        <w:numPr>
          <w:ilvl w:val="1"/>
          <w:numId w:val="3"/>
        </w:numPr>
        <w:spacing w:line="480" w:lineRule="auto"/>
        <w:rPr>
          <w:lang w:val="en-US"/>
        </w:rPr>
      </w:pPr>
      <w:bookmarkStart w:id="65" w:name="_Toc68163860"/>
      <w:bookmarkStart w:id="66" w:name="_Toc68333371"/>
      <w:bookmarkStart w:id="67" w:name="_Toc68704045"/>
      <w:bookmarkStart w:id="68" w:name="_Toc70154208"/>
      <w:bookmarkStart w:id="69" w:name="_Toc70238559"/>
      <w:r>
        <w:rPr>
          <w:lang w:val="en-US"/>
        </w:rPr>
        <w:t xml:space="preserve">Evaluation of the </w:t>
      </w:r>
      <w:r w:rsidR="000B3BEF">
        <w:rPr>
          <w:lang w:val="en-US"/>
        </w:rPr>
        <w:t>mean reduction</w:t>
      </w:r>
      <w:r>
        <w:rPr>
          <w:lang w:val="en-US"/>
        </w:rPr>
        <w:t xml:space="preserve"> in pre- to posttreatment rates</w:t>
      </w:r>
      <w:bookmarkEnd w:id="65"/>
      <w:bookmarkEnd w:id="66"/>
      <w:bookmarkEnd w:id="67"/>
      <w:bookmarkEnd w:id="68"/>
      <w:bookmarkEnd w:id="69"/>
    </w:p>
    <w:p w14:paraId="56322E01" w14:textId="06D93AB8" w:rsidR="003B72F7" w:rsidRPr="003B72F7" w:rsidRDefault="003B72F7" w:rsidP="005769F3">
      <w:pPr>
        <w:spacing w:line="480" w:lineRule="auto"/>
        <w:rPr>
          <w:lang w:val="en-US"/>
        </w:rPr>
      </w:pPr>
      <w:r w:rsidRPr="003B72F7">
        <w:rPr>
          <w:lang w:val="en-US"/>
        </w:rPr>
        <w:t>The effect of preventive measures on the symptomatic renal colic rate</w:t>
      </w:r>
      <w:r>
        <w:rPr>
          <w:lang w:val="en-US"/>
        </w:rPr>
        <w:t xml:space="preserve">, the kidney stone formation rates and urological intervention rates </w:t>
      </w:r>
      <w:r w:rsidRPr="003B72F7">
        <w:rPr>
          <w:lang w:val="en-US"/>
        </w:rPr>
        <w:t>w</w:t>
      </w:r>
      <w:r>
        <w:rPr>
          <w:lang w:val="en-US"/>
        </w:rPr>
        <w:t xml:space="preserve">ere </w:t>
      </w:r>
      <w:r w:rsidRPr="003B72F7">
        <w:rPr>
          <w:lang w:val="en-US"/>
        </w:rPr>
        <w:t>investigated on an intention-to-treat basis by analyzing clinical</w:t>
      </w:r>
      <w:r>
        <w:rPr>
          <w:lang w:val="en-US"/>
        </w:rPr>
        <w:t xml:space="preserve"> and imaging </w:t>
      </w:r>
      <w:r w:rsidRPr="003B72F7">
        <w:rPr>
          <w:lang w:val="en-US"/>
        </w:rPr>
        <w:t>data collected during baseline and follow-up consultations at the kidney stone prevention clinic.</w:t>
      </w:r>
    </w:p>
    <w:p w14:paraId="4C4BA23F" w14:textId="2397E3A1" w:rsidR="00121F32" w:rsidRDefault="00121F32" w:rsidP="005769F3">
      <w:pPr>
        <w:spacing w:line="480" w:lineRule="auto"/>
        <w:jc w:val="both"/>
        <w:rPr>
          <w:rFonts w:cstheme="minorHAnsi"/>
          <w:lang w:val="en-US"/>
        </w:rPr>
      </w:pPr>
      <w:r w:rsidRPr="00121F32">
        <w:rPr>
          <w:rFonts w:ascii="Calibri" w:hAnsi="Calibri"/>
          <w:lang w:val="en-GB"/>
        </w:rPr>
        <w:t xml:space="preserve">The Wilcoxon signed-rank test was used to compare the </w:t>
      </w:r>
      <w:r>
        <w:rPr>
          <w:rFonts w:ascii="Calibri" w:hAnsi="Calibri"/>
          <w:lang w:val="en-GB"/>
        </w:rPr>
        <w:t xml:space="preserve">mean pre- and post-treatment </w:t>
      </w:r>
      <w:r w:rsidRPr="00F64B74">
        <w:rPr>
          <w:rFonts w:eastAsia="Times New Roman" w:cstheme="minorHAnsi"/>
          <w:color w:val="000000"/>
          <w:bdr w:val="none" w:sz="0" w:space="0" w:color="auto" w:frame="1"/>
          <w:lang w:val="en-US" w:eastAsia="nl-BE"/>
        </w:rPr>
        <w:t xml:space="preserve">in all patients with nephrolithiasis (but excluding those with nephrocalcinosis) </w:t>
      </w:r>
      <w:r w:rsidRPr="00C05AC5">
        <w:rPr>
          <w:rFonts w:cstheme="minorHAnsi"/>
          <w:lang w:val="en-US"/>
        </w:rPr>
        <w:t xml:space="preserve">with at least 12 months clinical, biochemical </w:t>
      </w:r>
      <w:r w:rsidR="003B72F7">
        <w:rPr>
          <w:rFonts w:cstheme="minorHAnsi"/>
          <w:lang w:val="en-US"/>
        </w:rPr>
        <w:t>(</w:t>
      </w:r>
      <w:r w:rsidRPr="00C05AC5">
        <w:rPr>
          <w:rFonts w:cstheme="minorHAnsi"/>
          <w:lang w:val="en-US"/>
        </w:rPr>
        <w:t>and imaging follow-up</w:t>
      </w:r>
      <w:r w:rsidR="003B72F7">
        <w:rPr>
          <w:rFonts w:cstheme="minorHAnsi"/>
          <w:lang w:val="en-US"/>
        </w:rPr>
        <w:t xml:space="preserve"> in the kidney stone formation rate)</w:t>
      </w:r>
      <w:r w:rsidRPr="00C05AC5">
        <w:rPr>
          <w:rFonts w:cstheme="minorHAnsi"/>
          <w:lang w:val="en-US"/>
        </w:rPr>
        <w:t xml:space="preserve"> </w:t>
      </w:r>
      <w:r>
        <w:rPr>
          <w:rFonts w:cstheme="minorHAnsi"/>
          <w:lang w:val="en-US"/>
        </w:rPr>
        <w:t>at the Kidney stone prevention clinic.</w:t>
      </w:r>
    </w:p>
    <w:p w14:paraId="43FCCD24" w14:textId="19757FA8" w:rsidR="00D172BA" w:rsidRPr="00D172BA" w:rsidRDefault="00D172BA" w:rsidP="00CC6FA2">
      <w:pPr>
        <w:pStyle w:val="Kop2"/>
        <w:numPr>
          <w:ilvl w:val="0"/>
          <w:numId w:val="3"/>
        </w:numPr>
        <w:spacing w:after="240" w:line="480" w:lineRule="auto"/>
        <w:rPr>
          <w:lang w:val="en-US"/>
        </w:rPr>
      </w:pPr>
      <w:bookmarkStart w:id="70" w:name="_Toc70238560"/>
      <w:r w:rsidRPr="00D172BA">
        <w:rPr>
          <w:lang w:val="en-US"/>
        </w:rPr>
        <w:t>E</w:t>
      </w:r>
      <w:r>
        <w:rPr>
          <w:lang w:val="en-US"/>
        </w:rPr>
        <w:t>THICS</w:t>
      </w:r>
      <w:bookmarkEnd w:id="70"/>
    </w:p>
    <w:p w14:paraId="387EFA93" w14:textId="3A4D0E42" w:rsidR="00D172BA" w:rsidRDefault="00B4275C" w:rsidP="005769F3">
      <w:pPr>
        <w:shd w:val="clear" w:color="auto" w:fill="FFFFFF"/>
        <w:spacing w:after="0" w:line="480" w:lineRule="auto"/>
        <w:jc w:val="both"/>
        <w:rPr>
          <w:rFonts w:eastAsia="Times New Roman" w:cstheme="minorHAnsi"/>
          <w:color w:val="000000"/>
          <w:bdr w:val="none" w:sz="0" w:space="0" w:color="auto" w:frame="1"/>
          <w:lang w:val="en-US" w:eastAsia="nl-BE"/>
        </w:rPr>
      </w:pPr>
      <w:r>
        <w:rPr>
          <w:rFonts w:eastAsia="Times New Roman" w:cstheme="minorHAnsi"/>
          <w:color w:val="000000"/>
          <w:bdr w:val="none" w:sz="0" w:space="0" w:color="auto" w:frame="1"/>
          <w:lang w:val="en-US" w:eastAsia="nl-BE"/>
        </w:rPr>
        <w:t>A</w:t>
      </w:r>
      <w:r w:rsidR="004A2C3A">
        <w:rPr>
          <w:rFonts w:eastAsia="Times New Roman" w:cstheme="minorHAnsi"/>
          <w:color w:val="000000"/>
          <w:bdr w:val="none" w:sz="0" w:space="0" w:color="auto" w:frame="1"/>
          <w:lang w:val="en-US" w:eastAsia="nl-BE"/>
        </w:rPr>
        <w:t>n</w:t>
      </w:r>
      <w:r>
        <w:rPr>
          <w:rFonts w:eastAsia="Times New Roman" w:cstheme="minorHAnsi"/>
          <w:color w:val="000000"/>
          <w:bdr w:val="none" w:sz="0" w:space="0" w:color="auto" w:frame="1"/>
          <w:lang w:val="en-US" w:eastAsia="nl-BE"/>
        </w:rPr>
        <w:t xml:space="preserve"> I</w:t>
      </w:r>
      <w:r w:rsidRPr="00B4275C">
        <w:rPr>
          <w:rFonts w:eastAsia="Times New Roman" w:cstheme="minorHAnsi"/>
          <w:color w:val="000000"/>
          <w:bdr w:val="none" w:sz="0" w:space="0" w:color="auto" w:frame="1"/>
          <w:lang w:val="en-US" w:eastAsia="nl-BE"/>
        </w:rPr>
        <w:t>CH GCP</w:t>
      </w:r>
      <w:r>
        <w:rPr>
          <w:rFonts w:eastAsia="Times New Roman" w:cstheme="minorHAnsi"/>
          <w:color w:val="000000"/>
          <w:bdr w:val="none" w:sz="0" w:space="0" w:color="auto" w:frame="1"/>
          <w:lang w:val="en-US" w:eastAsia="nl-BE"/>
        </w:rPr>
        <w:t xml:space="preserve"> t</w:t>
      </w:r>
      <w:r w:rsidRPr="00B4275C">
        <w:rPr>
          <w:rFonts w:eastAsia="Times New Roman" w:cstheme="minorHAnsi"/>
          <w:color w:val="000000"/>
          <w:bdr w:val="none" w:sz="0" w:space="0" w:color="auto" w:frame="1"/>
          <w:lang w:val="en-US" w:eastAsia="nl-BE"/>
        </w:rPr>
        <w:t xml:space="preserve">raining </w:t>
      </w:r>
      <w:r>
        <w:rPr>
          <w:rFonts w:eastAsia="Times New Roman" w:cstheme="minorHAnsi"/>
          <w:color w:val="000000"/>
          <w:bdr w:val="none" w:sz="0" w:space="0" w:color="auto" w:frame="1"/>
          <w:lang w:val="en-US" w:eastAsia="nl-BE"/>
        </w:rPr>
        <w:t>c</w:t>
      </w:r>
      <w:r w:rsidRPr="00B4275C">
        <w:rPr>
          <w:rFonts w:eastAsia="Times New Roman" w:cstheme="minorHAnsi"/>
          <w:color w:val="000000"/>
          <w:bdr w:val="none" w:sz="0" w:space="0" w:color="auto" w:frame="1"/>
          <w:lang w:val="en-US" w:eastAsia="nl-BE"/>
        </w:rPr>
        <w:t>ertificate was obtained</w:t>
      </w:r>
      <w:r>
        <w:rPr>
          <w:rFonts w:eastAsia="Times New Roman" w:cstheme="minorHAnsi"/>
          <w:color w:val="000000"/>
          <w:bdr w:val="none" w:sz="0" w:space="0" w:color="auto" w:frame="1"/>
          <w:lang w:val="en-US" w:eastAsia="nl-BE"/>
        </w:rPr>
        <w:t xml:space="preserve"> before </w:t>
      </w:r>
      <w:r w:rsidR="00181D50">
        <w:rPr>
          <w:rFonts w:eastAsia="Times New Roman" w:cstheme="minorHAnsi"/>
          <w:color w:val="000000"/>
          <w:bdr w:val="none" w:sz="0" w:space="0" w:color="auto" w:frame="1"/>
          <w:lang w:val="en-US" w:eastAsia="nl-BE"/>
        </w:rPr>
        <w:t>starting</w:t>
      </w:r>
      <w:r>
        <w:rPr>
          <w:rFonts w:eastAsia="Times New Roman" w:cstheme="minorHAnsi"/>
          <w:color w:val="000000"/>
          <w:bdr w:val="none" w:sz="0" w:space="0" w:color="auto" w:frame="1"/>
          <w:lang w:val="en-US" w:eastAsia="nl-BE"/>
        </w:rPr>
        <w:t xml:space="preserve"> this study and can be found in attachment 2. </w:t>
      </w:r>
      <w:r w:rsidR="00D172BA" w:rsidRPr="00436704">
        <w:rPr>
          <w:rFonts w:eastAsia="Times New Roman" w:cstheme="minorHAnsi"/>
          <w:color w:val="000000"/>
          <w:bdr w:val="none" w:sz="0" w:space="0" w:color="auto" w:frame="1"/>
          <w:lang w:val="en-US" w:eastAsia="nl-BE"/>
        </w:rPr>
        <w:t xml:space="preserve">The protocol for the present study was reviewed and approved by </w:t>
      </w:r>
      <w:r w:rsidR="00436704" w:rsidRPr="00436704">
        <w:rPr>
          <w:rFonts w:eastAsia="Times New Roman" w:cstheme="minorHAnsi"/>
          <w:color w:val="000000"/>
          <w:bdr w:val="none" w:sz="0" w:space="0" w:color="auto" w:frame="1"/>
          <w:lang w:val="en-US" w:eastAsia="nl-BE"/>
        </w:rPr>
        <w:t>the Ethics committee on 3/2/2</w:t>
      </w:r>
      <w:r w:rsidR="00436704">
        <w:rPr>
          <w:rFonts w:eastAsia="Times New Roman" w:cstheme="minorHAnsi"/>
          <w:color w:val="000000"/>
          <w:bdr w:val="none" w:sz="0" w:space="0" w:color="auto" w:frame="1"/>
          <w:lang w:val="en-US" w:eastAsia="nl-BE"/>
        </w:rPr>
        <w:t>0</w:t>
      </w:r>
      <w:r w:rsidR="00436704" w:rsidRPr="00436704">
        <w:rPr>
          <w:rFonts w:eastAsia="Times New Roman" w:cstheme="minorHAnsi"/>
          <w:color w:val="000000"/>
          <w:bdr w:val="none" w:sz="0" w:space="0" w:color="auto" w:frame="1"/>
          <w:lang w:val="en-US" w:eastAsia="nl-BE"/>
        </w:rPr>
        <w:t>21 (EC 2021-012).</w:t>
      </w:r>
      <w:r w:rsidR="00C05AC5">
        <w:rPr>
          <w:rFonts w:eastAsia="Times New Roman" w:cstheme="minorHAnsi"/>
          <w:color w:val="000000"/>
          <w:bdr w:val="none" w:sz="0" w:space="0" w:color="auto" w:frame="1"/>
          <w:lang w:val="en-US" w:eastAsia="nl-BE"/>
        </w:rPr>
        <w:t xml:space="preserve"> Earlier, the Kidney stone prevention clinic database obtained approval on</w:t>
      </w:r>
      <w:r w:rsidR="00D84152">
        <w:rPr>
          <w:rFonts w:eastAsia="Times New Roman" w:cstheme="minorHAnsi"/>
          <w:color w:val="000000"/>
          <w:bdr w:val="none" w:sz="0" w:space="0" w:color="auto" w:frame="1"/>
          <w:lang w:val="en-US" w:eastAsia="nl-BE"/>
        </w:rPr>
        <w:t xml:space="preserve"> 12/8/2019 (EC 2019-155).</w:t>
      </w:r>
      <w:r>
        <w:rPr>
          <w:rFonts w:eastAsia="Times New Roman" w:cstheme="minorHAnsi"/>
          <w:color w:val="000000"/>
          <w:bdr w:val="none" w:sz="0" w:space="0" w:color="auto" w:frame="1"/>
          <w:lang w:val="en-US" w:eastAsia="nl-BE"/>
        </w:rPr>
        <w:t xml:space="preserve"> </w:t>
      </w:r>
      <w:r w:rsidRPr="00B4275C">
        <w:rPr>
          <w:rFonts w:eastAsia="Times New Roman" w:cstheme="minorHAnsi"/>
          <w:color w:val="000000"/>
          <w:bdr w:val="none" w:sz="0" w:space="0" w:color="auto" w:frame="1"/>
          <w:lang w:val="en-US" w:eastAsia="nl-BE"/>
        </w:rPr>
        <w:t xml:space="preserve">Both approvals can be found in </w:t>
      </w:r>
      <w:r>
        <w:rPr>
          <w:rFonts w:eastAsia="Times New Roman" w:cstheme="minorHAnsi"/>
          <w:color w:val="000000"/>
          <w:bdr w:val="none" w:sz="0" w:space="0" w:color="auto" w:frame="1"/>
          <w:lang w:val="en-US" w:eastAsia="nl-BE"/>
        </w:rPr>
        <w:t xml:space="preserve">attachment 3. </w:t>
      </w:r>
    </w:p>
    <w:p w14:paraId="3928D29E" w14:textId="05F2A384" w:rsidR="0057187E" w:rsidRDefault="0057187E" w:rsidP="005769F3">
      <w:pPr>
        <w:shd w:val="clear" w:color="auto" w:fill="FFFFFF"/>
        <w:spacing w:after="0" w:line="480" w:lineRule="auto"/>
        <w:jc w:val="both"/>
        <w:rPr>
          <w:rFonts w:eastAsia="Times New Roman" w:cstheme="minorHAnsi"/>
          <w:color w:val="000000"/>
          <w:bdr w:val="none" w:sz="0" w:space="0" w:color="auto" w:frame="1"/>
          <w:lang w:val="en-US" w:eastAsia="nl-BE"/>
        </w:rPr>
      </w:pPr>
    </w:p>
    <w:p w14:paraId="4877BD4B" w14:textId="5ACD1526" w:rsidR="0057187E" w:rsidRDefault="0057187E" w:rsidP="005769F3">
      <w:pPr>
        <w:shd w:val="clear" w:color="auto" w:fill="FFFFFF"/>
        <w:spacing w:after="0" w:line="480" w:lineRule="auto"/>
        <w:jc w:val="both"/>
        <w:rPr>
          <w:rFonts w:eastAsia="Times New Roman" w:cstheme="minorHAnsi"/>
          <w:color w:val="000000"/>
          <w:bdr w:val="none" w:sz="0" w:space="0" w:color="auto" w:frame="1"/>
          <w:lang w:val="en-US" w:eastAsia="nl-BE"/>
        </w:rPr>
      </w:pPr>
    </w:p>
    <w:p w14:paraId="08B13903" w14:textId="14B2B448" w:rsidR="0057187E" w:rsidRDefault="0057187E" w:rsidP="005769F3">
      <w:pPr>
        <w:shd w:val="clear" w:color="auto" w:fill="FFFFFF"/>
        <w:spacing w:after="0" w:line="480" w:lineRule="auto"/>
        <w:jc w:val="both"/>
        <w:rPr>
          <w:rFonts w:eastAsia="Times New Roman" w:cstheme="minorHAnsi"/>
          <w:color w:val="000000"/>
          <w:bdr w:val="none" w:sz="0" w:space="0" w:color="auto" w:frame="1"/>
          <w:lang w:val="en-US" w:eastAsia="nl-BE"/>
        </w:rPr>
      </w:pPr>
    </w:p>
    <w:p w14:paraId="26BAF44A" w14:textId="77777777" w:rsidR="0057187E" w:rsidRDefault="0057187E" w:rsidP="005769F3">
      <w:pPr>
        <w:shd w:val="clear" w:color="auto" w:fill="FFFFFF"/>
        <w:spacing w:after="0" w:line="480" w:lineRule="auto"/>
        <w:jc w:val="both"/>
        <w:rPr>
          <w:rFonts w:eastAsia="Times New Roman" w:cstheme="minorHAnsi"/>
          <w:color w:val="000000"/>
          <w:bdr w:val="none" w:sz="0" w:space="0" w:color="auto" w:frame="1"/>
          <w:lang w:val="en-US" w:eastAsia="nl-BE"/>
        </w:rPr>
      </w:pPr>
    </w:p>
    <w:p w14:paraId="145CF728" w14:textId="282CFFB1" w:rsidR="00510DDE" w:rsidRPr="001B324E" w:rsidRDefault="00510DDE" w:rsidP="00540A95">
      <w:pPr>
        <w:pStyle w:val="Kop1"/>
        <w:spacing w:line="480" w:lineRule="auto"/>
        <w:rPr>
          <w:lang w:val="fr-BE"/>
        </w:rPr>
      </w:pPr>
      <w:bookmarkStart w:id="71" w:name="_Toc70238561"/>
      <w:r w:rsidRPr="001B324E">
        <w:rPr>
          <w:lang w:val="fr-BE"/>
        </w:rPr>
        <w:lastRenderedPageBreak/>
        <w:t>RESULTS</w:t>
      </w:r>
      <w:bookmarkEnd w:id="71"/>
    </w:p>
    <w:p w14:paraId="23928D12" w14:textId="5F3A4EA0" w:rsidR="001B324E" w:rsidRPr="007C2A5A" w:rsidRDefault="001B324E" w:rsidP="00CC6FA2">
      <w:pPr>
        <w:pStyle w:val="Kop2"/>
        <w:numPr>
          <w:ilvl w:val="0"/>
          <w:numId w:val="4"/>
        </w:numPr>
        <w:spacing w:line="480" w:lineRule="auto"/>
        <w:rPr>
          <w:lang w:val="en-GB"/>
        </w:rPr>
      </w:pPr>
      <w:bookmarkStart w:id="72" w:name="_Toc68333374"/>
      <w:bookmarkStart w:id="73" w:name="_Toc70238562"/>
      <w:r w:rsidRPr="007C2A5A">
        <w:rPr>
          <w:lang w:val="en-GB"/>
        </w:rPr>
        <w:t>B</w:t>
      </w:r>
      <w:r w:rsidR="00BA74AC">
        <w:rPr>
          <w:lang w:val="en-GB"/>
        </w:rPr>
        <w:t>ASELINE CHARACTERISTICS OF THE STUDY</w:t>
      </w:r>
      <w:r w:rsidR="006211C9">
        <w:rPr>
          <w:lang w:val="en-GB"/>
        </w:rPr>
        <w:t xml:space="preserve"> </w:t>
      </w:r>
      <w:r w:rsidR="00BA74AC">
        <w:rPr>
          <w:lang w:val="en-GB"/>
        </w:rPr>
        <w:t>POPULATION</w:t>
      </w:r>
      <w:bookmarkEnd w:id="72"/>
      <w:bookmarkEnd w:id="73"/>
    </w:p>
    <w:p w14:paraId="483AB066" w14:textId="0D81AF10" w:rsidR="001B324E" w:rsidRPr="009F7E15" w:rsidRDefault="001B324E" w:rsidP="00CC6FA2">
      <w:pPr>
        <w:pStyle w:val="Kop3"/>
        <w:numPr>
          <w:ilvl w:val="1"/>
          <w:numId w:val="7"/>
        </w:numPr>
        <w:spacing w:line="480" w:lineRule="auto"/>
        <w:rPr>
          <w:lang w:val="en-GB"/>
        </w:rPr>
      </w:pPr>
      <w:bookmarkStart w:id="74" w:name="_Toc68163864"/>
      <w:bookmarkStart w:id="75" w:name="_Toc68333375"/>
      <w:bookmarkStart w:id="76" w:name="_Toc68704049"/>
      <w:bookmarkStart w:id="77" w:name="_Toc70154212"/>
      <w:bookmarkStart w:id="78" w:name="_Toc70238563"/>
      <w:r>
        <w:rPr>
          <w:lang w:val="en-GB"/>
        </w:rPr>
        <w:t>Patient demographics</w:t>
      </w:r>
      <w:bookmarkEnd w:id="74"/>
      <w:bookmarkEnd w:id="75"/>
      <w:bookmarkEnd w:id="76"/>
      <w:bookmarkEnd w:id="77"/>
      <w:bookmarkEnd w:id="78"/>
    </w:p>
    <w:p w14:paraId="0E8E1020" w14:textId="7196E44D" w:rsidR="001B324E" w:rsidRPr="007C2A5A" w:rsidRDefault="001B324E" w:rsidP="005769F3">
      <w:pPr>
        <w:spacing w:line="480" w:lineRule="auto"/>
        <w:jc w:val="both"/>
        <w:rPr>
          <w:lang w:val="en-GB"/>
        </w:rPr>
      </w:pPr>
      <w:r w:rsidRPr="007C2A5A">
        <w:rPr>
          <w:lang w:val="en-GB"/>
        </w:rPr>
        <w:t xml:space="preserve">The baseline characteristics of the study population are shown in table </w:t>
      </w:r>
      <w:r w:rsidR="00DD0388">
        <w:rPr>
          <w:lang w:val="en-GB"/>
        </w:rPr>
        <w:t>3</w:t>
      </w:r>
      <w:r w:rsidRPr="007C2A5A">
        <w:rPr>
          <w:lang w:val="en-GB"/>
        </w:rPr>
        <w:t xml:space="preserve">. </w:t>
      </w:r>
      <w:r w:rsidR="00416079">
        <w:rPr>
          <w:lang w:val="en-GB"/>
        </w:rPr>
        <w:t xml:space="preserve">In total </w:t>
      </w:r>
      <w:r w:rsidRPr="007C2A5A">
        <w:rPr>
          <w:lang w:val="en-GB"/>
        </w:rPr>
        <w:t>83</w:t>
      </w:r>
      <w:r w:rsidR="005D75C8">
        <w:rPr>
          <w:lang w:val="en-GB"/>
        </w:rPr>
        <w:t>5</w:t>
      </w:r>
      <w:r w:rsidRPr="007C2A5A">
        <w:rPr>
          <w:lang w:val="en-GB"/>
        </w:rPr>
        <w:t xml:space="preserve"> patients were included in the analysis, of </w:t>
      </w:r>
      <w:r w:rsidR="006211C9">
        <w:rPr>
          <w:lang w:val="en-GB"/>
        </w:rPr>
        <w:t>whom</w:t>
      </w:r>
      <w:r w:rsidR="006211C9" w:rsidRPr="007C2A5A">
        <w:rPr>
          <w:lang w:val="en-GB"/>
        </w:rPr>
        <w:t xml:space="preserve"> </w:t>
      </w:r>
      <w:r w:rsidR="005D75C8">
        <w:rPr>
          <w:lang w:val="en-GB"/>
        </w:rPr>
        <w:t>298</w:t>
      </w:r>
      <w:r w:rsidRPr="007C2A5A">
        <w:rPr>
          <w:lang w:val="en-GB"/>
        </w:rPr>
        <w:t xml:space="preserve"> women and 53</w:t>
      </w:r>
      <w:r w:rsidR="005D75C8">
        <w:rPr>
          <w:lang w:val="en-GB"/>
        </w:rPr>
        <w:t>7</w:t>
      </w:r>
      <w:r w:rsidRPr="007C2A5A">
        <w:rPr>
          <w:lang w:val="en-GB"/>
        </w:rPr>
        <w:t xml:space="preserve"> men.</w:t>
      </w:r>
      <w:r w:rsidR="002074A0">
        <w:rPr>
          <w:lang w:val="en-GB"/>
        </w:rPr>
        <w:t xml:space="preserve"> </w:t>
      </w:r>
      <w:r w:rsidRPr="007C2A5A">
        <w:rPr>
          <w:lang w:val="en-GB"/>
        </w:rPr>
        <w:t>This corresponds to a male</w:t>
      </w:r>
      <w:r w:rsidR="00DF1697">
        <w:rPr>
          <w:lang w:val="en-GB"/>
        </w:rPr>
        <w:t xml:space="preserve"> </w:t>
      </w:r>
      <w:r w:rsidRPr="007C2A5A">
        <w:rPr>
          <w:lang w:val="en-GB"/>
        </w:rPr>
        <w:t>to</w:t>
      </w:r>
      <w:r w:rsidR="00DF1697">
        <w:rPr>
          <w:lang w:val="en-GB"/>
        </w:rPr>
        <w:t xml:space="preserve"> </w:t>
      </w:r>
      <w:r w:rsidRPr="007C2A5A">
        <w:rPr>
          <w:lang w:val="en-GB"/>
        </w:rPr>
        <w:t>female ratio of 1</w:t>
      </w:r>
      <w:r w:rsidR="000610BD">
        <w:rPr>
          <w:lang w:val="en-GB"/>
        </w:rPr>
        <w:t>.</w:t>
      </w:r>
      <w:r w:rsidR="005D75C8">
        <w:rPr>
          <w:lang w:val="en-GB"/>
        </w:rPr>
        <w:t>8</w:t>
      </w:r>
      <w:r w:rsidRPr="007C2A5A">
        <w:rPr>
          <w:lang w:val="en-GB"/>
        </w:rPr>
        <w:t xml:space="preserve"> to 1</w:t>
      </w:r>
      <w:r w:rsidR="000610BD">
        <w:rPr>
          <w:lang w:val="en-GB"/>
        </w:rPr>
        <w:t>.0</w:t>
      </w:r>
      <w:r w:rsidRPr="007C2A5A">
        <w:rPr>
          <w:lang w:val="en-GB"/>
        </w:rPr>
        <w:t xml:space="preserve">. </w:t>
      </w:r>
    </w:p>
    <w:p w14:paraId="7B0D51A5" w14:textId="44A3A282" w:rsidR="001B324E" w:rsidRDefault="001B324E" w:rsidP="005769F3">
      <w:pPr>
        <w:spacing w:line="480" w:lineRule="auto"/>
        <w:jc w:val="both"/>
        <w:rPr>
          <w:lang w:val="en-GB"/>
        </w:rPr>
      </w:pPr>
      <w:r w:rsidRPr="007C2A5A">
        <w:rPr>
          <w:lang w:val="en-GB"/>
        </w:rPr>
        <w:t>The majority of the patients were Caucasian (6</w:t>
      </w:r>
      <w:r w:rsidR="005D75C8">
        <w:rPr>
          <w:lang w:val="en-GB"/>
        </w:rPr>
        <w:t>00</w:t>
      </w:r>
      <w:r w:rsidRPr="007C2A5A">
        <w:rPr>
          <w:lang w:val="en-GB"/>
        </w:rPr>
        <w:t xml:space="preserve"> patients; 38</w:t>
      </w:r>
      <w:r w:rsidR="005D75C8">
        <w:rPr>
          <w:lang w:val="en-GB"/>
        </w:rPr>
        <w:t>2</w:t>
      </w:r>
      <w:r w:rsidRPr="007C2A5A">
        <w:rPr>
          <w:lang w:val="en-GB"/>
        </w:rPr>
        <w:t xml:space="preserve"> male</w:t>
      </w:r>
      <w:r w:rsidR="006211C9">
        <w:rPr>
          <w:lang w:val="en-GB"/>
        </w:rPr>
        <w:t>s</w:t>
      </w:r>
      <w:r w:rsidRPr="007C2A5A">
        <w:rPr>
          <w:lang w:val="en-GB"/>
        </w:rPr>
        <w:t>, 2</w:t>
      </w:r>
      <w:r w:rsidR="005D75C8">
        <w:rPr>
          <w:lang w:val="en-GB"/>
        </w:rPr>
        <w:t>18</w:t>
      </w:r>
      <w:r w:rsidRPr="007C2A5A">
        <w:rPr>
          <w:lang w:val="en-GB"/>
        </w:rPr>
        <w:t xml:space="preserve"> female</w:t>
      </w:r>
      <w:r w:rsidR="006211C9">
        <w:rPr>
          <w:lang w:val="en-GB"/>
        </w:rPr>
        <w:t>s</w:t>
      </w:r>
      <w:r w:rsidRPr="007C2A5A">
        <w:rPr>
          <w:lang w:val="en-GB"/>
        </w:rPr>
        <w:t xml:space="preserve">), followed by Middle-East and North-African </w:t>
      </w:r>
      <w:r w:rsidR="006211C9">
        <w:rPr>
          <w:lang w:val="en-GB"/>
        </w:rPr>
        <w:t xml:space="preserve">ethnicity </w:t>
      </w:r>
      <w:r w:rsidRPr="007C2A5A">
        <w:rPr>
          <w:lang w:val="en-GB"/>
        </w:rPr>
        <w:t>(204 patients; 138 male</w:t>
      </w:r>
      <w:r w:rsidR="006211C9">
        <w:rPr>
          <w:lang w:val="en-GB"/>
        </w:rPr>
        <w:t>s</w:t>
      </w:r>
      <w:r w:rsidRPr="007C2A5A">
        <w:rPr>
          <w:lang w:val="en-GB"/>
        </w:rPr>
        <w:t>, 66 female</w:t>
      </w:r>
      <w:r w:rsidR="006211C9">
        <w:rPr>
          <w:lang w:val="en-GB"/>
        </w:rPr>
        <w:t>s</w:t>
      </w:r>
      <w:r w:rsidRPr="007C2A5A">
        <w:rPr>
          <w:lang w:val="en-GB"/>
        </w:rPr>
        <w:t xml:space="preserve">). </w:t>
      </w:r>
    </w:p>
    <w:p w14:paraId="726DEA91" w14:textId="778A396F" w:rsidR="001B324E" w:rsidRDefault="001B324E" w:rsidP="005769F3">
      <w:pPr>
        <w:spacing w:line="480" w:lineRule="auto"/>
        <w:jc w:val="both"/>
        <w:rPr>
          <w:lang w:val="en-GB"/>
        </w:rPr>
      </w:pPr>
      <w:r>
        <w:rPr>
          <w:lang w:val="en-GB"/>
        </w:rPr>
        <w:t>The mean BMI of the entire study population was 2</w:t>
      </w:r>
      <w:r w:rsidR="00301863">
        <w:rPr>
          <w:lang w:val="en-GB"/>
        </w:rPr>
        <w:t>6</w:t>
      </w:r>
      <w:r w:rsidR="000610BD">
        <w:rPr>
          <w:lang w:val="en-GB"/>
        </w:rPr>
        <w:t>.</w:t>
      </w:r>
      <w:r w:rsidR="0045579F">
        <w:rPr>
          <w:lang w:val="en-GB"/>
        </w:rPr>
        <w:t>7</w:t>
      </w:r>
      <w:r w:rsidRPr="007943DD">
        <w:rPr>
          <w:lang w:val="en-GB"/>
        </w:rPr>
        <w:sym w:font="Symbol" w:char="F0B1"/>
      </w:r>
      <w:r w:rsidRPr="007943DD">
        <w:rPr>
          <w:lang w:val="en-GB"/>
        </w:rPr>
        <w:t>4</w:t>
      </w:r>
      <w:r w:rsidR="000610BD">
        <w:rPr>
          <w:lang w:val="en-GB"/>
        </w:rPr>
        <w:t>.</w:t>
      </w:r>
      <w:r w:rsidRPr="007943DD">
        <w:rPr>
          <w:lang w:val="en-GB"/>
        </w:rPr>
        <w:t>9</w:t>
      </w:r>
      <w:r>
        <w:rPr>
          <w:lang w:val="en-GB"/>
        </w:rPr>
        <w:t xml:space="preserve"> kg/m² , when subdivided by sex the mean BMI was  27</w:t>
      </w:r>
      <w:r w:rsidR="000610BD">
        <w:rPr>
          <w:lang w:val="en-GB"/>
        </w:rPr>
        <w:t>.</w:t>
      </w:r>
      <w:r>
        <w:rPr>
          <w:lang w:val="en-GB"/>
        </w:rPr>
        <w:t>2</w:t>
      </w:r>
      <w:r w:rsidRPr="007943DD">
        <w:rPr>
          <w:lang w:val="en-GB"/>
        </w:rPr>
        <w:sym w:font="Symbol" w:char="F0B1"/>
      </w:r>
      <w:r w:rsidRPr="00D87A3E">
        <w:rPr>
          <w:lang w:val="en-GB"/>
        </w:rPr>
        <w:t>4</w:t>
      </w:r>
      <w:r w:rsidR="000610BD">
        <w:rPr>
          <w:lang w:val="en-GB"/>
        </w:rPr>
        <w:t>.</w:t>
      </w:r>
      <w:r w:rsidRPr="00D87A3E">
        <w:rPr>
          <w:lang w:val="en-GB"/>
        </w:rPr>
        <w:t>6</w:t>
      </w:r>
      <w:r>
        <w:rPr>
          <w:lang w:val="en-GB"/>
        </w:rPr>
        <w:t xml:space="preserve"> kg/m² for men and 25</w:t>
      </w:r>
      <w:r w:rsidR="000610BD">
        <w:rPr>
          <w:lang w:val="en-GB"/>
        </w:rPr>
        <w:t>.</w:t>
      </w:r>
      <w:r>
        <w:rPr>
          <w:lang w:val="en-GB"/>
        </w:rPr>
        <w:t>7</w:t>
      </w:r>
      <w:r w:rsidRPr="007943DD">
        <w:rPr>
          <w:lang w:val="en-GB"/>
        </w:rPr>
        <w:sym w:font="Symbol" w:char="F0B1"/>
      </w:r>
      <w:r w:rsidRPr="00757080">
        <w:rPr>
          <w:lang w:val="en-GB"/>
        </w:rPr>
        <w:t>5</w:t>
      </w:r>
      <w:r w:rsidR="000610BD">
        <w:rPr>
          <w:lang w:val="en-GB"/>
        </w:rPr>
        <w:t>.</w:t>
      </w:r>
      <w:r w:rsidRPr="00757080">
        <w:rPr>
          <w:lang w:val="en-GB"/>
        </w:rPr>
        <w:t>3</w:t>
      </w:r>
      <w:r>
        <w:rPr>
          <w:lang w:val="en-GB"/>
        </w:rPr>
        <w:t xml:space="preserve"> kg/m² for women. </w:t>
      </w:r>
      <w:r w:rsidR="00B96F93">
        <w:rPr>
          <w:lang w:val="en-GB"/>
        </w:rPr>
        <w:t>In total, 24</w:t>
      </w:r>
      <w:r w:rsidR="000610BD">
        <w:rPr>
          <w:lang w:val="en-GB"/>
        </w:rPr>
        <w:t>.</w:t>
      </w:r>
      <w:r w:rsidR="00B96F93">
        <w:rPr>
          <w:lang w:val="en-GB"/>
        </w:rPr>
        <w:t>4</w:t>
      </w:r>
      <w:r w:rsidR="00805D3C">
        <w:rPr>
          <w:lang w:val="en-GB"/>
        </w:rPr>
        <w:t>% of the study population was obese.</w:t>
      </w:r>
    </w:p>
    <w:p w14:paraId="74178F14" w14:textId="1765ECA8" w:rsidR="00492E57" w:rsidRDefault="001B324E" w:rsidP="0057187E">
      <w:pPr>
        <w:spacing w:after="0" w:line="480" w:lineRule="auto"/>
        <w:jc w:val="both"/>
        <w:rPr>
          <w:lang w:val="en-GB"/>
        </w:rPr>
      </w:pPr>
      <w:r>
        <w:rPr>
          <w:lang w:val="en-GB"/>
        </w:rPr>
        <w:t xml:space="preserve">The </w:t>
      </w:r>
      <w:r w:rsidR="00337F62">
        <w:rPr>
          <w:lang w:val="en-GB"/>
        </w:rPr>
        <w:t>median</w:t>
      </w:r>
      <w:r>
        <w:rPr>
          <w:lang w:val="en-GB"/>
        </w:rPr>
        <w:t xml:space="preserve"> age </w:t>
      </w:r>
      <w:r w:rsidR="006211C9">
        <w:rPr>
          <w:lang w:val="en-GB"/>
        </w:rPr>
        <w:t>at</w:t>
      </w:r>
      <w:r>
        <w:rPr>
          <w:lang w:val="en-GB"/>
        </w:rPr>
        <w:t xml:space="preserve"> diagnosis </w:t>
      </w:r>
      <w:r w:rsidR="006211C9">
        <w:rPr>
          <w:lang w:val="en-GB"/>
        </w:rPr>
        <w:t xml:space="preserve">of nephrolithiasis/nephrocalcinosis </w:t>
      </w:r>
      <w:r>
        <w:rPr>
          <w:lang w:val="en-GB"/>
        </w:rPr>
        <w:t>for the entire study population</w:t>
      </w:r>
      <w:r w:rsidR="007B08E4">
        <w:rPr>
          <w:lang w:val="en-GB"/>
        </w:rPr>
        <w:t xml:space="preserve"> </w:t>
      </w:r>
      <w:r>
        <w:rPr>
          <w:lang w:val="en-GB"/>
        </w:rPr>
        <w:t xml:space="preserve">was </w:t>
      </w:r>
      <w:r w:rsidR="00337F62">
        <w:rPr>
          <w:lang w:val="en-GB"/>
        </w:rPr>
        <w:t>36</w:t>
      </w:r>
      <w:r w:rsidR="000610BD">
        <w:rPr>
          <w:lang w:val="en-GB"/>
        </w:rPr>
        <w:t>.</w:t>
      </w:r>
      <w:r w:rsidR="00337F62">
        <w:rPr>
          <w:lang w:val="en-GB"/>
        </w:rPr>
        <w:t>0 years (25</w:t>
      </w:r>
      <w:r w:rsidR="000610BD">
        <w:rPr>
          <w:lang w:val="en-GB"/>
        </w:rPr>
        <w:t>.</w:t>
      </w:r>
      <w:r w:rsidR="00416079">
        <w:rPr>
          <w:lang w:val="en-GB"/>
        </w:rPr>
        <w:t>0</w:t>
      </w:r>
      <w:r w:rsidR="00337F62">
        <w:rPr>
          <w:lang w:val="en-GB"/>
        </w:rPr>
        <w:t>-49</w:t>
      </w:r>
      <w:r w:rsidR="000610BD">
        <w:rPr>
          <w:lang w:val="en-GB"/>
        </w:rPr>
        <w:t>.</w:t>
      </w:r>
      <w:r w:rsidR="00416079">
        <w:rPr>
          <w:lang w:val="en-GB"/>
        </w:rPr>
        <w:t>0</w:t>
      </w:r>
      <w:r w:rsidR="00337F62">
        <w:rPr>
          <w:lang w:val="en-GB"/>
        </w:rPr>
        <w:t>)</w:t>
      </w:r>
      <w:r w:rsidR="00337F62" w:rsidRPr="00337F62">
        <w:rPr>
          <w:rStyle w:val="Verwijzingopmerking"/>
          <w:lang w:val="en-GB"/>
        </w:rPr>
        <w:t xml:space="preserve">. </w:t>
      </w:r>
      <w:r w:rsidR="00337F62">
        <w:rPr>
          <w:lang w:val="en-GB"/>
        </w:rPr>
        <w:t>Th</w:t>
      </w:r>
      <w:r>
        <w:rPr>
          <w:lang w:val="en-GB"/>
        </w:rPr>
        <w:t xml:space="preserve">e mean age at first consultation </w:t>
      </w:r>
      <w:r w:rsidR="006211C9">
        <w:rPr>
          <w:lang w:val="en-GB"/>
        </w:rPr>
        <w:t xml:space="preserve">at the kidney stone prevention clinic </w:t>
      </w:r>
      <w:r>
        <w:rPr>
          <w:lang w:val="en-GB"/>
        </w:rPr>
        <w:t>was</w:t>
      </w:r>
      <w:r w:rsidR="00337F62">
        <w:rPr>
          <w:lang w:val="en-GB"/>
        </w:rPr>
        <w:t xml:space="preserve"> 47</w:t>
      </w:r>
      <w:r w:rsidR="000610BD">
        <w:rPr>
          <w:lang w:val="en-GB"/>
        </w:rPr>
        <w:t>.</w:t>
      </w:r>
      <w:r w:rsidR="00337F62">
        <w:rPr>
          <w:lang w:val="en-GB"/>
        </w:rPr>
        <w:t>0 years (35</w:t>
      </w:r>
      <w:r w:rsidR="000610BD">
        <w:rPr>
          <w:lang w:val="en-GB"/>
        </w:rPr>
        <w:t>.</w:t>
      </w:r>
      <w:r w:rsidR="00416079">
        <w:rPr>
          <w:lang w:val="en-GB"/>
        </w:rPr>
        <w:t>0</w:t>
      </w:r>
      <w:r w:rsidR="00337F62">
        <w:rPr>
          <w:lang w:val="en-GB"/>
        </w:rPr>
        <w:t>-58</w:t>
      </w:r>
      <w:r w:rsidR="000610BD">
        <w:rPr>
          <w:lang w:val="en-GB"/>
        </w:rPr>
        <w:t>.</w:t>
      </w:r>
      <w:r w:rsidR="00416079">
        <w:rPr>
          <w:lang w:val="en-GB"/>
        </w:rPr>
        <w:t>0</w:t>
      </w:r>
      <w:r w:rsidR="00337F62">
        <w:rPr>
          <w:lang w:val="en-GB"/>
        </w:rPr>
        <w:t xml:space="preserve">). </w:t>
      </w:r>
      <w:r>
        <w:rPr>
          <w:lang w:val="en-GB"/>
        </w:rPr>
        <w:t xml:space="preserve"> </w:t>
      </w:r>
      <w:r w:rsidR="0057187E">
        <w:rPr>
          <w:lang w:val="en-GB"/>
        </w:rPr>
        <w:t xml:space="preserve"> </w:t>
      </w:r>
      <w:r w:rsidR="008D6432">
        <w:rPr>
          <w:lang w:val="en-GB"/>
        </w:rPr>
        <w:t xml:space="preserve">This </w:t>
      </w:r>
      <w:r>
        <w:rPr>
          <w:lang w:val="en-GB"/>
        </w:rPr>
        <w:t xml:space="preserve">results in a </w:t>
      </w:r>
      <w:r w:rsidR="00337F62">
        <w:rPr>
          <w:lang w:val="en-GB"/>
        </w:rPr>
        <w:t>median</w:t>
      </w:r>
      <w:r w:rsidR="006211C9">
        <w:rPr>
          <w:lang w:val="en-GB"/>
        </w:rPr>
        <w:t xml:space="preserve"> </w:t>
      </w:r>
      <w:r>
        <w:rPr>
          <w:lang w:val="en-GB"/>
        </w:rPr>
        <w:t>time interval of</w:t>
      </w:r>
      <w:r w:rsidR="00337F62">
        <w:rPr>
          <w:lang w:val="en-GB"/>
        </w:rPr>
        <w:t xml:space="preserve"> 3</w:t>
      </w:r>
      <w:r w:rsidR="000610BD">
        <w:rPr>
          <w:lang w:val="en-GB"/>
        </w:rPr>
        <w:t>.</w:t>
      </w:r>
      <w:r w:rsidR="00337F62">
        <w:rPr>
          <w:lang w:val="en-GB"/>
        </w:rPr>
        <w:t>7 years (0</w:t>
      </w:r>
      <w:r w:rsidR="000610BD">
        <w:rPr>
          <w:lang w:val="en-GB"/>
        </w:rPr>
        <w:t>.</w:t>
      </w:r>
      <w:r w:rsidR="00337F62">
        <w:rPr>
          <w:lang w:val="en-GB"/>
        </w:rPr>
        <w:t>4-12</w:t>
      </w:r>
      <w:r w:rsidR="000610BD">
        <w:rPr>
          <w:lang w:val="en-GB"/>
        </w:rPr>
        <w:t>.</w:t>
      </w:r>
      <w:r w:rsidR="00337F62">
        <w:rPr>
          <w:lang w:val="en-GB"/>
        </w:rPr>
        <w:t>1) b</w:t>
      </w:r>
      <w:r>
        <w:rPr>
          <w:lang w:val="en-GB"/>
        </w:rPr>
        <w:t xml:space="preserve">etween the diagnosis </w:t>
      </w:r>
      <w:r w:rsidR="006211C9">
        <w:rPr>
          <w:lang w:val="en-GB"/>
        </w:rPr>
        <w:t xml:space="preserve">of nephrolithiasis/nephrocalcinosis </w:t>
      </w:r>
      <w:r>
        <w:rPr>
          <w:lang w:val="en-GB"/>
        </w:rPr>
        <w:t>and the first consultation at the kidney stone prevention clinic for the entire study population</w:t>
      </w:r>
      <w:r w:rsidR="00492E57">
        <w:rPr>
          <w:lang w:val="en-GB"/>
        </w:rPr>
        <w:t>.</w:t>
      </w:r>
    </w:p>
    <w:p w14:paraId="3125876F" w14:textId="77777777" w:rsidR="0057187E" w:rsidRPr="0057187E" w:rsidRDefault="0057187E" w:rsidP="0057187E">
      <w:pPr>
        <w:rPr>
          <w:lang w:val="en-GB"/>
        </w:rPr>
      </w:pPr>
      <w:r w:rsidRPr="0057187E">
        <w:rPr>
          <w:u w:val="single"/>
          <w:lang w:val="en-GB"/>
        </w:rPr>
        <w:t>Table 3:</w:t>
      </w:r>
      <w:r w:rsidRPr="0057187E">
        <w:rPr>
          <w:lang w:val="en-GB"/>
        </w:rPr>
        <w:t xml:space="preserve"> patient demographics</w:t>
      </w:r>
    </w:p>
    <w:tbl>
      <w:tblPr>
        <w:tblStyle w:val="Tabelraster"/>
        <w:tblW w:w="10201" w:type="dxa"/>
        <w:tblInd w:w="-565" w:type="dxa"/>
        <w:tblLook w:val="04A0" w:firstRow="1" w:lastRow="0" w:firstColumn="1" w:lastColumn="0" w:noHBand="0" w:noVBand="1"/>
      </w:tblPr>
      <w:tblGrid>
        <w:gridCol w:w="5807"/>
        <w:gridCol w:w="1464"/>
        <w:gridCol w:w="1465"/>
        <w:gridCol w:w="1465"/>
      </w:tblGrid>
      <w:tr w:rsidR="0057187E" w:rsidRPr="0057187E" w14:paraId="1E52F765" w14:textId="77777777" w:rsidTr="0057187E">
        <w:tc>
          <w:tcPr>
            <w:tcW w:w="5807" w:type="dxa"/>
            <w:tcBorders>
              <w:top w:val="nil"/>
              <w:left w:val="nil"/>
            </w:tcBorders>
          </w:tcPr>
          <w:p w14:paraId="07C98D76" w14:textId="77777777" w:rsidR="0057187E" w:rsidRPr="0057187E" w:rsidRDefault="0057187E" w:rsidP="0057187E">
            <w:pPr>
              <w:rPr>
                <w:sz w:val="18"/>
                <w:szCs w:val="18"/>
                <w:lang w:val="en-GB"/>
              </w:rPr>
            </w:pPr>
          </w:p>
        </w:tc>
        <w:tc>
          <w:tcPr>
            <w:tcW w:w="1464" w:type="dxa"/>
            <w:shd w:val="clear" w:color="auto" w:fill="000000" w:themeFill="text1"/>
          </w:tcPr>
          <w:p w14:paraId="5A449D11" w14:textId="77777777" w:rsidR="0057187E" w:rsidRPr="0057187E" w:rsidRDefault="0057187E" w:rsidP="0057187E">
            <w:pPr>
              <w:rPr>
                <w:sz w:val="18"/>
                <w:szCs w:val="18"/>
                <w:lang w:val="fr-BE"/>
              </w:rPr>
            </w:pPr>
            <w:r w:rsidRPr="0057187E">
              <w:rPr>
                <w:sz w:val="18"/>
                <w:szCs w:val="18"/>
                <w:lang w:val="fr-BE"/>
              </w:rPr>
              <w:t xml:space="preserve">Total </w:t>
            </w:r>
          </w:p>
          <w:p w14:paraId="154A6DAB" w14:textId="77777777" w:rsidR="0057187E" w:rsidRPr="0057187E" w:rsidRDefault="0057187E" w:rsidP="0057187E">
            <w:pPr>
              <w:rPr>
                <w:sz w:val="18"/>
                <w:szCs w:val="18"/>
                <w:lang w:val="fr-BE"/>
              </w:rPr>
            </w:pPr>
            <w:r w:rsidRPr="0057187E">
              <w:rPr>
                <w:sz w:val="18"/>
                <w:szCs w:val="18"/>
                <w:lang w:val="fr-BE"/>
              </w:rPr>
              <w:t>(n = 835)</w:t>
            </w:r>
          </w:p>
        </w:tc>
        <w:tc>
          <w:tcPr>
            <w:tcW w:w="1465" w:type="dxa"/>
            <w:shd w:val="clear" w:color="auto" w:fill="000000" w:themeFill="text1"/>
          </w:tcPr>
          <w:p w14:paraId="635E0073" w14:textId="77777777" w:rsidR="0057187E" w:rsidRPr="0057187E" w:rsidRDefault="0057187E" w:rsidP="0057187E">
            <w:pPr>
              <w:rPr>
                <w:sz w:val="18"/>
                <w:szCs w:val="18"/>
                <w:lang w:val="fr-BE"/>
              </w:rPr>
            </w:pPr>
            <w:r w:rsidRPr="0057187E">
              <w:rPr>
                <w:sz w:val="18"/>
                <w:szCs w:val="18"/>
                <w:lang w:val="fr-BE"/>
              </w:rPr>
              <w:t>Male</w:t>
            </w:r>
          </w:p>
          <w:p w14:paraId="284438FC" w14:textId="77777777" w:rsidR="0057187E" w:rsidRPr="0057187E" w:rsidRDefault="0057187E" w:rsidP="0057187E">
            <w:pPr>
              <w:rPr>
                <w:sz w:val="18"/>
                <w:szCs w:val="18"/>
                <w:lang w:val="fr-BE"/>
              </w:rPr>
            </w:pPr>
            <w:r w:rsidRPr="0057187E">
              <w:rPr>
                <w:sz w:val="18"/>
                <w:szCs w:val="18"/>
                <w:lang w:val="fr-BE"/>
              </w:rPr>
              <w:t>(n = 537)</w:t>
            </w:r>
          </w:p>
        </w:tc>
        <w:tc>
          <w:tcPr>
            <w:tcW w:w="1465" w:type="dxa"/>
            <w:shd w:val="clear" w:color="auto" w:fill="000000" w:themeFill="text1"/>
          </w:tcPr>
          <w:p w14:paraId="5C4AE307" w14:textId="77777777" w:rsidR="0057187E" w:rsidRPr="0057187E" w:rsidRDefault="0057187E" w:rsidP="0057187E">
            <w:pPr>
              <w:rPr>
                <w:sz w:val="18"/>
                <w:szCs w:val="18"/>
                <w:lang w:val="fr-BE"/>
              </w:rPr>
            </w:pPr>
            <w:r w:rsidRPr="0057187E">
              <w:rPr>
                <w:sz w:val="18"/>
                <w:szCs w:val="18"/>
                <w:lang w:val="fr-BE"/>
              </w:rPr>
              <w:t>Female</w:t>
            </w:r>
          </w:p>
          <w:p w14:paraId="3FF46852" w14:textId="77777777" w:rsidR="0057187E" w:rsidRPr="0057187E" w:rsidRDefault="0057187E" w:rsidP="0057187E">
            <w:pPr>
              <w:rPr>
                <w:sz w:val="18"/>
                <w:szCs w:val="18"/>
                <w:lang w:val="fr-BE"/>
              </w:rPr>
            </w:pPr>
            <w:r w:rsidRPr="0057187E">
              <w:rPr>
                <w:sz w:val="18"/>
                <w:szCs w:val="18"/>
                <w:lang w:val="fr-BE"/>
              </w:rPr>
              <w:t>(n = 298)</w:t>
            </w:r>
          </w:p>
        </w:tc>
      </w:tr>
      <w:tr w:rsidR="0057187E" w:rsidRPr="0057187E" w14:paraId="70335C1E" w14:textId="77777777" w:rsidTr="00D21C22">
        <w:trPr>
          <w:trHeight w:val="283"/>
        </w:trPr>
        <w:tc>
          <w:tcPr>
            <w:tcW w:w="10201" w:type="dxa"/>
            <w:gridSpan w:val="4"/>
            <w:shd w:val="clear" w:color="auto" w:fill="D0CECE" w:themeFill="background2" w:themeFillShade="E6"/>
          </w:tcPr>
          <w:p w14:paraId="6FE99CDA" w14:textId="77777777" w:rsidR="0057187E" w:rsidRPr="0057187E" w:rsidRDefault="0057187E" w:rsidP="0057187E">
            <w:pPr>
              <w:rPr>
                <w:b/>
                <w:sz w:val="18"/>
                <w:szCs w:val="18"/>
                <w:lang w:val="fr-BE"/>
              </w:rPr>
            </w:pPr>
            <w:r w:rsidRPr="0057187E">
              <w:rPr>
                <w:b/>
                <w:sz w:val="18"/>
                <w:szCs w:val="18"/>
                <w:lang w:val="fr-BE"/>
              </w:rPr>
              <w:t xml:space="preserve">Baseline </w:t>
            </w:r>
            <w:proofErr w:type="spellStart"/>
            <w:r w:rsidRPr="0057187E">
              <w:rPr>
                <w:b/>
                <w:sz w:val="18"/>
                <w:szCs w:val="18"/>
                <w:lang w:val="fr-BE"/>
              </w:rPr>
              <w:t>characteristics</w:t>
            </w:r>
            <w:proofErr w:type="spellEnd"/>
            <w:r w:rsidRPr="0057187E">
              <w:rPr>
                <w:b/>
                <w:sz w:val="18"/>
                <w:szCs w:val="18"/>
                <w:lang w:val="fr-BE"/>
              </w:rPr>
              <w:t xml:space="preserve"> </w:t>
            </w:r>
          </w:p>
        </w:tc>
      </w:tr>
      <w:tr w:rsidR="0057187E" w:rsidRPr="0057187E" w14:paraId="0E65A660" w14:textId="77777777" w:rsidTr="0057187E">
        <w:trPr>
          <w:trHeight w:val="229"/>
        </w:trPr>
        <w:tc>
          <w:tcPr>
            <w:tcW w:w="5807" w:type="dxa"/>
          </w:tcPr>
          <w:p w14:paraId="7D61CDBA" w14:textId="77777777" w:rsidR="0057187E" w:rsidRPr="0057187E" w:rsidRDefault="0057187E" w:rsidP="0057187E">
            <w:pPr>
              <w:rPr>
                <w:sz w:val="18"/>
                <w:szCs w:val="18"/>
                <w:lang w:val="en-GB"/>
              </w:rPr>
            </w:pPr>
            <w:r w:rsidRPr="0057187E">
              <w:rPr>
                <w:sz w:val="18"/>
                <w:szCs w:val="18"/>
                <w:lang w:val="en-GB"/>
              </w:rPr>
              <w:t>BMI (kg/m²), mean</w:t>
            </w:r>
            <w:r w:rsidRPr="0057187E">
              <w:rPr>
                <w:rFonts w:ascii="Calibri" w:hAnsi="Calibri"/>
                <w:sz w:val="18"/>
                <w:szCs w:val="18"/>
                <w:lang w:val="en-GB"/>
              </w:rPr>
              <w:sym w:font="Symbol" w:char="F0B1"/>
            </w:r>
            <w:r w:rsidRPr="0057187E">
              <w:rPr>
                <w:sz w:val="18"/>
                <w:szCs w:val="18"/>
                <w:lang w:val="en-GB"/>
              </w:rPr>
              <w:t>SD</w:t>
            </w:r>
          </w:p>
        </w:tc>
        <w:tc>
          <w:tcPr>
            <w:tcW w:w="1464" w:type="dxa"/>
          </w:tcPr>
          <w:p w14:paraId="2C1E48E4" w14:textId="77777777" w:rsidR="0057187E" w:rsidRPr="0057187E" w:rsidRDefault="0057187E" w:rsidP="0057187E">
            <w:pPr>
              <w:rPr>
                <w:sz w:val="18"/>
                <w:szCs w:val="18"/>
                <w:lang w:val="fr-BE"/>
              </w:rPr>
            </w:pPr>
            <w:r w:rsidRPr="0057187E">
              <w:rPr>
                <w:sz w:val="18"/>
                <w:szCs w:val="18"/>
                <w:lang w:val="fr-BE"/>
              </w:rPr>
              <w:t>26.7</w:t>
            </w:r>
            <w:r w:rsidRPr="0057187E">
              <w:rPr>
                <w:rFonts w:ascii="Calibri" w:hAnsi="Calibri"/>
                <w:sz w:val="18"/>
                <w:szCs w:val="18"/>
                <w:lang w:val="en-GB"/>
              </w:rPr>
              <w:sym w:font="Symbol" w:char="F0B1"/>
            </w:r>
            <w:r w:rsidRPr="0057187E">
              <w:rPr>
                <w:sz w:val="18"/>
                <w:szCs w:val="18"/>
                <w:lang w:val="fr-BE"/>
              </w:rPr>
              <w:t>4.9</w:t>
            </w:r>
          </w:p>
        </w:tc>
        <w:tc>
          <w:tcPr>
            <w:tcW w:w="1465" w:type="dxa"/>
          </w:tcPr>
          <w:p w14:paraId="20DF1119" w14:textId="77777777" w:rsidR="0057187E" w:rsidRPr="0057187E" w:rsidRDefault="0057187E" w:rsidP="0057187E">
            <w:pPr>
              <w:rPr>
                <w:sz w:val="18"/>
                <w:szCs w:val="18"/>
                <w:lang w:val="fr-BE"/>
              </w:rPr>
            </w:pPr>
            <w:r w:rsidRPr="0057187E">
              <w:rPr>
                <w:sz w:val="18"/>
                <w:szCs w:val="18"/>
                <w:lang w:val="fr-BE"/>
              </w:rPr>
              <w:t>27.2</w:t>
            </w:r>
            <w:r w:rsidRPr="0057187E">
              <w:rPr>
                <w:rFonts w:ascii="Calibri" w:hAnsi="Calibri"/>
                <w:sz w:val="18"/>
                <w:szCs w:val="18"/>
                <w:lang w:val="en-GB"/>
              </w:rPr>
              <w:sym w:font="Symbol" w:char="F0B1"/>
            </w:r>
            <w:r w:rsidRPr="0057187E">
              <w:rPr>
                <w:sz w:val="18"/>
                <w:szCs w:val="18"/>
                <w:lang w:val="fr-BE"/>
              </w:rPr>
              <w:t>4.6</w:t>
            </w:r>
          </w:p>
        </w:tc>
        <w:tc>
          <w:tcPr>
            <w:tcW w:w="1465" w:type="dxa"/>
          </w:tcPr>
          <w:p w14:paraId="289F9D63" w14:textId="77777777" w:rsidR="0057187E" w:rsidRPr="0057187E" w:rsidRDefault="0057187E" w:rsidP="0057187E">
            <w:pPr>
              <w:rPr>
                <w:sz w:val="18"/>
                <w:szCs w:val="18"/>
                <w:lang w:val="fr-BE"/>
              </w:rPr>
            </w:pPr>
            <w:r w:rsidRPr="0057187E">
              <w:rPr>
                <w:sz w:val="18"/>
                <w:szCs w:val="18"/>
                <w:lang w:val="fr-BE"/>
              </w:rPr>
              <w:t>25.7</w:t>
            </w:r>
            <w:r w:rsidRPr="0057187E">
              <w:rPr>
                <w:rFonts w:ascii="Calibri" w:hAnsi="Calibri"/>
                <w:sz w:val="18"/>
                <w:szCs w:val="18"/>
                <w:lang w:val="en-GB"/>
              </w:rPr>
              <w:sym w:font="Symbol" w:char="F0B1"/>
            </w:r>
            <w:r w:rsidRPr="0057187E">
              <w:rPr>
                <w:sz w:val="18"/>
                <w:szCs w:val="18"/>
                <w:lang w:val="fr-BE"/>
              </w:rPr>
              <w:t>5.3</w:t>
            </w:r>
          </w:p>
        </w:tc>
      </w:tr>
      <w:tr w:rsidR="0057187E" w:rsidRPr="0057187E" w14:paraId="2B4572A0" w14:textId="77777777" w:rsidTr="0057187E">
        <w:trPr>
          <w:trHeight w:val="229"/>
        </w:trPr>
        <w:tc>
          <w:tcPr>
            <w:tcW w:w="5807" w:type="dxa"/>
          </w:tcPr>
          <w:p w14:paraId="6CAC6852" w14:textId="77777777" w:rsidR="0057187E" w:rsidRPr="0057187E" w:rsidRDefault="0057187E" w:rsidP="0057187E">
            <w:pPr>
              <w:rPr>
                <w:sz w:val="18"/>
                <w:szCs w:val="18"/>
                <w:lang w:val="en-GB"/>
              </w:rPr>
            </w:pPr>
            <w:r w:rsidRPr="0057187E">
              <w:rPr>
                <w:sz w:val="18"/>
                <w:szCs w:val="18"/>
                <w:lang w:val="en-GB"/>
              </w:rPr>
              <w:t>Age at NL/NC diagnosis (yr), median (IQR)</w:t>
            </w:r>
          </w:p>
        </w:tc>
        <w:tc>
          <w:tcPr>
            <w:tcW w:w="1464" w:type="dxa"/>
          </w:tcPr>
          <w:p w14:paraId="2D2AFB84" w14:textId="77777777" w:rsidR="0057187E" w:rsidRPr="0057187E" w:rsidRDefault="0057187E" w:rsidP="0057187E">
            <w:pPr>
              <w:rPr>
                <w:sz w:val="18"/>
                <w:szCs w:val="18"/>
                <w:lang w:val="fr-BE"/>
              </w:rPr>
            </w:pPr>
            <w:r w:rsidRPr="0057187E">
              <w:rPr>
                <w:sz w:val="18"/>
                <w:szCs w:val="18"/>
                <w:lang w:val="fr-BE"/>
              </w:rPr>
              <w:t>36.0 (25.0-49.0)</w:t>
            </w:r>
          </w:p>
        </w:tc>
        <w:tc>
          <w:tcPr>
            <w:tcW w:w="1465" w:type="dxa"/>
          </w:tcPr>
          <w:p w14:paraId="64FFB5D1" w14:textId="77777777" w:rsidR="0057187E" w:rsidRPr="0057187E" w:rsidRDefault="0057187E" w:rsidP="0057187E">
            <w:pPr>
              <w:rPr>
                <w:sz w:val="18"/>
                <w:szCs w:val="18"/>
                <w:lang w:val="fr-BE"/>
              </w:rPr>
            </w:pPr>
            <w:r w:rsidRPr="0057187E">
              <w:rPr>
                <w:sz w:val="18"/>
                <w:szCs w:val="18"/>
                <w:lang w:val="fr-BE"/>
              </w:rPr>
              <w:t>36.0 (25.0-49.0)</w:t>
            </w:r>
          </w:p>
        </w:tc>
        <w:tc>
          <w:tcPr>
            <w:tcW w:w="1465" w:type="dxa"/>
          </w:tcPr>
          <w:p w14:paraId="40EEFBFA" w14:textId="77777777" w:rsidR="0057187E" w:rsidRPr="0057187E" w:rsidRDefault="0057187E" w:rsidP="0057187E">
            <w:pPr>
              <w:rPr>
                <w:sz w:val="18"/>
                <w:szCs w:val="18"/>
                <w:lang w:val="fr-BE"/>
              </w:rPr>
            </w:pPr>
            <w:r w:rsidRPr="0057187E">
              <w:rPr>
                <w:sz w:val="18"/>
                <w:szCs w:val="18"/>
                <w:lang w:val="fr-BE"/>
              </w:rPr>
              <w:t>36.0 (25.8-51.0)</w:t>
            </w:r>
          </w:p>
        </w:tc>
      </w:tr>
      <w:tr w:rsidR="0057187E" w:rsidRPr="0057187E" w14:paraId="6ECFC6BD" w14:textId="77777777" w:rsidTr="0057187E">
        <w:trPr>
          <w:trHeight w:val="229"/>
        </w:trPr>
        <w:tc>
          <w:tcPr>
            <w:tcW w:w="5807" w:type="dxa"/>
          </w:tcPr>
          <w:p w14:paraId="224B1E92" w14:textId="77777777" w:rsidR="0057187E" w:rsidRPr="0057187E" w:rsidRDefault="0057187E" w:rsidP="0057187E">
            <w:pPr>
              <w:rPr>
                <w:sz w:val="18"/>
                <w:szCs w:val="18"/>
                <w:lang w:val="en-GB"/>
              </w:rPr>
            </w:pPr>
            <w:r w:rsidRPr="0057187E">
              <w:rPr>
                <w:sz w:val="18"/>
                <w:szCs w:val="18"/>
                <w:lang w:val="en-GB"/>
              </w:rPr>
              <w:t>Age at first consultation (yr), median (IQR)</w:t>
            </w:r>
          </w:p>
        </w:tc>
        <w:tc>
          <w:tcPr>
            <w:tcW w:w="1464" w:type="dxa"/>
          </w:tcPr>
          <w:p w14:paraId="36E09497" w14:textId="77777777" w:rsidR="0057187E" w:rsidRPr="0057187E" w:rsidRDefault="0057187E" w:rsidP="0057187E">
            <w:pPr>
              <w:rPr>
                <w:sz w:val="18"/>
                <w:szCs w:val="18"/>
                <w:lang w:val="fr-BE"/>
              </w:rPr>
            </w:pPr>
            <w:r w:rsidRPr="0057187E">
              <w:rPr>
                <w:sz w:val="18"/>
                <w:szCs w:val="18"/>
                <w:lang w:val="fr-BE"/>
              </w:rPr>
              <w:t>47.0 (35.0-58.0)</w:t>
            </w:r>
          </w:p>
        </w:tc>
        <w:tc>
          <w:tcPr>
            <w:tcW w:w="1465" w:type="dxa"/>
          </w:tcPr>
          <w:p w14:paraId="60B13E9E" w14:textId="77777777" w:rsidR="0057187E" w:rsidRPr="0057187E" w:rsidRDefault="0057187E" w:rsidP="0057187E">
            <w:pPr>
              <w:rPr>
                <w:sz w:val="18"/>
                <w:szCs w:val="18"/>
                <w:lang w:val="fr-BE"/>
              </w:rPr>
            </w:pPr>
            <w:r w:rsidRPr="0057187E">
              <w:rPr>
                <w:sz w:val="18"/>
                <w:szCs w:val="18"/>
                <w:lang w:val="fr-BE"/>
              </w:rPr>
              <w:t>47.0 (36.0-57.0)</w:t>
            </w:r>
          </w:p>
        </w:tc>
        <w:tc>
          <w:tcPr>
            <w:tcW w:w="1465" w:type="dxa"/>
          </w:tcPr>
          <w:p w14:paraId="0ABC2478" w14:textId="77777777" w:rsidR="0057187E" w:rsidRPr="0057187E" w:rsidRDefault="0057187E" w:rsidP="0057187E">
            <w:pPr>
              <w:rPr>
                <w:sz w:val="18"/>
                <w:szCs w:val="18"/>
                <w:lang w:val="fr-BE"/>
              </w:rPr>
            </w:pPr>
            <w:r w:rsidRPr="0057187E">
              <w:rPr>
                <w:sz w:val="18"/>
                <w:szCs w:val="18"/>
                <w:lang w:val="fr-BE"/>
              </w:rPr>
              <w:t>47.0 (35.0-58.0)</w:t>
            </w:r>
          </w:p>
        </w:tc>
      </w:tr>
      <w:tr w:rsidR="0057187E" w:rsidRPr="0057187E" w14:paraId="0E0FE34A" w14:textId="77777777" w:rsidTr="0057187E">
        <w:trPr>
          <w:trHeight w:val="229"/>
        </w:trPr>
        <w:tc>
          <w:tcPr>
            <w:tcW w:w="5807" w:type="dxa"/>
          </w:tcPr>
          <w:p w14:paraId="340834E0" w14:textId="77777777" w:rsidR="0057187E" w:rsidRPr="0057187E" w:rsidRDefault="0057187E" w:rsidP="0057187E">
            <w:pPr>
              <w:rPr>
                <w:sz w:val="18"/>
                <w:szCs w:val="18"/>
                <w:lang w:val="en-GB"/>
              </w:rPr>
            </w:pPr>
            <w:r w:rsidRPr="0057187E">
              <w:rPr>
                <w:sz w:val="18"/>
                <w:szCs w:val="18"/>
                <w:lang w:val="en-GB"/>
              </w:rPr>
              <w:t>Interval between NL/NC diagnosis and first consultation (yr), median (IQR)</w:t>
            </w:r>
          </w:p>
        </w:tc>
        <w:tc>
          <w:tcPr>
            <w:tcW w:w="1464" w:type="dxa"/>
          </w:tcPr>
          <w:p w14:paraId="39E144BA" w14:textId="77777777" w:rsidR="0057187E" w:rsidRPr="0057187E" w:rsidRDefault="0057187E" w:rsidP="0057187E">
            <w:pPr>
              <w:rPr>
                <w:sz w:val="18"/>
                <w:szCs w:val="18"/>
              </w:rPr>
            </w:pPr>
            <w:r w:rsidRPr="0057187E">
              <w:rPr>
                <w:sz w:val="18"/>
                <w:szCs w:val="18"/>
              </w:rPr>
              <w:t>3.7 (0.4-12.1)</w:t>
            </w:r>
          </w:p>
        </w:tc>
        <w:tc>
          <w:tcPr>
            <w:tcW w:w="1465" w:type="dxa"/>
          </w:tcPr>
          <w:p w14:paraId="121654C3" w14:textId="77777777" w:rsidR="0057187E" w:rsidRPr="0057187E" w:rsidRDefault="0057187E" w:rsidP="0057187E">
            <w:pPr>
              <w:rPr>
                <w:sz w:val="18"/>
                <w:szCs w:val="18"/>
              </w:rPr>
            </w:pPr>
            <w:r w:rsidRPr="0057187E">
              <w:rPr>
                <w:sz w:val="18"/>
                <w:szCs w:val="18"/>
              </w:rPr>
              <w:t>4.7 (0.5-13.1)</w:t>
            </w:r>
          </w:p>
        </w:tc>
        <w:tc>
          <w:tcPr>
            <w:tcW w:w="1465" w:type="dxa"/>
          </w:tcPr>
          <w:p w14:paraId="7DBE715C" w14:textId="77777777" w:rsidR="0057187E" w:rsidRPr="0057187E" w:rsidRDefault="0057187E" w:rsidP="0057187E">
            <w:pPr>
              <w:rPr>
                <w:sz w:val="18"/>
                <w:szCs w:val="18"/>
              </w:rPr>
            </w:pPr>
            <w:r w:rsidRPr="0057187E">
              <w:rPr>
                <w:sz w:val="18"/>
                <w:szCs w:val="18"/>
              </w:rPr>
              <w:t>0.1 (0.4-10.5)</w:t>
            </w:r>
          </w:p>
        </w:tc>
      </w:tr>
      <w:tr w:rsidR="0057187E" w:rsidRPr="0057187E" w14:paraId="1F941806" w14:textId="77777777" w:rsidTr="00D21C22">
        <w:trPr>
          <w:trHeight w:val="283"/>
        </w:trPr>
        <w:tc>
          <w:tcPr>
            <w:tcW w:w="10201" w:type="dxa"/>
            <w:gridSpan w:val="4"/>
            <w:shd w:val="clear" w:color="auto" w:fill="D0CECE" w:themeFill="background2" w:themeFillShade="E6"/>
          </w:tcPr>
          <w:p w14:paraId="128F53F2" w14:textId="77777777" w:rsidR="0057187E" w:rsidRPr="0057187E" w:rsidRDefault="0057187E" w:rsidP="0057187E">
            <w:pPr>
              <w:rPr>
                <w:b/>
                <w:sz w:val="18"/>
                <w:szCs w:val="18"/>
              </w:rPr>
            </w:pPr>
            <w:proofErr w:type="spellStart"/>
            <w:r w:rsidRPr="0057187E">
              <w:rPr>
                <w:b/>
                <w:sz w:val="18"/>
                <w:szCs w:val="18"/>
              </w:rPr>
              <w:t>Ethnicities</w:t>
            </w:r>
            <w:proofErr w:type="spellEnd"/>
            <w:r w:rsidRPr="0057187E">
              <w:rPr>
                <w:b/>
                <w:sz w:val="18"/>
                <w:szCs w:val="18"/>
              </w:rPr>
              <w:t xml:space="preserve"> </w:t>
            </w:r>
          </w:p>
        </w:tc>
      </w:tr>
      <w:tr w:rsidR="0057187E" w:rsidRPr="0057187E" w14:paraId="61D43067" w14:textId="77777777" w:rsidTr="0057187E">
        <w:trPr>
          <w:trHeight w:val="229"/>
        </w:trPr>
        <w:tc>
          <w:tcPr>
            <w:tcW w:w="5807" w:type="dxa"/>
          </w:tcPr>
          <w:p w14:paraId="0F6A5EFF" w14:textId="77777777" w:rsidR="0057187E" w:rsidRPr="0057187E" w:rsidRDefault="0057187E" w:rsidP="0057187E">
            <w:pPr>
              <w:rPr>
                <w:sz w:val="18"/>
                <w:szCs w:val="18"/>
                <w:lang w:val="en-GB"/>
              </w:rPr>
            </w:pPr>
            <w:r w:rsidRPr="0057187E">
              <w:rPr>
                <w:sz w:val="18"/>
                <w:szCs w:val="18"/>
                <w:lang w:val="en-GB"/>
              </w:rPr>
              <w:t xml:space="preserve">Caucasian </w:t>
            </w:r>
          </w:p>
        </w:tc>
        <w:tc>
          <w:tcPr>
            <w:tcW w:w="1464" w:type="dxa"/>
          </w:tcPr>
          <w:p w14:paraId="7ECB14AE" w14:textId="77777777" w:rsidR="0057187E" w:rsidRPr="0057187E" w:rsidRDefault="0057187E" w:rsidP="0057187E">
            <w:pPr>
              <w:rPr>
                <w:sz w:val="18"/>
                <w:szCs w:val="18"/>
              </w:rPr>
            </w:pPr>
            <w:r w:rsidRPr="0057187E">
              <w:rPr>
                <w:sz w:val="18"/>
                <w:szCs w:val="18"/>
              </w:rPr>
              <w:t>600</w:t>
            </w:r>
          </w:p>
        </w:tc>
        <w:tc>
          <w:tcPr>
            <w:tcW w:w="1465" w:type="dxa"/>
          </w:tcPr>
          <w:p w14:paraId="4FE55251" w14:textId="77777777" w:rsidR="0057187E" w:rsidRPr="0057187E" w:rsidRDefault="0057187E" w:rsidP="0057187E">
            <w:pPr>
              <w:rPr>
                <w:sz w:val="18"/>
                <w:szCs w:val="18"/>
              </w:rPr>
            </w:pPr>
            <w:r w:rsidRPr="0057187E">
              <w:rPr>
                <w:sz w:val="18"/>
                <w:szCs w:val="18"/>
              </w:rPr>
              <w:t>382</w:t>
            </w:r>
          </w:p>
        </w:tc>
        <w:tc>
          <w:tcPr>
            <w:tcW w:w="1465" w:type="dxa"/>
          </w:tcPr>
          <w:p w14:paraId="2B93D80D" w14:textId="77777777" w:rsidR="0057187E" w:rsidRPr="0057187E" w:rsidRDefault="0057187E" w:rsidP="0057187E">
            <w:pPr>
              <w:rPr>
                <w:sz w:val="18"/>
                <w:szCs w:val="18"/>
              </w:rPr>
            </w:pPr>
            <w:r w:rsidRPr="0057187E">
              <w:rPr>
                <w:sz w:val="18"/>
                <w:szCs w:val="18"/>
              </w:rPr>
              <w:t>218</w:t>
            </w:r>
          </w:p>
        </w:tc>
      </w:tr>
      <w:tr w:rsidR="0057187E" w:rsidRPr="0057187E" w14:paraId="67A7C05A" w14:textId="77777777" w:rsidTr="0057187E">
        <w:trPr>
          <w:trHeight w:val="229"/>
        </w:trPr>
        <w:tc>
          <w:tcPr>
            <w:tcW w:w="5807" w:type="dxa"/>
          </w:tcPr>
          <w:p w14:paraId="2451DCC6" w14:textId="77777777" w:rsidR="0057187E" w:rsidRPr="0057187E" w:rsidRDefault="0057187E" w:rsidP="0057187E">
            <w:pPr>
              <w:rPr>
                <w:sz w:val="18"/>
                <w:szCs w:val="18"/>
                <w:lang w:val="en-GB"/>
              </w:rPr>
            </w:pPr>
            <w:r w:rsidRPr="0057187E">
              <w:rPr>
                <w:sz w:val="18"/>
                <w:szCs w:val="18"/>
                <w:lang w:val="en-GB"/>
              </w:rPr>
              <w:t xml:space="preserve">Middle-East and North-African </w:t>
            </w:r>
          </w:p>
        </w:tc>
        <w:tc>
          <w:tcPr>
            <w:tcW w:w="1464" w:type="dxa"/>
          </w:tcPr>
          <w:p w14:paraId="738F6D58" w14:textId="77777777" w:rsidR="0057187E" w:rsidRPr="0057187E" w:rsidRDefault="0057187E" w:rsidP="0057187E">
            <w:pPr>
              <w:rPr>
                <w:sz w:val="18"/>
                <w:szCs w:val="18"/>
              </w:rPr>
            </w:pPr>
            <w:r w:rsidRPr="0057187E">
              <w:rPr>
                <w:sz w:val="18"/>
                <w:szCs w:val="18"/>
              </w:rPr>
              <w:t>204</w:t>
            </w:r>
          </w:p>
        </w:tc>
        <w:tc>
          <w:tcPr>
            <w:tcW w:w="1465" w:type="dxa"/>
          </w:tcPr>
          <w:p w14:paraId="6062CBDE" w14:textId="77777777" w:rsidR="0057187E" w:rsidRPr="0057187E" w:rsidRDefault="0057187E" w:rsidP="0057187E">
            <w:pPr>
              <w:rPr>
                <w:sz w:val="18"/>
                <w:szCs w:val="18"/>
              </w:rPr>
            </w:pPr>
            <w:r w:rsidRPr="0057187E">
              <w:rPr>
                <w:sz w:val="18"/>
                <w:szCs w:val="18"/>
              </w:rPr>
              <w:t>138</w:t>
            </w:r>
          </w:p>
        </w:tc>
        <w:tc>
          <w:tcPr>
            <w:tcW w:w="1465" w:type="dxa"/>
          </w:tcPr>
          <w:p w14:paraId="4933EA13" w14:textId="77777777" w:rsidR="0057187E" w:rsidRPr="0057187E" w:rsidRDefault="0057187E" w:rsidP="0057187E">
            <w:pPr>
              <w:rPr>
                <w:sz w:val="18"/>
                <w:szCs w:val="18"/>
              </w:rPr>
            </w:pPr>
            <w:r w:rsidRPr="0057187E">
              <w:rPr>
                <w:sz w:val="18"/>
                <w:szCs w:val="18"/>
              </w:rPr>
              <w:t>66</w:t>
            </w:r>
          </w:p>
        </w:tc>
      </w:tr>
      <w:tr w:rsidR="0057187E" w:rsidRPr="0057187E" w14:paraId="69685366" w14:textId="77777777" w:rsidTr="0057187E">
        <w:trPr>
          <w:trHeight w:val="229"/>
        </w:trPr>
        <w:tc>
          <w:tcPr>
            <w:tcW w:w="5807" w:type="dxa"/>
          </w:tcPr>
          <w:p w14:paraId="298B3AA7" w14:textId="77777777" w:rsidR="0057187E" w:rsidRPr="0057187E" w:rsidRDefault="0057187E" w:rsidP="0057187E">
            <w:pPr>
              <w:rPr>
                <w:sz w:val="18"/>
                <w:szCs w:val="18"/>
                <w:lang w:val="en-GB"/>
              </w:rPr>
            </w:pPr>
            <w:r w:rsidRPr="0057187E">
              <w:rPr>
                <w:sz w:val="18"/>
                <w:szCs w:val="18"/>
                <w:lang w:val="en-GB"/>
              </w:rPr>
              <w:t>Hispanic</w:t>
            </w:r>
          </w:p>
        </w:tc>
        <w:tc>
          <w:tcPr>
            <w:tcW w:w="1464" w:type="dxa"/>
          </w:tcPr>
          <w:p w14:paraId="5D55D91B" w14:textId="77777777" w:rsidR="0057187E" w:rsidRPr="0057187E" w:rsidRDefault="0057187E" w:rsidP="0057187E">
            <w:pPr>
              <w:rPr>
                <w:sz w:val="18"/>
                <w:szCs w:val="18"/>
              </w:rPr>
            </w:pPr>
            <w:r w:rsidRPr="0057187E">
              <w:rPr>
                <w:sz w:val="18"/>
                <w:szCs w:val="18"/>
              </w:rPr>
              <w:t>14</w:t>
            </w:r>
          </w:p>
        </w:tc>
        <w:tc>
          <w:tcPr>
            <w:tcW w:w="1465" w:type="dxa"/>
          </w:tcPr>
          <w:p w14:paraId="4176C2BD" w14:textId="77777777" w:rsidR="0057187E" w:rsidRPr="0057187E" w:rsidRDefault="0057187E" w:rsidP="0057187E">
            <w:pPr>
              <w:rPr>
                <w:sz w:val="18"/>
                <w:szCs w:val="18"/>
              </w:rPr>
            </w:pPr>
            <w:r w:rsidRPr="0057187E">
              <w:rPr>
                <w:sz w:val="18"/>
                <w:szCs w:val="18"/>
              </w:rPr>
              <w:t>8</w:t>
            </w:r>
          </w:p>
        </w:tc>
        <w:tc>
          <w:tcPr>
            <w:tcW w:w="1465" w:type="dxa"/>
          </w:tcPr>
          <w:p w14:paraId="0419B603" w14:textId="77777777" w:rsidR="0057187E" w:rsidRPr="0057187E" w:rsidRDefault="0057187E" w:rsidP="0057187E">
            <w:pPr>
              <w:rPr>
                <w:sz w:val="18"/>
                <w:szCs w:val="18"/>
              </w:rPr>
            </w:pPr>
            <w:r w:rsidRPr="0057187E">
              <w:rPr>
                <w:sz w:val="18"/>
                <w:szCs w:val="18"/>
              </w:rPr>
              <w:t>6</w:t>
            </w:r>
          </w:p>
        </w:tc>
      </w:tr>
      <w:tr w:rsidR="0057187E" w:rsidRPr="0057187E" w14:paraId="6FE3AAB7" w14:textId="77777777" w:rsidTr="0057187E">
        <w:trPr>
          <w:trHeight w:val="229"/>
        </w:trPr>
        <w:tc>
          <w:tcPr>
            <w:tcW w:w="5807" w:type="dxa"/>
          </w:tcPr>
          <w:p w14:paraId="625466BD" w14:textId="77777777" w:rsidR="0057187E" w:rsidRPr="0057187E" w:rsidRDefault="0057187E" w:rsidP="0057187E">
            <w:pPr>
              <w:rPr>
                <w:sz w:val="18"/>
                <w:szCs w:val="18"/>
                <w:lang w:val="en-GB"/>
              </w:rPr>
            </w:pPr>
            <w:r w:rsidRPr="0057187E">
              <w:rPr>
                <w:sz w:val="18"/>
                <w:szCs w:val="18"/>
                <w:lang w:val="en-GB"/>
              </w:rPr>
              <w:t>Black</w:t>
            </w:r>
          </w:p>
        </w:tc>
        <w:tc>
          <w:tcPr>
            <w:tcW w:w="1464" w:type="dxa"/>
          </w:tcPr>
          <w:p w14:paraId="5AF65612" w14:textId="77777777" w:rsidR="0057187E" w:rsidRPr="0057187E" w:rsidRDefault="0057187E" w:rsidP="0057187E">
            <w:pPr>
              <w:rPr>
                <w:sz w:val="18"/>
                <w:szCs w:val="18"/>
              </w:rPr>
            </w:pPr>
            <w:r w:rsidRPr="0057187E">
              <w:rPr>
                <w:sz w:val="18"/>
                <w:szCs w:val="18"/>
              </w:rPr>
              <w:t>9</w:t>
            </w:r>
          </w:p>
        </w:tc>
        <w:tc>
          <w:tcPr>
            <w:tcW w:w="1465" w:type="dxa"/>
          </w:tcPr>
          <w:p w14:paraId="3750E295" w14:textId="77777777" w:rsidR="0057187E" w:rsidRPr="0057187E" w:rsidRDefault="0057187E" w:rsidP="0057187E">
            <w:pPr>
              <w:rPr>
                <w:sz w:val="18"/>
                <w:szCs w:val="18"/>
              </w:rPr>
            </w:pPr>
            <w:r w:rsidRPr="0057187E">
              <w:rPr>
                <w:sz w:val="18"/>
                <w:szCs w:val="18"/>
              </w:rPr>
              <w:t>5</w:t>
            </w:r>
          </w:p>
        </w:tc>
        <w:tc>
          <w:tcPr>
            <w:tcW w:w="1465" w:type="dxa"/>
          </w:tcPr>
          <w:p w14:paraId="35113324" w14:textId="77777777" w:rsidR="0057187E" w:rsidRPr="0057187E" w:rsidRDefault="0057187E" w:rsidP="0057187E">
            <w:pPr>
              <w:rPr>
                <w:sz w:val="18"/>
                <w:szCs w:val="18"/>
              </w:rPr>
            </w:pPr>
            <w:r w:rsidRPr="0057187E">
              <w:rPr>
                <w:sz w:val="18"/>
                <w:szCs w:val="18"/>
              </w:rPr>
              <w:t>4</w:t>
            </w:r>
          </w:p>
        </w:tc>
      </w:tr>
      <w:tr w:rsidR="0057187E" w:rsidRPr="0057187E" w14:paraId="439834CE" w14:textId="77777777" w:rsidTr="0057187E">
        <w:trPr>
          <w:trHeight w:val="229"/>
        </w:trPr>
        <w:tc>
          <w:tcPr>
            <w:tcW w:w="5807" w:type="dxa"/>
          </w:tcPr>
          <w:p w14:paraId="0C1928FE" w14:textId="77777777" w:rsidR="0057187E" w:rsidRPr="0057187E" w:rsidRDefault="0057187E" w:rsidP="0057187E">
            <w:pPr>
              <w:rPr>
                <w:sz w:val="18"/>
                <w:szCs w:val="18"/>
                <w:lang w:val="en-GB"/>
              </w:rPr>
            </w:pPr>
            <w:r w:rsidRPr="0057187E">
              <w:rPr>
                <w:sz w:val="18"/>
                <w:szCs w:val="18"/>
                <w:lang w:val="en-GB"/>
              </w:rPr>
              <w:t xml:space="preserve">Asian </w:t>
            </w:r>
          </w:p>
        </w:tc>
        <w:tc>
          <w:tcPr>
            <w:tcW w:w="1464" w:type="dxa"/>
          </w:tcPr>
          <w:p w14:paraId="3C464B26" w14:textId="77777777" w:rsidR="0057187E" w:rsidRPr="0057187E" w:rsidRDefault="0057187E" w:rsidP="0057187E">
            <w:pPr>
              <w:rPr>
                <w:sz w:val="18"/>
                <w:szCs w:val="18"/>
              </w:rPr>
            </w:pPr>
            <w:r w:rsidRPr="0057187E">
              <w:rPr>
                <w:sz w:val="18"/>
                <w:szCs w:val="18"/>
              </w:rPr>
              <w:t>8</w:t>
            </w:r>
          </w:p>
        </w:tc>
        <w:tc>
          <w:tcPr>
            <w:tcW w:w="1465" w:type="dxa"/>
          </w:tcPr>
          <w:p w14:paraId="6FBDD774" w14:textId="77777777" w:rsidR="0057187E" w:rsidRPr="0057187E" w:rsidRDefault="0057187E" w:rsidP="0057187E">
            <w:pPr>
              <w:rPr>
                <w:sz w:val="18"/>
                <w:szCs w:val="18"/>
              </w:rPr>
            </w:pPr>
            <w:r w:rsidRPr="0057187E">
              <w:rPr>
                <w:sz w:val="18"/>
                <w:szCs w:val="18"/>
              </w:rPr>
              <w:t>5</w:t>
            </w:r>
          </w:p>
        </w:tc>
        <w:tc>
          <w:tcPr>
            <w:tcW w:w="1465" w:type="dxa"/>
          </w:tcPr>
          <w:p w14:paraId="60FF777F" w14:textId="77777777" w:rsidR="0057187E" w:rsidRPr="0057187E" w:rsidRDefault="0057187E" w:rsidP="0057187E">
            <w:pPr>
              <w:rPr>
                <w:sz w:val="18"/>
                <w:szCs w:val="18"/>
              </w:rPr>
            </w:pPr>
            <w:r w:rsidRPr="0057187E">
              <w:rPr>
                <w:sz w:val="18"/>
                <w:szCs w:val="18"/>
              </w:rPr>
              <w:t>3</w:t>
            </w:r>
          </w:p>
        </w:tc>
      </w:tr>
    </w:tbl>
    <w:p w14:paraId="3819876B" w14:textId="3C349756" w:rsidR="0057187E" w:rsidRDefault="0057187E" w:rsidP="005769F3">
      <w:pPr>
        <w:spacing w:line="480" w:lineRule="auto"/>
        <w:jc w:val="both"/>
        <w:rPr>
          <w:lang w:val="en-GB"/>
        </w:rPr>
      </w:pPr>
    </w:p>
    <w:p w14:paraId="489EA1D2" w14:textId="77777777" w:rsidR="0057187E" w:rsidRDefault="0057187E" w:rsidP="005769F3">
      <w:pPr>
        <w:spacing w:line="480" w:lineRule="auto"/>
        <w:jc w:val="both"/>
        <w:rPr>
          <w:lang w:val="en-GB"/>
        </w:rPr>
      </w:pPr>
    </w:p>
    <w:p w14:paraId="3164B239" w14:textId="7FF1C594" w:rsidR="001B324E" w:rsidRPr="0003492B" w:rsidRDefault="001B324E" w:rsidP="00CC6FA2">
      <w:pPr>
        <w:pStyle w:val="Kop3"/>
        <w:numPr>
          <w:ilvl w:val="1"/>
          <w:numId w:val="7"/>
        </w:numPr>
        <w:spacing w:line="480" w:lineRule="auto"/>
        <w:rPr>
          <w:lang w:val="en-GB"/>
        </w:rPr>
      </w:pPr>
      <w:bookmarkStart w:id="79" w:name="_Toc68163865"/>
      <w:bookmarkStart w:id="80" w:name="_Toc68333376"/>
      <w:bookmarkStart w:id="81" w:name="_Toc68704050"/>
      <w:bookmarkStart w:id="82" w:name="_Toc70154213"/>
      <w:bookmarkStart w:id="83" w:name="_Toc70238564"/>
      <w:r w:rsidRPr="0003492B">
        <w:rPr>
          <w:lang w:val="en-GB"/>
        </w:rPr>
        <w:lastRenderedPageBreak/>
        <w:t>Stone compositions</w:t>
      </w:r>
      <w:bookmarkEnd w:id="79"/>
      <w:bookmarkEnd w:id="80"/>
      <w:bookmarkEnd w:id="81"/>
      <w:bookmarkEnd w:id="82"/>
      <w:bookmarkEnd w:id="83"/>
    </w:p>
    <w:p w14:paraId="7C654B0E" w14:textId="09D25508" w:rsidR="00BA74AC" w:rsidRDefault="00BA74AC" w:rsidP="005769F3">
      <w:pPr>
        <w:spacing w:line="480" w:lineRule="auto"/>
        <w:jc w:val="both"/>
        <w:rPr>
          <w:lang w:val="en-GB"/>
        </w:rPr>
      </w:pPr>
      <w:r>
        <w:rPr>
          <w:lang w:val="en-GB"/>
        </w:rPr>
        <w:t>I</w:t>
      </w:r>
      <w:r w:rsidRPr="00BA74AC">
        <w:rPr>
          <w:lang w:val="en-GB"/>
        </w:rPr>
        <w:t xml:space="preserve">n </w:t>
      </w:r>
      <w:r w:rsidR="00A837DE">
        <w:rPr>
          <w:lang w:val="en-GB"/>
        </w:rPr>
        <w:t>482 patients</w:t>
      </w:r>
      <w:r w:rsidR="00805D3C">
        <w:rPr>
          <w:lang w:val="en-GB"/>
        </w:rPr>
        <w:t xml:space="preserve"> (</w:t>
      </w:r>
      <w:r w:rsidRPr="00BA74AC">
        <w:rPr>
          <w:lang w:val="en-GB"/>
        </w:rPr>
        <w:t>57.</w:t>
      </w:r>
      <w:r>
        <w:rPr>
          <w:lang w:val="en-GB"/>
        </w:rPr>
        <w:t>7</w:t>
      </w:r>
      <w:r w:rsidRPr="00BA74AC">
        <w:rPr>
          <w:lang w:val="en-GB"/>
        </w:rPr>
        <w:t>%</w:t>
      </w:r>
      <w:r w:rsidR="00805D3C">
        <w:rPr>
          <w:lang w:val="en-GB"/>
        </w:rPr>
        <w:t>)</w:t>
      </w:r>
      <w:r w:rsidRPr="00BA74AC">
        <w:rPr>
          <w:lang w:val="en-GB"/>
        </w:rPr>
        <w:t>, the stone composition</w:t>
      </w:r>
      <w:r w:rsidR="006211C9">
        <w:rPr>
          <w:lang w:val="en-GB"/>
        </w:rPr>
        <w:t xml:space="preserve">, </w:t>
      </w:r>
      <w:r w:rsidR="00114BFB">
        <w:rPr>
          <w:lang w:val="en-GB"/>
        </w:rPr>
        <w:t xml:space="preserve">examined </w:t>
      </w:r>
      <w:r w:rsidR="006211C9">
        <w:rPr>
          <w:lang w:val="en-GB"/>
        </w:rPr>
        <w:t xml:space="preserve">by </w:t>
      </w:r>
      <w:proofErr w:type="spellStart"/>
      <w:r w:rsidR="006211C9">
        <w:rPr>
          <w:lang w:val="en-GB"/>
        </w:rPr>
        <w:t>morphoconstitutional</w:t>
      </w:r>
      <w:proofErr w:type="spellEnd"/>
      <w:r w:rsidR="006211C9">
        <w:rPr>
          <w:lang w:val="en-GB"/>
        </w:rPr>
        <w:t xml:space="preserve"> analysis including Fourier-transform infrared spectroscopy</w:t>
      </w:r>
      <w:r w:rsidR="00DF1697">
        <w:rPr>
          <w:lang w:val="en-GB"/>
        </w:rPr>
        <w:t>,</w:t>
      </w:r>
      <w:r w:rsidRPr="00BA74AC">
        <w:rPr>
          <w:lang w:val="en-GB"/>
        </w:rPr>
        <w:t xml:space="preserve"> was known</w:t>
      </w:r>
      <w:r>
        <w:rPr>
          <w:lang w:val="en-GB"/>
        </w:rPr>
        <w:t>. Of these, 7</w:t>
      </w:r>
      <w:r w:rsidR="00A66312">
        <w:rPr>
          <w:lang w:val="en-GB"/>
        </w:rPr>
        <w:t>3</w:t>
      </w:r>
      <w:r>
        <w:rPr>
          <w:lang w:val="en-GB"/>
        </w:rPr>
        <w:t>.</w:t>
      </w:r>
      <w:r w:rsidR="00A66312">
        <w:rPr>
          <w:lang w:val="en-GB"/>
        </w:rPr>
        <w:t>9</w:t>
      </w:r>
      <w:r>
        <w:rPr>
          <w:lang w:val="en-GB"/>
        </w:rPr>
        <w:t>% were calcium</w:t>
      </w:r>
      <w:r w:rsidR="00DF1697">
        <w:rPr>
          <w:lang w:val="en-GB"/>
        </w:rPr>
        <w:t xml:space="preserve"> </w:t>
      </w:r>
      <w:r>
        <w:rPr>
          <w:lang w:val="en-GB"/>
        </w:rPr>
        <w:t xml:space="preserve">oxalate stones, 7.7% uric acid stones, 4.4% cystine stones,  3.9% mixed stones , 2.9% calcium phosphate stones, 2.3% struvite stones and 2.1% brushite stones. </w:t>
      </w:r>
    </w:p>
    <w:p w14:paraId="7444DF30" w14:textId="64161B3E" w:rsidR="00C115BF" w:rsidRDefault="00C115BF" w:rsidP="005769F3">
      <w:pPr>
        <w:spacing w:after="0" w:line="480" w:lineRule="auto"/>
        <w:jc w:val="both"/>
        <w:rPr>
          <w:lang w:val="en-GB"/>
        </w:rPr>
      </w:pPr>
      <w:r w:rsidRPr="00C115BF">
        <w:rPr>
          <w:lang w:val="en-GB"/>
        </w:rPr>
        <w:t xml:space="preserve">Table </w:t>
      </w:r>
      <w:r w:rsidR="00DD0388">
        <w:rPr>
          <w:lang w:val="en-GB"/>
        </w:rPr>
        <w:t>4</w:t>
      </w:r>
      <w:r w:rsidRPr="00C115BF">
        <w:rPr>
          <w:lang w:val="en-GB"/>
        </w:rPr>
        <w:t xml:space="preserve"> demonstrates the distribution of stone</w:t>
      </w:r>
      <w:r>
        <w:rPr>
          <w:lang w:val="en-GB"/>
        </w:rPr>
        <w:t xml:space="preserve"> compositions </w:t>
      </w:r>
      <w:r w:rsidR="006211C9">
        <w:rPr>
          <w:lang w:val="en-GB"/>
        </w:rPr>
        <w:t xml:space="preserve">in the entire study population and categorized </w:t>
      </w:r>
      <w:r>
        <w:rPr>
          <w:lang w:val="en-GB"/>
        </w:rPr>
        <w:t xml:space="preserve">by ethnicity. </w:t>
      </w:r>
      <w:r w:rsidR="000B2129">
        <w:rPr>
          <w:lang w:val="en-GB"/>
        </w:rPr>
        <w:t xml:space="preserve">Overall, </w:t>
      </w:r>
      <w:r>
        <w:rPr>
          <w:lang w:val="en-GB"/>
        </w:rPr>
        <w:t>calcium</w:t>
      </w:r>
      <w:r w:rsidR="00DF1697">
        <w:rPr>
          <w:lang w:val="en-GB"/>
        </w:rPr>
        <w:t xml:space="preserve"> </w:t>
      </w:r>
      <w:r>
        <w:rPr>
          <w:lang w:val="en-GB"/>
        </w:rPr>
        <w:t>oxalate stones were the most common</w:t>
      </w:r>
      <w:r w:rsidR="000B2129">
        <w:rPr>
          <w:lang w:val="en-GB"/>
        </w:rPr>
        <w:t xml:space="preserve"> </w:t>
      </w:r>
      <w:r w:rsidR="006211C9">
        <w:rPr>
          <w:lang w:val="en-GB"/>
        </w:rPr>
        <w:t xml:space="preserve">stones in all ethnicities, except for the Black population where the only kidney stone with known composition was uric acid. </w:t>
      </w:r>
    </w:p>
    <w:p w14:paraId="49157974" w14:textId="77777777" w:rsidR="0057187E" w:rsidRPr="00800B07" w:rsidRDefault="0057187E" w:rsidP="0057187E">
      <w:pPr>
        <w:rPr>
          <w:lang w:val="en-GB"/>
        </w:rPr>
      </w:pPr>
      <w:r w:rsidRPr="00800B07">
        <w:rPr>
          <w:u w:val="single"/>
          <w:lang w:val="en-GB"/>
        </w:rPr>
        <w:t>Table 4:</w:t>
      </w:r>
      <w:r w:rsidRPr="00800B07">
        <w:rPr>
          <w:lang w:val="en-GB"/>
        </w:rPr>
        <w:t xml:space="preserve"> stone compositions in patients with known stone composition</w:t>
      </w:r>
    </w:p>
    <w:tbl>
      <w:tblPr>
        <w:tblStyle w:val="Tabelraster"/>
        <w:tblW w:w="8986" w:type="dxa"/>
        <w:tblInd w:w="-15" w:type="dxa"/>
        <w:tblLayout w:type="fixed"/>
        <w:tblLook w:val="04A0" w:firstRow="1" w:lastRow="0" w:firstColumn="1" w:lastColumn="0" w:noHBand="0" w:noVBand="1"/>
      </w:tblPr>
      <w:tblGrid>
        <w:gridCol w:w="1979"/>
        <w:gridCol w:w="1001"/>
        <w:gridCol w:w="1001"/>
        <w:gridCol w:w="1001"/>
        <w:gridCol w:w="1001"/>
        <w:gridCol w:w="1001"/>
        <w:gridCol w:w="1001"/>
        <w:gridCol w:w="1001"/>
      </w:tblGrid>
      <w:tr w:rsidR="0057187E" w:rsidRPr="00800B07" w14:paraId="1AA1FA9B" w14:textId="77777777" w:rsidTr="0057187E">
        <w:trPr>
          <w:trHeight w:val="800"/>
        </w:trPr>
        <w:tc>
          <w:tcPr>
            <w:tcW w:w="1979" w:type="dxa"/>
            <w:tcBorders>
              <w:top w:val="single" w:sz="12" w:space="0" w:color="auto"/>
              <w:left w:val="single" w:sz="12" w:space="0" w:color="auto"/>
              <w:bottom w:val="single" w:sz="12" w:space="0" w:color="auto"/>
            </w:tcBorders>
            <w:shd w:val="clear" w:color="auto" w:fill="000000" w:themeFill="text1"/>
          </w:tcPr>
          <w:p w14:paraId="57E14536" w14:textId="77777777" w:rsidR="0057187E" w:rsidRPr="0057187E" w:rsidRDefault="0057187E" w:rsidP="0057187E">
            <w:pPr>
              <w:rPr>
                <w:sz w:val="18"/>
                <w:szCs w:val="18"/>
              </w:rPr>
            </w:pPr>
            <w:proofErr w:type="spellStart"/>
            <w:r w:rsidRPr="0057187E">
              <w:rPr>
                <w:sz w:val="18"/>
                <w:szCs w:val="18"/>
              </w:rPr>
              <w:t>Etnicity</w:t>
            </w:r>
            <w:proofErr w:type="spellEnd"/>
          </w:p>
        </w:tc>
        <w:tc>
          <w:tcPr>
            <w:tcW w:w="1001" w:type="dxa"/>
            <w:tcBorders>
              <w:bottom w:val="single" w:sz="12" w:space="0" w:color="auto"/>
            </w:tcBorders>
            <w:shd w:val="clear" w:color="auto" w:fill="000000" w:themeFill="text1"/>
          </w:tcPr>
          <w:p w14:paraId="7828FBEF" w14:textId="77777777" w:rsidR="0057187E" w:rsidRPr="0057187E" w:rsidRDefault="0057187E" w:rsidP="0057187E">
            <w:pPr>
              <w:rPr>
                <w:sz w:val="18"/>
                <w:szCs w:val="18"/>
              </w:rPr>
            </w:pPr>
            <w:r w:rsidRPr="0057187E">
              <w:rPr>
                <w:sz w:val="18"/>
                <w:szCs w:val="18"/>
              </w:rPr>
              <w:t xml:space="preserve">Calcium </w:t>
            </w:r>
            <w:proofErr w:type="spellStart"/>
            <w:r w:rsidRPr="0057187E">
              <w:rPr>
                <w:sz w:val="18"/>
                <w:szCs w:val="18"/>
              </w:rPr>
              <w:t>oxalate</w:t>
            </w:r>
            <w:proofErr w:type="spellEnd"/>
            <w:r w:rsidRPr="0057187E">
              <w:rPr>
                <w:sz w:val="18"/>
                <w:szCs w:val="18"/>
              </w:rPr>
              <w:t xml:space="preserve"> </w:t>
            </w:r>
            <w:proofErr w:type="spellStart"/>
            <w:r w:rsidRPr="0057187E">
              <w:rPr>
                <w:sz w:val="18"/>
                <w:szCs w:val="18"/>
              </w:rPr>
              <w:t>stones</w:t>
            </w:r>
            <w:proofErr w:type="spellEnd"/>
          </w:p>
        </w:tc>
        <w:tc>
          <w:tcPr>
            <w:tcW w:w="1001" w:type="dxa"/>
            <w:tcBorders>
              <w:bottom w:val="single" w:sz="12" w:space="0" w:color="auto"/>
            </w:tcBorders>
            <w:shd w:val="clear" w:color="auto" w:fill="000000" w:themeFill="text1"/>
          </w:tcPr>
          <w:p w14:paraId="5755FF6D" w14:textId="77777777" w:rsidR="0057187E" w:rsidRPr="0057187E" w:rsidRDefault="0057187E" w:rsidP="0057187E">
            <w:pPr>
              <w:rPr>
                <w:sz w:val="18"/>
                <w:szCs w:val="18"/>
              </w:rPr>
            </w:pPr>
            <w:proofErr w:type="spellStart"/>
            <w:r w:rsidRPr="0057187E">
              <w:rPr>
                <w:sz w:val="18"/>
                <w:szCs w:val="18"/>
              </w:rPr>
              <w:t>Uric</w:t>
            </w:r>
            <w:proofErr w:type="spellEnd"/>
            <w:r w:rsidRPr="0057187E">
              <w:rPr>
                <w:sz w:val="18"/>
                <w:szCs w:val="18"/>
              </w:rPr>
              <w:t xml:space="preserve"> acid </w:t>
            </w:r>
            <w:proofErr w:type="spellStart"/>
            <w:r w:rsidRPr="0057187E">
              <w:rPr>
                <w:sz w:val="18"/>
                <w:szCs w:val="18"/>
              </w:rPr>
              <w:t>stones</w:t>
            </w:r>
            <w:proofErr w:type="spellEnd"/>
          </w:p>
        </w:tc>
        <w:tc>
          <w:tcPr>
            <w:tcW w:w="1001" w:type="dxa"/>
            <w:tcBorders>
              <w:bottom w:val="single" w:sz="12" w:space="0" w:color="auto"/>
            </w:tcBorders>
            <w:shd w:val="clear" w:color="auto" w:fill="000000" w:themeFill="text1"/>
          </w:tcPr>
          <w:p w14:paraId="1934DF54" w14:textId="77777777" w:rsidR="0057187E" w:rsidRPr="0057187E" w:rsidRDefault="0057187E" w:rsidP="0057187E">
            <w:pPr>
              <w:rPr>
                <w:sz w:val="18"/>
                <w:szCs w:val="18"/>
              </w:rPr>
            </w:pPr>
            <w:proofErr w:type="spellStart"/>
            <w:r w:rsidRPr="0057187E">
              <w:rPr>
                <w:sz w:val="18"/>
                <w:szCs w:val="18"/>
              </w:rPr>
              <w:t>Cystine</w:t>
            </w:r>
            <w:proofErr w:type="spellEnd"/>
            <w:r w:rsidRPr="0057187E">
              <w:rPr>
                <w:sz w:val="18"/>
                <w:szCs w:val="18"/>
              </w:rPr>
              <w:t xml:space="preserve"> </w:t>
            </w:r>
            <w:proofErr w:type="spellStart"/>
            <w:r w:rsidRPr="0057187E">
              <w:rPr>
                <w:sz w:val="18"/>
                <w:szCs w:val="18"/>
              </w:rPr>
              <w:t>stones</w:t>
            </w:r>
            <w:proofErr w:type="spellEnd"/>
          </w:p>
        </w:tc>
        <w:tc>
          <w:tcPr>
            <w:tcW w:w="1001" w:type="dxa"/>
            <w:tcBorders>
              <w:bottom w:val="single" w:sz="12" w:space="0" w:color="auto"/>
            </w:tcBorders>
            <w:shd w:val="clear" w:color="auto" w:fill="000000" w:themeFill="text1"/>
          </w:tcPr>
          <w:p w14:paraId="1C684E1E" w14:textId="77777777" w:rsidR="0057187E" w:rsidRPr="0057187E" w:rsidRDefault="0057187E" w:rsidP="0057187E">
            <w:pPr>
              <w:rPr>
                <w:sz w:val="18"/>
                <w:szCs w:val="18"/>
              </w:rPr>
            </w:pPr>
            <w:r w:rsidRPr="0057187E">
              <w:rPr>
                <w:sz w:val="18"/>
                <w:szCs w:val="18"/>
              </w:rPr>
              <w:t xml:space="preserve">Mixed </w:t>
            </w:r>
            <w:proofErr w:type="spellStart"/>
            <w:r w:rsidRPr="0057187E">
              <w:rPr>
                <w:sz w:val="18"/>
                <w:szCs w:val="18"/>
              </w:rPr>
              <w:t>stones</w:t>
            </w:r>
            <w:proofErr w:type="spellEnd"/>
            <w:r w:rsidRPr="0057187E">
              <w:rPr>
                <w:sz w:val="18"/>
                <w:szCs w:val="18"/>
              </w:rPr>
              <w:t xml:space="preserve"> </w:t>
            </w:r>
          </w:p>
        </w:tc>
        <w:tc>
          <w:tcPr>
            <w:tcW w:w="1001" w:type="dxa"/>
            <w:tcBorders>
              <w:bottom w:val="single" w:sz="12" w:space="0" w:color="auto"/>
            </w:tcBorders>
            <w:shd w:val="clear" w:color="auto" w:fill="000000" w:themeFill="text1"/>
          </w:tcPr>
          <w:p w14:paraId="68899C01" w14:textId="77777777" w:rsidR="0057187E" w:rsidRPr="0057187E" w:rsidRDefault="0057187E" w:rsidP="0057187E">
            <w:pPr>
              <w:rPr>
                <w:sz w:val="18"/>
                <w:szCs w:val="18"/>
              </w:rPr>
            </w:pPr>
            <w:r w:rsidRPr="0057187E">
              <w:rPr>
                <w:sz w:val="18"/>
                <w:szCs w:val="18"/>
              </w:rPr>
              <w:t xml:space="preserve">Calcium </w:t>
            </w:r>
            <w:proofErr w:type="spellStart"/>
            <w:r w:rsidRPr="0057187E">
              <w:rPr>
                <w:sz w:val="18"/>
                <w:szCs w:val="18"/>
              </w:rPr>
              <w:t>phosphate</w:t>
            </w:r>
            <w:proofErr w:type="spellEnd"/>
            <w:r w:rsidRPr="0057187E">
              <w:rPr>
                <w:sz w:val="18"/>
                <w:szCs w:val="18"/>
              </w:rPr>
              <w:t xml:space="preserve"> </w:t>
            </w:r>
            <w:proofErr w:type="spellStart"/>
            <w:r w:rsidRPr="0057187E">
              <w:rPr>
                <w:sz w:val="18"/>
                <w:szCs w:val="18"/>
              </w:rPr>
              <w:t>stones</w:t>
            </w:r>
            <w:proofErr w:type="spellEnd"/>
          </w:p>
        </w:tc>
        <w:tc>
          <w:tcPr>
            <w:tcW w:w="1001" w:type="dxa"/>
            <w:tcBorders>
              <w:bottom w:val="single" w:sz="12" w:space="0" w:color="auto"/>
            </w:tcBorders>
            <w:shd w:val="clear" w:color="auto" w:fill="000000" w:themeFill="text1"/>
          </w:tcPr>
          <w:p w14:paraId="0232BAAB" w14:textId="77777777" w:rsidR="0057187E" w:rsidRPr="0057187E" w:rsidRDefault="0057187E" w:rsidP="0057187E">
            <w:pPr>
              <w:rPr>
                <w:sz w:val="18"/>
                <w:szCs w:val="18"/>
              </w:rPr>
            </w:pPr>
            <w:proofErr w:type="spellStart"/>
            <w:r w:rsidRPr="0057187E">
              <w:rPr>
                <w:sz w:val="18"/>
                <w:szCs w:val="18"/>
              </w:rPr>
              <w:t>Struvite</w:t>
            </w:r>
            <w:proofErr w:type="spellEnd"/>
            <w:r w:rsidRPr="0057187E">
              <w:rPr>
                <w:sz w:val="18"/>
                <w:szCs w:val="18"/>
              </w:rPr>
              <w:t xml:space="preserve"> </w:t>
            </w:r>
            <w:proofErr w:type="spellStart"/>
            <w:r w:rsidRPr="0057187E">
              <w:rPr>
                <w:sz w:val="18"/>
                <w:szCs w:val="18"/>
              </w:rPr>
              <w:t>stones</w:t>
            </w:r>
            <w:proofErr w:type="spellEnd"/>
          </w:p>
        </w:tc>
        <w:tc>
          <w:tcPr>
            <w:tcW w:w="1001" w:type="dxa"/>
            <w:tcBorders>
              <w:bottom w:val="single" w:sz="12" w:space="0" w:color="auto"/>
            </w:tcBorders>
            <w:shd w:val="clear" w:color="auto" w:fill="000000" w:themeFill="text1"/>
          </w:tcPr>
          <w:p w14:paraId="6F2FDF9A" w14:textId="77777777" w:rsidR="0057187E" w:rsidRPr="0057187E" w:rsidRDefault="0057187E" w:rsidP="0057187E">
            <w:pPr>
              <w:rPr>
                <w:sz w:val="18"/>
                <w:szCs w:val="18"/>
              </w:rPr>
            </w:pPr>
            <w:proofErr w:type="spellStart"/>
            <w:r w:rsidRPr="0057187E">
              <w:rPr>
                <w:sz w:val="18"/>
                <w:szCs w:val="18"/>
              </w:rPr>
              <w:t>Brushite</w:t>
            </w:r>
            <w:proofErr w:type="spellEnd"/>
            <w:r w:rsidRPr="0057187E">
              <w:rPr>
                <w:sz w:val="18"/>
                <w:szCs w:val="18"/>
              </w:rPr>
              <w:t xml:space="preserve"> </w:t>
            </w:r>
            <w:proofErr w:type="spellStart"/>
            <w:r w:rsidRPr="0057187E">
              <w:rPr>
                <w:sz w:val="18"/>
                <w:szCs w:val="18"/>
              </w:rPr>
              <w:t>stones</w:t>
            </w:r>
            <w:proofErr w:type="spellEnd"/>
          </w:p>
        </w:tc>
      </w:tr>
      <w:tr w:rsidR="0057187E" w:rsidRPr="00800B07" w14:paraId="275D2A6B" w14:textId="77777777" w:rsidTr="0057187E">
        <w:trPr>
          <w:trHeight w:val="533"/>
        </w:trPr>
        <w:tc>
          <w:tcPr>
            <w:tcW w:w="1979" w:type="dxa"/>
            <w:tcBorders>
              <w:top w:val="single" w:sz="12" w:space="0" w:color="auto"/>
              <w:left w:val="single" w:sz="12" w:space="0" w:color="auto"/>
              <w:bottom w:val="single" w:sz="12" w:space="0" w:color="auto"/>
            </w:tcBorders>
            <w:shd w:val="clear" w:color="auto" w:fill="E7E6E6" w:themeFill="background2"/>
          </w:tcPr>
          <w:p w14:paraId="5317C6D4" w14:textId="77777777" w:rsidR="0057187E" w:rsidRPr="0057187E" w:rsidRDefault="0057187E" w:rsidP="0057187E">
            <w:pPr>
              <w:rPr>
                <w:sz w:val="18"/>
                <w:szCs w:val="18"/>
              </w:rPr>
            </w:pPr>
            <w:r w:rsidRPr="0057187E">
              <w:rPr>
                <w:sz w:val="18"/>
                <w:szCs w:val="18"/>
              </w:rPr>
              <w:t xml:space="preserve">Total study </w:t>
            </w:r>
            <w:proofErr w:type="spellStart"/>
            <w:r w:rsidRPr="0057187E">
              <w:rPr>
                <w:sz w:val="18"/>
                <w:szCs w:val="18"/>
              </w:rPr>
              <w:t>population</w:t>
            </w:r>
            <w:proofErr w:type="spellEnd"/>
            <w:r w:rsidRPr="0057187E">
              <w:rPr>
                <w:sz w:val="18"/>
                <w:szCs w:val="18"/>
              </w:rPr>
              <w:t xml:space="preserve"> (n = 482)</w:t>
            </w:r>
          </w:p>
        </w:tc>
        <w:tc>
          <w:tcPr>
            <w:tcW w:w="1001" w:type="dxa"/>
            <w:tcBorders>
              <w:top w:val="single" w:sz="12" w:space="0" w:color="auto"/>
              <w:bottom w:val="single" w:sz="12" w:space="0" w:color="auto"/>
              <w:right w:val="single" w:sz="12" w:space="0" w:color="auto"/>
            </w:tcBorders>
            <w:shd w:val="clear" w:color="auto" w:fill="E7E6E6" w:themeFill="background2"/>
          </w:tcPr>
          <w:p w14:paraId="52338789" w14:textId="77777777" w:rsidR="0057187E" w:rsidRPr="0057187E" w:rsidRDefault="0057187E" w:rsidP="0057187E">
            <w:pPr>
              <w:rPr>
                <w:sz w:val="18"/>
                <w:szCs w:val="18"/>
              </w:rPr>
            </w:pPr>
            <w:r w:rsidRPr="0057187E">
              <w:rPr>
                <w:sz w:val="18"/>
                <w:szCs w:val="18"/>
              </w:rPr>
              <w:t>370</w:t>
            </w:r>
          </w:p>
          <w:p w14:paraId="1DE3686A" w14:textId="77777777" w:rsidR="0057187E" w:rsidRPr="0057187E" w:rsidRDefault="0057187E" w:rsidP="0057187E">
            <w:pPr>
              <w:rPr>
                <w:sz w:val="18"/>
                <w:szCs w:val="18"/>
              </w:rPr>
            </w:pPr>
            <w:r w:rsidRPr="0057187E">
              <w:rPr>
                <w:sz w:val="18"/>
                <w:szCs w:val="18"/>
              </w:rPr>
              <w:t>(73.9%)</w:t>
            </w:r>
          </w:p>
        </w:tc>
        <w:tc>
          <w:tcPr>
            <w:tcW w:w="100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8297596" w14:textId="77777777" w:rsidR="0057187E" w:rsidRPr="0057187E" w:rsidRDefault="0057187E" w:rsidP="0057187E">
            <w:pPr>
              <w:rPr>
                <w:sz w:val="18"/>
                <w:szCs w:val="18"/>
              </w:rPr>
            </w:pPr>
            <w:r w:rsidRPr="0057187E">
              <w:rPr>
                <w:sz w:val="18"/>
                <w:szCs w:val="18"/>
              </w:rPr>
              <w:t>37</w:t>
            </w:r>
          </w:p>
          <w:p w14:paraId="2990D57C" w14:textId="77777777" w:rsidR="0057187E" w:rsidRPr="0057187E" w:rsidRDefault="0057187E" w:rsidP="0057187E">
            <w:pPr>
              <w:rPr>
                <w:sz w:val="18"/>
                <w:szCs w:val="18"/>
              </w:rPr>
            </w:pPr>
            <w:r w:rsidRPr="0057187E">
              <w:rPr>
                <w:sz w:val="18"/>
                <w:szCs w:val="18"/>
              </w:rPr>
              <w:t>(7.7%)</w:t>
            </w:r>
          </w:p>
        </w:tc>
        <w:tc>
          <w:tcPr>
            <w:tcW w:w="100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45AAF4B" w14:textId="77777777" w:rsidR="0057187E" w:rsidRPr="0057187E" w:rsidRDefault="0057187E" w:rsidP="0057187E">
            <w:pPr>
              <w:rPr>
                <w:sz w:val="18"/>
                <w:szCs w:val="18"/>
              </w:rPr>
            </w:pPr>
            <w:r w:rsidRPr="0057187E">
              <w:rPr>
                <w:sz w:val="18"/>
                <w:szCs w:val="18"/>
              </w:rPr>
              <w:t>21</w:t>
            </w:r>
          </w:p>
          <w:p w14:paraId="1603A165" w14:textId="77777777" w:rsidR="0057187E" w:rsidRPr="0057187E" w:rsidRDefault="0057187E" w:rsidP="0057187E">
            <w:pPr>
              <w:rPr>
                <w:sz w:val="18"/>
                <w:szCs w:val="18"/>
              </w:rPr>
            </w:pPr>
            <w:r w:rsidRPr="0057187E">
              <w:rPr>
                <w:sz w:val="18"/>
                <w:szCs w:val="18"/>
              </w:rPr>
              <w:t>(4.4%)</w:t>
            </w:r>
          </w:p>
        </w:tc>
        <w:tc>
          <w:tcPr>
            <w:tcW w:w="100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4536EAB" w14:textId="77777777" w:rsidR="0057187E" w:rsidRPr="0057187E" w:rsidRDefault="0057187E" w:rsidP="0057187E">
            <w:pPr>
              <w:rPr>
                <w:sz w:val="18"/>
                <w:szCs w:val="18"/>
              </w:rPr>
            </w:pPr>
            <w:r w:rsidRPr="0057187E">
              <w:rPr>
                <w:sz w:val="18"/>
                <w:szCs w:val="18"/>
              </w:rPr>
              <w:t>19</w:t>
            </w:r>
          </w:p>
          <w:p w14:paraId="2FC95AD5" w14:textId="77777777" w:rsidR="0057187E" w:rsidRPr="0057187E" w:rsidRDefault="0057187E" w:rsidP="0057187E">
            <w:pPr>
              <w:rPr>
                <w:sz w:val="18"/>
                <w:szCs w:val="18"/>
              </w:rPr>
            </w:pPr>
            <w:r w:rsidRPr="0057187E">
              <w:rPr>
                <w:sz w:val="18"/>
                <w:szCs w:val="18"/>
              </w:rPr>
              <w:t>(3.9%)</w:t>
            </w:r>
          </w:p>
        </w:tc>
        <w:tc>
          <w:tcPr>
            <w:tcW w:w="100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AAE6682" w14:textId="77777777" w:rsidR="0057187E" w:rsidRPr="0057187E" w:rsidRDefault="0057187E" w:rsidP="0057187E">
            <w:pPr>
              <w:rPr>
                <w:sz w:val="18"/>
                <w:szCs w:val="18"/>
              </w:rPr>
            </w:pPr>
            <w:r w:rsidRPr="0057187E">
              <w:rPr>
                <w:sz w:val="18"/>
                <w:szCs w:val="18"/>
              </w:rPr>
              <w:t>14</w:t>
            </w:r>
          </w:p>
          <w:p w14:paraId="6F9F6DDA" w14:textId="77777777" w:rsidR="0057187E" w:rsidRPr="0057187E" w:rsidRDefault="0057187E" w:rsidP="0057187E">
            <w:pPr>
              <w:rPr>
                <w:sz w:val="18"/>
                <w:szCs w:val="18"/>
              </w:rPr>
            </w:pPr>
            <w:r w:rsidRPr="0057187E">
              <w:rPr>
                <w:sz w:val="18"/>
                <w:szCs w:val="18"/>
              </w:rPr>
              <w:t>(2.9%)</w:t>
            </w:r>
          </w:p>
        </w:tc>
        <w:tc>
          <w:tcPr>
            <w:tcW w:w="100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2464239" w14:textId="77777777" w:rsidR="0057187E" w:rsidRPr="0057187E" w:rsidRDefault="0057187E" w:rsidP="0057187E">
            <w:pPr>
              <w:rPr>
                <w:sz w:val="18"/>
                <w:szCs w:val="18"/>
              </w:rPr>
            </w:pPr>
            <w:r w:rsidRPr="0057187E">
              <w:rPr>
                <w:sz w:val="18"/>
                <w:szCs w:val="18"/>
              </w:rPr>
              <w:t>11</w:t>
            </w:r>
          </w:p>
          <w:p w14:paraId="6C6772A0" w14:textId="77777777" w:rsidR="0057187E" w:rsidRPr="0057187E" w:rsidRDefault="0057187E" w:rsidP="0057187E">
            <w:pPr>
              <w:rPr>
                <w:sz w:val="18"/>
                <w:szCs w:val="18"/>
              </w:rPr>
            </w:pPr>
            <w:r w:rsidRPr="0057187E">
              <w:rPr>
                <w:sz w:val="18"/>
                <w:szCs w:val="18"/>
              </w:rPr>
              <w:t>(2.3%)</w:t>
            </w:r>
          </w:p>
        </w:tc>
        <w:tc>
          <w:tcPr>
            <w:tcW w:w="100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7A54FDF" w14:textId="77777777" w:rsidR="0057187E" w:rsidRPr="0057187E" w:rsidRDefault="0057187E" w:rsidP="0057187E">
            <w:pPr>
              <w:rPr>
                <w:sz w:val="18"/>
                <w:szCs w:val="18"/>
              </w:rPr>
            </w:pPr>
            <w:r w:rsidRPr="0057187E">
              <w:rPr>
                <w:sz w:val="18"/>
                <w:szCs w:val="18"/>
              </w:rPr>
              <w:t>10</w:t>
            </w:r>
          </w:p>
          <w:p w14:paraId="7BF5FFA4" w14:textId="77777777" w:rsidR="0057187E" w:rsidRPr="0057187E" w:rsidRDefault="0057187E" w:rsidP="0057187E">
            <w:pPr>
              <w:rPr>
                <w:sz w:val="18"/>
                <w:szCs w:val="18"/>
              </w:rPr>
            </w:pPr>
            <w:r w:rsidRPr="0057187E">
              <w:rPr>
                <w:sz w:val="18"/>
                <w:szCs w:val="18"/>
              </w:rPr>
              <w:t>(2.1%)</w:t>
            </w:r>
          </w:p>
        </w:tc>
      </w:tr>
      <w:tr w:rsidR="0057187E" w:rsidRPr="00800B07" w14:paraId="3968C6D1" w14:textId="77777777" w:rsidTr="0057187E">
        <w:trPr>
          <w:trHeight w:val="533"/>
        </w:trPr>
        <w:tc>
          <w:tcPr>
            <w:tcW w:w="1979" w:type="dxa"/>
            <w:tcBorders>
              <w:top w:val="single" w:sz="12" w:space="0" w:color="auto"/>
            </w:tcBorders>
          </w:tcPr>
          <w:p w14:paraId="3C311DD1" w14:textId="77777777" w:rsidR="0057187E" w:rsidRPr="0057187E" w:rsidRDefault="0057187E" w:rsidP="0057187E">
            <w:pPr>
              <w:rPr>
                <w:sz w:val="18"/>
                <w:szCs w:val="18"/>
                <w:lang w:val="en-GB"/>
              </w:rPr>
            </w:pPr>
            <w:proofErr w:type="spellStart"/>
            <w:r w:rsidRPr="0057187E">
              <w:rPr>
                <w:sz w:val="18"/>
                <w:szCs w:val="18"/>
              </w:rPr>
              <w:t>Caucasian</w:t>
            </w:r>
            <w:proofErr w:type="spellEnd"/>
            <w:r w:rsidRPr="0057187E">
              <w:rPr>
                <w:sz w:val="18"/>
                <w:szCs w:val="18"/>
              </w:rPr>
              <w:t xml:space="preserve"> (n = 349)</w:t>
            </w:r>
          </w:p>
        </w:tc>
        <w:tc>
          <w:tcPr>
            <w:tcW w:w="1001" w:type="dxa"/>
            <w:tcBorders>
              <w:top w:val="single" w:sz="12" w:space="0" w:color="auto"/>
            </w:tcBorders>
          </w:tcPr>
          <w:p w14:paraId="4351B7B0" w14:textId="77777777" w:rsidR="0057187E" w:rsidRPr="0057187E" w:rsidRDefault="0057187E" w:rsidP="0057187E">
            <w:pPr>
              <w:rPr>
                <w:sz w:val="18"/>
                <w:szCs w:val="18"/>
              </w:rPr>
            </w:pPr>
            <w:r w:rsidRPr="0057187E">
              <w:rPr>
                <w:sz w:val="18"/>
                <w:szCs w:val="18"/>
              </w:rPr>
              <w:t>259</w:t>
            </w:r>
          </w:p>
          <w:p w14:paraId="3100AFD5" w14:textId="77777777" w:rsidR="0057187E" w:rsidRPr="0057187E" w:rsidRDefault="0057187E" w:rsidP="0057187E">
            <w:pPr>
              <w:rPr>
                <w:sz w:val="18"/>
                <w:szCs w:val="18"/>
              </w:rPr>
            </w:pPr>
            <w:r w:rsidRPr="0057187E">
              <w:rPr>
                <w:sz w:val="18"/>
                <w:szCs w:val="18"/>
              </w:rPr>
              <w:t>(74.2%)</w:t>
            </w:r>
          </w:p>
        </w:tc>
        <w:tc>
          <w:tcPr>
            <w:tcW w:w="1001" w:type="dxa"/>
            <w:tcBorders>
              <w:top w:val="single" w:sz="12" w:space="0" w:color="auto"/>
            </w:tcBorders>
          </w:tcPr>
          <w:p w14:paraId="02665081" w14:textId="77777777" w:rsidR="0057187E" w:rsidRPr="0057187E" w:rsidRDefault="0057187E" w:rsidP="0057187E">
            <w:pPr>
              <w:rPr>
                <w:sz w:val="18"/>
                <w:szCs w:val="18"/>
              </w:rPr>
            </w:pPr>
            <w:r w:rsidRPr="0057187E">
              <w:rPr>
                <w:sz w:val="18"/>
                <w:szCs w:val="18"/>
              </w:rPr>
              <w:t>31</w:t>
            </w:r>
          </w:p>
          <w:p w14:paraId="2A2B1B56" w14:textId="77777777" w:rsidR="0057187E" w:rsidRPr="0057187E" w:rsidRDefault="0057187E" w:rsidP="0057187E">
            <w:pPr>
              <w:rPr>
                <w:sz w:val="18"/>
                <w:szCs w:val="18"/>
              </w:rPr>
            </w:pPr>
            <w:r w:rsidRPr="0057187E">
              <w:rPr>
                <w:sz w:val="18"/>
                <w:szCs w:val="18"/>
              </w:rPr>
              <w:t>(8.9%)</w:t>
            </w:r>
          </w:p>
        </w:tc>
        <w:tc>
          <w:tcPr>
            <w:tcW w:w="1001" w:type="dxa"/>
            <w:tcBorders>
              <w:top w:val="single" w:sz="12" w:space="0" w:color="auto"/>
            </w:tcBorders>
          </w:tcPr>
          <w:p w14:paraId="52C48E1B" w14:textId="77777777" w:rsidR="0057187E" w:rsidRPr="0057187E" w:rsidRDefault="0057187E" w:rsidP="0057187E">
            <w:pPr>
              <w:rPr>
                <w:sz w:val="18"/>
                <w:szCs w:val="18"/>
              </w:rPr>
            </w:pPr>
            <w:r w:rsidRPr="0057187E">
              <w:rPr>
                <w:sz w:val="18"/>
                <w:szCs w:val="18"/>
              </w:rPr>
              <w:t>16</w:t>
            </w:r>
          </w:p>
          <w:p w14:paraId="598C86D0" w14:textId="77777777" w:rsidR="0057187E" w:rsidRPr="0057187E" w:rsidRDefault="0057187E" w:rsidP="0057187E">
            <w:pPr>
              <w:rPr>
                <w:sz w:val="18"/>
                <w:szCs w:val="18"/>
              </w:rPr>
            </w:pPr>
            <w:r w:rsidRPr="0057187E">
              <w:rPr>
                <w:sz w:val="18"/>
                <w:szCs w:val="18"/>
              </w:rPr>
              <w:t>(4.6%)</w:t>
            </w:r>
          </w:p>
        </w:tc>
        <w:tc>
          <w:tcPr>
            <w:tcW w:w="1001" w:type="dxa"/>
            <w:tcBorders>
              <w:top w:val="single" w:sz="12" w:space="0" w:color="auto"/>
            </w:tcBorders>
          </w:tcPr>
          <w:p w14:paraId="7F1CADB4" w14:textId="77777777" w:rsidR="0057187E" w:rsidRPr="0057187E" w:rsidRDefault="0057187E" w:rsidP="0057187E">
            <w:pPr>
              <w:rPr>
                <w:sz w:val="18"/>
                <w:szCs w:val="18"/>
              </w:rPr>
            </w:pPr>
            <w:r w:rsidRPr="0057187E">
              <w:rPr>
                <w:sz w:val="18"/>
                <w:szCs w:val="18"/>
              </w:rPr>
              <w:t>14</w:t>
            </w:r>
          </w:p>
          <w:p w14:paraId="0A40D1EC" w14:textId="77777777" w:rsidR="0057187E" w:rsidRPr="0057187E" w:rsidRDefault="0057187E" w:rsidP="0057187E">
            <w:pPr>
              <w:rPr>
                <w:sz w:val="18"/>
                <w:szCs w:val="18"/>
              </w:rPr>
            </w:pPr>
            <w:r w:rsidRPr="0057187E">
              <w:rPr>
                <w:sz w:val="18"/>
                <w:szCs w:val="18"/>
              </w:rPr>
              <w:t>(4.0%)</w:t>
            </w:r>
          </w:p>
        </w:tc>
        <w:tc>
          <w:tcPr>
            <w:tcW w:w="1001" w:type="dxa"/>
            <w:tcBorders>
              <w:top w:val="single" w:sz="12" w:space="0" w:color="auto"/>
            </w:tcBorders>
          </w:tcPr>
          <w:p w14:paraId="73C20434" w14:textId="77777777" w:rsidR="0057187E" w:rsidRPr="0057187E" w:rsidRDefault="0057187E" w:rsidP="0057187E">
            <w:pPr>
              <w:rPr>
                <w:sz w:val="18"/>
                <w:szCs w:val="18"/>
              </w:rPr>
            </w:pPr>
            <w:r w:rsidRPr="0057187E">
              <w:rPr>
                <w:sz w:val="18"/>
                <w:szCs w:val="18"/>
              </w:rPr>
              <w:t>12</w:t>
            </w:r>
          </w:p>
          <w:p w14:paraId="752824F1" w14:textId="77777777" w:rsidR="0057187E" w:rsidRPr="0057187E" w:rsidRDefault="0057187E" w:rsidP="0057187E">
            <w:pPr>
              <w:rPr>
                <w:sz w:val="18"/>
                <w:szCs w:val="18"/>
              </w:rPr>
            </w:pPr>
            <w:r w:rsidRPr="0057187E">
              <w:rPr>
                <w:sz w:val="18"/>
                <w:szCs w:val="18"/>
              </w:rPr>
              <w:t>(3.4%)</w:t>
            </w:r>
          </w:p>
        </w:tc>
        <w:tc>
          <w:tcPr>
            <w:tcW w:w="1001" w:type="dxa"/>
            <w:tcBorders>
              <w:top w:val="single" w:sz="12" w:space="0" w:color="auto"/>
            </w:tcBorders>
          </w:tcPr>
          <w:p w14:paraId="201E1AAD" w14:textId="77777777" w:rsidR="0057187E" w:rsidRPr="0057187E" w:rsidRDefault="0057187E" w:rsidP="0057187E">
            <w:pPr>
              <w:rPr>
                <w:sz w:val="18"/>
                <w:szCs w:val="18"/>
              </w:rPr>
            </w:pPr>
            <w:r w:rsidRPr="0057187E">
              <w:rPr>
                <w:sz w:val="18"/>
                <w:szCs w:val="18"/>
              </w:rPr>
              <w:t>9</w:t>
            </w:r>
          </w:p>
          <w:p w14:paraId="3DF232B1" w14:textId="77777777" w:rsidR="0057187E" w:rsidRPr="0057187E" w:rsidRDefault="0057187E" w:rsidP="0057187E">
            <w:pPr>
              <w:rPr>
                <w:sz w:val="18"/>
                <w:szCs w:val="18"/>
              </w:rPr>
            </w:pPr>
            <w:r w:rsidRPr="0057187E">
              <w:rPr>
                <w:sz w:val="18"/>
                <w:szCs w:val="18"/>
              </w:rPr>
              <w:t>(2.6%)</w:t>
            </w:r>
          </w:p>
        </w:tc>
        <w:tc>
          <w:tcPr>
            <w:tcW w:w="1001" w:type="dxa"/>
            <w:tcBorders>
              <w:top w:val="single" w:sz="12" w:space="0" w:color="auto"/>
            </w:tcBorders>
          </w:tcPr>
          <w:p w14:paraId="0F8F93F5" w14:textId="77777777" w:rsidR="0057187E" w:rsidRPr="0057187E" w:rsidRDefault="0057187E" w:rsidP="0057187E">
            <w:pPr>
              <w:rPr>
                <w:sz w:val="18"/>
                <w:szCs w:val="18"/>
              </w:rPr>
            </w:pPr>
            <w:r w:rsidRPr="0057187E">
              <w:rPr>
                <w:sz w:val="18"/>
                <w:szCs w:val="18"/>
              </w:rPr>
              <w:t>8</w:t>
            </w:r>
          </w:p>
          <w:p w14:paraId="122BE7D0" w14:textId="77777777" w:rsidR="0057187E" w:rsidRPr="0057187E" w:rsidRDefault="0057187E" w:rsidP="0057187E">
            <w:pPr>
              <w:rPr>
                <w:sz w:val="18"/>
                <w:szCs w:val="18"/>
              </w:rPr>
            </w:pPr>
            <w:r w:rsidRPr="0057187E">
              <w:rPr>
                <w:sz w:val="18"/>
                <w:szCs w:val="18"/>
              </w:rPr>
              <w:t>(2.3%)</w:t>
            </w:r>
          </w:p>
        </w:tc>
      </w:tr>
      <w:tr w:rsidR="0057187E" w:rsidRPr="00800B07" w14:paraId="308078E9" w14:textId="77777777" w:rsidTr="0057187E">
        <w:trPr>
          <w:trHeight w:val="533"/>
        </w:trPr>
        <w:tc>
          <w:tcPr>
            <w:tcW w:w="1979" w:type="dxa"/>
          </w:tcPr>
          <w:p w14:paraId="03A018DF" w14:textId="77777777" w:rsidR="0057187E" w:rsidRPr="0057187E" w:rsidRDefault="0057187E" w:rsidP="0057187E">
            <w:pPr>
              <w:rPr>
                <w:sz w:val="18"/>
                <w:szCs w:val="18"/>
                <w:lang w:val="en-GB"/>
              </w:rPr>
            </w:pPr>
            <w:r w:rsidRPr="0057187E">
              <w:rPr>
                <w:sz w:val="18"/>
                <w:szCs w:val="18"/>
                <w:lang w:val="en-GB"/>
              </w:rPr>
              <w:t>Middle-East and North-African  (n = 119)</w:t>
            </w:r>
          </w:p>
        </w:tc>
        <w:tc>
          <w:tcPr>
            <w:tcW w:w="1001" w:type="dxa"/>
          </w:tcPr>
          <w:p w14:paraId="2FE6C76E" w14:textId="77777777" w:rsidR="0057187E" w:rsidRPr="0057187E" w:rsidRDefault="0057187E" w:rsidP="0057187E">
            <w:pPr>
              <w:rPr>
                <w:sz w:val="18"/>
                <w:szCs w:val="18"/>
              </w:rPr>
            </w:pPr>
            <w:r w:rsidRPr="0057187E">
              <w:rPr>
                <w:sz w:val="18"/>
                <w:szCs w:val="18"/>
              </w:rPr>
              <w:t>101</w:t>
            </w:r>
          </w:p>
          <w:p w14:paraId="437D8514" w14:textId="77777777" w:rsidR="0057187E" w:rsidRPr="0057187E" w:rsidRDefault="0057187E" w:rsidP="0057187E">
            <w:pPr>
              <w:rPr>
                <w:sz w:val="18"/>
                <w:szCs w:val="18"/>
              </w:rPr>
            </w:pPr>
            <w:r w:rsidRPr="0057187E">
              <w:rPr>
                <w:sz w:val="18"/>
                <w:szCs w:val="18"/>
              </w:rPr>
              <w:t>(84.8%)</w:t>
            </w:r>
          </w:p>
        </w:tc>
        <w:tc>
          <w:tcPr>
            <w:tcW w:w="1001" w:type="dxa"/>
          </w:tcPr>
          <w:p w14:paraId="416719FF" w14:textId="77777777" w:rsidR="0057187E" w:rsidRPr="0057187E" w:rsidRDefault="0057187E" w:rsidP="0057187E">
            <w:pPr>
              <w:rPr>
                <w:sz w:val="18"/>
                <w:szCs w:val="18"/>
              </w:rPr>
            </w:pPr>
            <w:r w:rsidRPr="0057187E">
              <w:rPr>
                <w:sz w:val="18"/>
                <w:szCs w:val="18"/>
              </w:rPr>
              <w:t>4</w:t>
            </w:r>
          </w:p>
          <w:p w14:paraId="2B5D1B49" w14:textId="77777777" w:rsidR="0057187E" w:rsidRPr="0057187E" w:rsidRDefault="0057187E" w:rsidP="0057187E">
            <w:pPr>
              <w:rPr>
                <w:sz w:val="18"/>
                <w:szCs w:val="18"/>
              </w:rPr>
            </w:pPr>
            <w:r w:rsidRPr="0057187E">
              <w:rPr>
                <w:sz w:val="18"/>
                <w:szCs w:val="18"/>
              </w:rPr>
              <w:t>(3.4%)</w:t>
            </w:r>
          </w:p>
        </w:tc>
        <w:tc>
          <w:tcPr>
            <w:tcW w:w="1001" w:type="dxa"/>
          </w:tcPr>
          <w:p w14:paraId="2DEC9C95" w14:textId="77777777" w:rsidR="0057187E" w:rsidRPr="0057187E" w:rsidRDefault="0057187E" w:rsidP="0057187E">
            <w:pPr>
              <w:rPr>
                <w:sz w:val="18"/>
                <w:szCs w:val="18"/>
              </w:rPr>
            </w:pPr>
            <w:r w:rsidRPr="0057187E">
              <w:rPr>
                <w:sz w:val="18"/>
                <w:szCs w:val="18"/>
              </w:rPr>
              <w:t>4</w:t>
            </w:r>
          </w:p>
          <w:p w14:paraId="693FCA88" w14:textId="77777777" w:rsidR="0057187E" w:rsidRPr="0057187E" w:rsidRDefault="0057187E" w:rsidP="0057187E">
            <w:pPr>
              <w:rPr>
                <w:sz w:val="18"/>
                <w:szCs w:val="18"/>
              </w:rPr>
            </w:pPr>
            <w:r w:rsidRPr="0057187E">
              <w:rPr>
                <w:sz w:val="18"/>
                <w:szCs w:val="18"/>
              </w:rPr>
              <w:t>(3.4%)</w:t>
            </w:r>
          </w:p>
        </w:tc>
        <w:tc>
          <w:tcPr>
            <w:tcW w:w="1001" w:type="dxa"/>
          </w:tcPr>
          <w:p w14:paraId="4F49AB68" w14:textId="77777777" w:rsidR="0057187E" w:rsidRPr="0057187E" w:rsidRDefault="0057187E" w:rsidP="0057187E">
            <w:pPr>
              <w:rPr>
                <w:sz w:val="18"/>
                <w:szCs w:val="18"/>
              </w:rPr>
            </w:pPr>
            <w:r w:rsidRPr="0057187E">
              <w:rPr>
                <w:sz w:val="18"/>
                <w:szCs w:val="18"/>
              </w:rPr>
              <w:t>5</w:t>
            </w:r>
          </w:p>
          <w:p w14:paraId="5841931D" w14:textId="77777777" w:rsidR="0057187E" w:rsidRPr="0057187E" w:rsidRDefault="0057187E" w:rsidP="0057187E">
            <w:pPr>
              <w:rPr>
                <w:sz w:val="18"/>
                <w:szCs w:val="18"/>
              </w:rPr>
            </w:pPr>
            <w:r w:rsidRPr="0057187E">
              <w:rPr>
                <w:sz w:val="18"/>
                <w:szCs w:val="18"/>
              </w:rPr>
              <w:t>(4.2%)</w:t>
            </w:r>
          </w:p>
        </w:tc>
        <w:tc>
          <w:tcPr>
            <w:tcW w:w="1001" w:type="dxa"/>
          </w:tcPr>
          <w:p w14:paraId="66B5B3AC" w14:textId="77777777" w:rsidR="0057187E" w:rsidRPr="0057187E" w:rsidRDefault="0057187E" w:rsidP="0057187E">
            <w:pPr>
              <w:rPr>
                <w:sz w:val="18"/>
                <w:szCs w:val="18"/>
              </w:rPr>
            </w:pPr>
            <w:r w:rsidRPr="0057187E">
              <w:rPr>
                <w:sz w:val="18"/>
                <w:szCs w:val="18"/>
              </w:rPr>
              <w:t>2</w:t>
            </w:r>
          </w:p>
          <w:p w14:paraId="63BABC27" w14:textId="77777777" w:rsidR="0057187E" w:rsidRPr="0057187E" w:rsidRDefault="0057187E" w:rsidP="0057187E">
            <w:pPr>
              <w:rPr>
                <w:sz w:val="18"/>
                <w:szCs w:val="18"/>
              </w:rPr>
            </w:pPr>
            <w:r w:rsidRPr="0057187E">
              <w:rPr>
                <w:sz w:val="18"/>
                <w:szCs w:val="18"/>
              </w:rPr>
              <w:t>(1.7%)</w:t>
            </w:r>
          </w:p>
        </w:tc>
        <w:tc>
          <w:tcPr>
            <w:tcW w:w="1001" w:type="dxa"/>
          </w:tcPr>
          <w:p w14:paraId="0DD108E0" w14:textId="77777777" w:rsidR="0057187E" w:rsidRPr="0057187E" w:rsidRDefault="0057187E" w:rsidP="0057187E">
            <w:pPr>
              <w:rPr>
                <w:sz w:val="18"/>
                <w:szCs w:val="18"/>
              </w:rPr>
            </w:pPr>
            <w:r w:rsidRPr="0057187E">
              <w:rPr>
                <w:sz w:val="18"/>
                <w:szCs w:val="18"/>
              </w:rPr>
              <w:t>1</w:t>
            </w:r>
          </w:p>
          <w:p w14:paraId="274E31A6" w14:textId="77777777" w:rsidR="0057187E" w:rsidRPr="0057187E" w:rsidRDefault="0057187E" w:rsidP="0057187E">
            <w:pPr>
              <w:rPr>
                <w:sz w:val="18"/>
                <w:szCs w:val="18"/>
              </w:rPr>
            </w:pPr>
            <w:r w:rsidRPr="0057187E">
              <w:rPr>
                <w:sz w:val="18"/>
                <w:szCs w:val="18"/>
              </w:rPr>
              <w:t>(0.8%)</w:t>
            </w:r>
          </w:p>
        </w:tc>
        <w:tc>
          <w:tcPr>
            <w:tcW w:w="1001" w:type="dxa"/>
          </w:tcPr>
          <w:p w14:paraId="7DD37096" w14:textId="77777777" w:rsidR="0057187E" w:rsidRPr="0057187E" w:rsidRDefault="0057187E" w:rsidP="0057187E">
            <w:pPr>
              <w:rPr>
                <w:sz w:val="18"/>
                <w:szCs w:val="18"/>
              </w:rPr>
            </w:pPr>
            <w:r w:rsidRPr="0057187E">
              <w:rPr>
                <w:sz w:val="18"/>
                <w:szCs w:val="18"/>
              </w:rPr>
              <w:t>2</w:t>
            </w:r>
          </w:p>
          <w:p w14:paraId="33932F0B" w14:textId="77777777" w:rsidR="0057187E" w:rsidRPr="0057187E" w:rsidRDefault="0057187E" w:rsidP="0057187E">
            <w:pPr>
              <w:rPr>
                <w:sz w:val="18"/>
                <w:szCs w:val="18"/>
              </w:rPr>
            </w:pPr>
            <w:r w:rsidRPr="0057187E">
              <w:rPr>
                <w:sz w:val="18"/>
                <w:szCs w:val="18"/>
              </w:rPr>
              <w:t>(1.7%)</w:t>
            </w:r>
          </w:p>
        </w:tc>
      </w:tr>
      <w:tr w:rsidR="0057187E" w:rsidRPr="00800B07" w14:paraId="63C1DDBE" w14:textId="77777777" w:rsidTr="0057187E">
        <w:trPr>
          <w:trHeight w:val="533"/>
        </w:trPr>
        <w:tc>
          <w:tcPr>
            <w:tcW w:w="1979" w:type="dxa"/>
          </w:tcPr>
          <w:p w14:paraId="4BAB5A29" w14:textId="77777777" w:rsidR="0057187E" w:rsidRPr="0057187E" w:rsidRDefault="0057187E" w:rsidP="0057187E">
            <w:pPr>
              <w:rPr>
                <w:sz w:val="18"/>
                <w:szCs w:val="18"/>
              </w:rPr>
            </w:pPr>
            <w:r w:rsidRPr="0057187E">
              <w:rPr>
                <w:sz w:val="18"/>
                <w:szCs w:val="18"/>
              </w:rPr>
              <w:t>Hispanic (n = 8)</w:t>
            </w:r>
          </w:p>
        </w:tc>
        <w:tc>
          <w:tcPr>
            <w:tcW w:w="1001" w:type="dxa"/>
          </w:tcPr>
          <w:p w14:paraId="07AEB6BB" w14:textId="77777777" w:rsidR="0057187E" w:rsidRPr="0057187E" w:rsidRDefault="0057187E" w:rsidP="0057187E">
            <w:pPr>
              <w:rPr>
                <w:sz w:val="18"/>
                <w:szCs w:val="18"/>
              </w:rPr>
            </w:pPr>
            <w:r w:rsidRPr="0057187E">
              <w:rPr>
                <w:sz w:val="18"/>
                <w:szCs w:val="18"/>
              </w:rPr>
              <w:t>7</w:t>
            </w:r>
          </w:p>
          <w:p w14:paraId="54A4E39F" w14:textId="77777777" w:rsidR="0057187E" w:rsidRPr="0057187E" w:rsidRDefault="0057187E" w:rsidP="0057187E">
            <w:pPr>
              <w:rPr>
                <w:sz w:val="18"/>
                <w:szCs w:val="18"/>
              </w:rPr>
            </w:pPr>
            <w:r w:rsidRPr="0057187E">
              <w:rPr>
                <w:sz w:val="18"/>
                <w:szCs w:val="18"/>
              </w:rPr>
              <w:t>(87.5%)</w:t>
            </w:r>
          </w:p>
        </w:tc>
        <w:tc>
          <w:tcPr>
            <w:tcW w:w="1001" w:type="dxa"/>
          </w:tcPr>
          <w:p w14:paraId="54BD33BC" w14:textId="77777777" w:rsidR="0057187E" w:rsidRPr="0057187E" w:rsidRDefault="0057187E" w:rsidP="0057187E">
            <w:pPr>
              <w:rPr>
                <w:sz w:val="18"/>
                <w:szCs w:val="18"/>
              </w:rPr>
            </w:pPr>
            <w:r w:rsidRPr="0057187E">
              <w:rPr>
                <w:sz w:val="18"/>
                <w:szCs w:val="18"/>
              </w:rPr>
              <w:t>0</w:t>
            </w:r>
          </w:p>
        </w:tc>
        <w:tc>
          <w:tcPr>
            <w:tcW w:w="1001" w:type="dxa"/>
          </w:tcPr>
          <w:p w14:paraId="79769F7D" w14:textId="77777777" w:rsidR="0057187E" w:rsidRPr="0057187E" w:rsidRDefault="0057187E" w:rsidP="0057187E">
            <w:pPr>
              <w:rPr>
                <w:sz w:val="18"/>
                <w:szCs w:val="18"/>
              </w:rPr>
            </w:pPr>
            <w:r w:rsidRPr="0057187E">
              <w:rPr>
                <w:sz w:val="18"/>
                <w:szCs w:val="18"/>
              </w:rPr>
              <w:t>0</w:t>
            </w:r>
          </w:p>
        </w:tc>
        <w:tc>
          <w:tcPr>
            <w:tcW w:w="1001" w:type="dxa"/>
          </w:tcPr>
          <w:p w14:paraId="56D189B3" w14:textId="77777777" w:rsidR="0057187E" w:rsidRPr="0057187E" w:rsidRDefault="0057187E" w:rsidP="0057187E">
            <w:pPr>
              <w:rPr>
                <w:sz w:val="18"/>
                <w:szCs w:val="18"/>
              </w:rPr>
            </w:pPr>
            <w:r w:rsidRPr="0057187E">
              <w:rPr>
                <w:sz w:val="18"/>
                <w:szCs w:val="18"/>
              </w:rPr>
              <w:t>0</w:t>
            </w:r>
          </w:p>
        </w:tc>
        <w:tc>
          <w:tcPr>
            <w:tcW w:w="1001" w:type="dxa"/>
          </w:tcPr>
          <w:p w14:paraId="3F9C8BA4" w14:textId="77777777" w:rsidR="0057187E" w:rsidRPr="0057187E" w:rsidRDefault="0057187E" w:rsidP="0057187E">
            <w:pPr>
              <w:rPr>
                <w:sz w:val="18"/>
                <w:szCs w:val="18"/>
              </w:rPr>
            </w:pPr>
            <w:r w:rsidRPr="0057187E">
              <w:rPr>
                <w:sz w:val="18"/>
                <w:szCs w:val="18"/>
              </w:rPr>
              <w:t>0</w:t>
            </w:r>
          </w:p>
        </w:tc>
        <w:tc>
          <w:tcPr>
            <w:tcW w:w="1001" w:type="dxa"/>
          </w:tcPr>
          <w:p w14:paraId="73A5F6D4" w14:textId="77777777" w:rsidR="0057187E" w:rsidRPr="0057187E" w:rsidRDefault="0057187E" w:rsidP="0057187E">
            <w:pPr>
              <w:rPr>
                <w:sz w:val="18"/>
                <w:szCs w:val="18"/>
              </w:rPr>
            </w:pPr>
            <w:r w:rsidRPr="0057187E">
              <w:rPr>
                <w:sz w:val="18"/>
                <w:szCs w:val="18"/>
              </w:rPr>
              <w:t>1</w:t>
            </w:r>
          </w:p>
          <w:p w14:paraId="40FB2491" w14:textId="77777777" w:rsidR="0057187E" w:rsidRPr="0057187E" w:rsidRDefault="0057187E" w:rsidP="0057187E">
            <w:pPr>
              <w:rPr>
                <w:sz w:val="18"/>
                <w:szCs w:val="18"/>
              </w:rPr>
            </w:pPr>
            <w:r w:rsidRPr="0057187E">
              <w:rPr>
                <w:sz w:val="18"/>
                <w:szCs w:val="18"/>
              </w:rPr>
              <w:t>(12.5%)</w:t>
            </w:r>
          </w:p>
        </w:tc>
        <w:tc>
          <w:tcPr>
            <w:tcW w:w="1001" w:type="dxa"/>
          </w:tcPr>
          <w:p w14:paraId="7DB6AAC2" w14:textId="77777777" w:rsidR="0057187E" w:rsidRPr="0057187E" w:rsidRDefault="0057187E" w:rsidP="0057187E">
            <w:pPr>
              <w:rPr>
                <w:sz w:val="18"/>
                <w:szCs w:val="18"/>
              </w:rPr>
            </w:pPr>
            <w:r w:rsidRPr="0057187E">
              <w:rPr>
                <w:sz w:val="18"/>
                <w:szCs w:val="18"/>
              </w:rPr>
              <w:t>0</w:t>
            </w:r>
          </w:p>
        </w:tc>
      </w:tr>
      <w:tr w:rsidR="0057187E" w:rsidRPr="00800B07" w14:paraId="0A95458B" w14:textId="77777777" w:rsidTr="0057187E">
        <w:trPr>
          <w:trHeight w:val="533"/>
        </w:trPr>
        <w:tc>
          <w:tcPr>
            <w:tcW w:w="1979" w:type="dxa"/>
          </w:tcPr>
          <w:p w14:paraId="76230C42" w14:textId="11215C4A" w:rsidR="0057187E" w:rsidRPr="0057187E" w:rsidRDefault="0057187E" w:rsidP="0057187E">
            <w:pPr>
              <w:rPr>
                <w:sz w:val="18"/>
                <w:szCs w:val="18"/>
              </w:rPr>
            </w:pPr>
            <w:proofErr w:type="spellStart"/>
            <w:r w:rsidRPr="0057187E">
              <w:rPr>
                <w:sz w:val="18"/>
                <w:szCs w:val="18"/>
              </w:rPr>
              <w:t>Asian</w:t>
            </w:r>
            <w:proofErr w:type="spellEnd"/>
            <w:r w:rsidRPr="0057187E">
              <w:rPr>
                <w:sz w:val="18"/>
                <w:szCs w:val="18"/>
              </w:rPr>
              <w:t xml:space="preserve">  (n = 5)</w:t>
            </w:r>
          </w:p>
        </w:tc>
        <w:tc>
          <w:tcPr>
            <w:tcW w:w="1001" w:type="dxa"/>
          </w:tcPr>
          <w:p w14:paraId="399A3B89" w14:textId="77777777" w:rsidR="0057187E" w:rsidRPr="0057187E" w:rsidRDefault="0057187E" w:rsidP="0057187E">
            <w:pPr>
              <w:rPr>
                <w:sz w:val="18"/>
                <w:szCs w:val="18"/>
              </w:rPr>
            </w:pPr>
            <w:r w:rsidRPr="0057187E">
              <w:rPr>
                <w:sz w:val="18"/>
                <w:szCs w:val="18"/>
              </w:rPr>
              <w:t>3</w:t>
            </w:r>
          </w:p>
          <w:p w14:paraId="6CEABE79" w14:textId="77777777" w:rsidR="0057187E" w:rsidRPr="0057187E" w:rsidRDefault="0057187E" w:rsidP="0057187E">
            <w:pPr>
              <w:rPr>
                <w:sz w:val="18"/>
                <w:szCs w:val="18"/>
              </w:rPr>
            </w:pPr>
            <w:r w:rsidRPr="0057187E">
              <w:rPr>
                <w:sz w:val="18"/>
                <w:szCs w:val="18"/>
              </w:rPr>
              <w:t>(60.0%)</w:t>
            </w:r>
          </w:p>
        </w:tc>
        <w:tc>
          <w:tcPr>
            <w:tcW w:w="1001" w:type="dxa"/>
          </w:tcPr>
          <w:p w14:paraId="049A21A5" w14:textId="77777777" w:rsidR="0057187E" w:rsidRPr="0057187E" w:rsidRDefault="0057187E" w:rsidP="0057187E">
            <w:pPr>
              <w:rPr>
                <w:sz w:val="18"/>
                <w:szCs w:val="18"/>
              </w:rPr>
            </w:pPr>
            <w:r w:rsidRPr="0057187E">
              <w:rPr>
                <w:sz w:val="18"/>
                <w:szCs w:val="18"/>
              </w:rPr>
              <w:t>1</w:t>
            </w:r>
          </w:p>
          <w:p w14:paraId="280969D2" w14:textId="77777777" w:rsidR="0057187E" w:rsidRPr="0057187E" w:rsidRDefault="0057187E" w:rsidP="0057187E">
            <w:pPr>
              <w:rPr>
                <w:sz w:val="18"/>
                <w:szCs w:val="18"/>
              </w:rPr>
            </w:pPr>
            <w:r w:rsidRPr="0057187E">
              <w:rPr>
                <w:sz w:val="18"/>
                <w:szCs w:val="18"/>
              </w:rPr>
              <w:t>(20.0%)</w:t>
            </w:r>
          </w:p>
        </w:tc>
        <w:tc>
          <w:tcPr>
            <w:tcW w:w="1001" w:type="dxa"/>
          </w:tcPr>
          <w:p w14:paraId="0C2D5D95" w14:textId="77777777" w:rsidR="0057187E" w:rsidRPr="0057187E" w:rsidRDefault="0057187E" w:rsidP="0057187E">
            <w:pPr>
              <w:rPr>
                <w:sz w:val="18"/>
                <w:szCs w:val="18"/>
              </w:rPr>
            </w:pPr>
            <w:r w:rsidRPr="0057187E">
              <w:rPr>
                <w:sz w:val="18"/>
                <w:szCs w:val="18"/>
              </w:rPr>
              <w:t>1</w:t>
            </w:r>
          </w:p>
          <w:p w14:paraId="436BCAC3" w14:textId="77777777" w:rsidR="0057187E" w:rsidRPr="0057187E" w:rsidRDefault="0057187E" w:rsidP="0057187E">
            <w:pPr>
              <w:rPr>
                <w:sz w:val="18"/>
                <w:szCs w:val="18"/>
              </w:rPr>
            </w:pPr>
            <w:r w:rsidRPr="0057187E">
              <w:rPr>
                <w:sz w:val="18"/>
                <w:szCs w:val="18"/>
              </w:rPr>
              <w:t>(20.0%)</w:t>
            </w:r>
          </w:p>
        </w:tc>
        <w:tc>
          <w:tcPr>
            <w:tcW w:w="1001" w:type="dxa"/>
          </w:tcPr>
          <w:p w14:paraId="194E6612" w14:textId="77777777" w:rsidR="0057187E" w:rsidRPr="0057187E" w:rsidRDefault="0057187E" w:rsidP="0057187E">
            <w:pPr>
              <w:rPr>
                <w:sz w:val="18"/>
                <w:szCs w:val="18"/>
              </w:rPr>
            </w:pPr>
            <w:r w:rsidRPr="0057187E">
              <w:rPr>
                <w:sz w:val="18"/>
                <w:szCs w:val="18"/>
              </w:rPr>
              <w:t>0</w:t>
            </w:r>
          </w:p>
        </w:tc>
        <w:tc>
          <w:tcPr>
            <w:tcW w:w="1001" w:type="dxa"/>
          </w:tcPr>
          <w:p w14:paraId="6FAE8219" w14:textId="77777777" w:rsidR="0057187E" w:rsidRPr="0057187E" w:rsidRDefault="0057187E" w:rsidP="0057187E">
            <w:pPr>
              <w:rPr>
                <w:sz w:val="18"/>
                <w:szCs w:val="18"/>
              </w:rPr>
            </w:pPr>
            <w:r w:rsidRPr="0057187E">
              <w:rPr>
                <w:sz w:val="18"/>
                <w:szCs w:val="18"/>
              </w:rPr>
              <w:t>0</w:t>
            </w:r>
          </w:p>
        </w:tc>
        <w:tc>
          <w:tcPr>
            <w:tcW w:w="1001" w:type="dxa"/>
          </w:tcPr>
          <w:p w14:paraId="14C1F6D1" w14:textId="77777777" w:rsidR="0057187E" w:rsidRPr="0057187E" w:rsidRDefault="0057187E" w:rsidP="0057187E">
            <w:pPr>
              <w:rPr>
                <w:sz w:val="18"/>
                <w:szCs w:val="18"/>
              </w:rPr>
            </w:pPr>
            <w:r w:rsidRPr="0057187E">
              <w:rPr>
                <w:sz w:val="18"/>
                <w:szCs w:val="18"/>
              </w:rPr>
              <w:t>0</w:t>
            </w:r>
          </w:p>
        </w:tc>
        <w:tc>
          <w:tcPr>
            <w:tcW w:w="1001" w:type="dxa"/>
          </w:tcPr>
          <w:p w14:paraId="70265B9B" w14:textId="77777777" w:rsidR="0057187E" w:rsidRPr="0057187E" w:rsidRDefault="0057187E" w:rsidP="0057187E">
            <w:pPr>
              <w:rPr>
                <w:sz w:val="18"/>
                <w:szCs w:val="18"/>
              </w:rPr>
            </w:pPr>
            <w:r w:rsidRPr="0057187E">
              <w:rPr>
                <w:sz w:val="18"/>
                <w:szCs w:val="18"/>
              </w:rPr>
              <w:t>0</w:t>
            </w:r>
          </w:p>
        </w:tc>
      </w:tr>
      <w:tr w:rsidR="0057187E" w:rsidRPr="00800B07" w14:paraId="63DEAF4B" w14:textId="77777777" w:rsidTr="0057187E">
        <w:trPr>
          <w:trHeight w:val="513"/>
        </w:trPr>
        <w:tc>
          <w:tcPr>
            <w:tcW w:w="1979" w:type="dxa"/>
          </w:tcPr>
          <w:p w14:paraId="6F7FCF43" w14:textId="47DE4AF7" w:rsidR="0057187E" w:rsidRPr="0057187E" w:rsidRDefault="0057187E" w:rsidP="0057187E">
            <w:pPr>
              <w:rPr>
                <w:sz w:val="18"/>
                <w:szCs w:val="18"/>
              </w:rPr>
            </w:pPr>
            <w:r w:rsidRPr="0057187E">
              <w:rPr>
                <w:sz w:val="18"/>
                <w:szCs w:val="18"/>
              </w:rPr>
              <w:t xml:space="preserve">Black (n = 1) </w:t>
            </w:r>
          </w:p>
        </w:tc>
        <w:tc>
          <w:tcPr>
            <w:tcW w:w="1001" w:type="dxa"/>
          </w:tcPr>
          <w:p w14:paraId="153F3C32" w14:textId="77777777" w:rsidR="0057187E" w:rsidRPr="0057187E" w:rsidRDefault="0057187E" w:rsidP="0057187E">
            <w:pPr>
              <w:rPr>
                <w:sz w:val="18"/>
                <w:szCs w:val="18"/>
              </w:rPr>
            </w:pPr>
            <w:r w:rsidRPr="0057187E">
              <w:rPr>
                <w:sz w:val="18"/>
                <w:szCs w:val="18"/>
              </w:rPr>
              <w:t>0</w:t>
            </w:r>
          </w:p>
        </w:tc>
        <w:tc>
          <w:tcPr>
            <w:tcW w:w="1001" w:type="dxa"/>
          </w:tcPr>
          <w:p w14:paraId="35F51192" w14:textId="77777777" w:rsidR="0057187E" w:rsidRPr="0057187E" w:rsidRDefault="0057187E" w:rsidP="0057187E">
            <w:pPr>
              <w:rPr>
                <w:sz w:val="18"/>
                <w:szCs w:val="18"/>
              </w:rPr>
            </w:pPr>
            <w:r w:rsidRPr="0057187E">
              <w:rPr>
                <w:sz w:val="18"/>
                <w:szCs w:val="18"/>
              </w:rPr>
              <w:t>1</w:t>
            </w:r>
          </w:p>
          <w:p w14:paraId="15AFEBDA" w14:textId="77777777" w:rsidR="0057187E" w:rsidRPr="0057187E" w:rsidRDefault="0057187E" w:rsidP="0057187E">
            <w:pPr>
              <w:rPr>
                <w:sz w:val="18"/>
                <w:szCs w:val="18"/>
              </w:rPr>
            </w:pPr>
            <w:r w:rsidRPr="0057187E">
              <w:rPr>
                <w:sz w:val="18"/>
                <w:szCs w:val="18"/>
              </w:rPr>
              <w:t>(100.0%)</w:t>
            </w:r>
          </w:p>
        </w:tc>
        <w:tc>
          <w:tcPr>
            <w:tcW w:w="1001" w:type="dxa"/>
          </w:tcPr>
          <w:p w14:paraId="18F7CD8F" w14:textId="77777777" w:rsidR="0057187E" w:rsidRPr="0057187E" w:rsidRDefault="0057187E" w:rsidP="0057187E">
            <w:pPr>
              <w:rPr>
                <w:sz w:val="18"/>
                <w:szCs w:val="18"/>
              </w:rPr>
            </w:pPr>
            <w:r w:rsidRPr="0057187E">
              <w:rPr>
                <w:sz w:val="18"/>
                <w:szCs w:val="18"/>
              </w:rPr>
              <w:t>0</w:t>
            </w:r>
          </w:p>
        </w:tc>
        <w:tc>
          <w:tcPr>
            <w:tcW w:w="1001" w:type="dxa"/>
          </w:tcPr>
          <w:p w14:paraId="7595A5BC" w14:textId="77777777" w:rsidR="0057187E" w:rsidRPr="0057187E" w:rsidRDefault="0057187E" w:rsidP="0057187E">
            <w:pPr>
              <w:rPr>
                <w:sz w:val="18"/>
                <w:szCs w:val="18"/>
              </w:rPr>
            </w:pPr>
            <w:r w:rsidRPr="0057187E">
              <w:rPr>
                <w:sz w:val="18"/>
                <w:szCs w:val="18"/>
              </w:rPr>
              <w:t>0</w:t>
            </w:r>
          </w:p>
        </w:tc>
        <w:tc>
          <w:tcPr>
            <w:tcW w:w="1001" w:type="dxa"/>
          </w:tcPr>
          <w:p w14:paraId="090425BF" w14:textId="77777777" w:rsidR="0057187E" w:rsidRPr="0057187E" w:rsidRDefault="0057187E" w:rsidP="0057187E">
            <w:pPr>
              <w:rPr>
                <w:sz w:val="18"/>
                <w:szCs w:val="18"/>
              </w:rPr>
            </w:pPr>
            <w:r w:rsidRPr="0057187E">
              <w:rPr>
                <w:sz w:val="18"/>
                <w:szCs w:val="18"/>
              </w:rPr>
              <w:t>0</w:t>
            </w:r>
          </w:p>
        </w:tc>
        <w:tc>
          <w:tcPr>
            <w:tcW w:w="1001" w:type="dxa"/>
          </w:tcPr>
          <w:p w14:paraId="7F28BB04" w14:textId="77777777" w:rsidR="0057187E" w:rsidRPr="0057187E" w:rsidRDefault="0057187E" w:rsidP="0057187E">
            <w:pPr>
              <w:rPr>
                <w:sz w:val="18"/>
                <w:szCs w:val="18"/>
              </w:rPr>
            </w:pPr>
            <w:r w:rsidRPr="0057187E">
              <w:rPr>
                <w:sz w:val="18"/>
                <w:szCs w:val="18"/>
              </w:rPr>
              <w:t>0</w:t>
            </w:r>
          </w:p>
        </w:tc>
        <w:tc>
          <w:tcPr>
            <w:tcW w:w="1001" w:type="dxa"/>
          </w:tcPr>
          <w:p w14:paraId="589B9637" w14:textId="77777777" w:rsidR="0057187E" w:rsidRPr="0057187E" w:rsidRDefault="0057187E" w:rsidP="0057187E">
            <w:pPr>
              <w:rPr>
                <w:sz w:val="18"/>
                <w:szCs w:val="18"/>
              </w:rPr>
            </w:pPr>
            <w:r w:rsidRPr="0057187E">
              <w:rPr>
                <w:sz w:val="18"/>
                <w:szCs w:val="18"/>
              </w:rPr>
              <w:t>0</w:t>
            </w:r>
          </w:p>
        </w:tc>
      </w:tr>
    </w:tbl>
    <w:p w14:paraId="70F7BEFD" w14:textId="08B2DE7E" w:rsidR="0057187E" w:rsidRDefault="0057187E" w:rsidP="0057187E">
      <w:pPr>
        <w:rPr>
          <w:sz w:val="18"/>
          <w:szCs w:val="18"/>
        </w:rPr>
      </w:pPr>
    </w:p>
    <w:p w14:paraId="510E3C26" w14:textId="2A26565F" w:rsidR="0057187E" w:rsidRDefault="0057187E" w:rsidP="0057187E">
      <w:pPr>
        <w:rPr>
          <w:sz w:val="18"/>
          <w:szCs w:val="18"/>
        </w:rPr>
      </w:pPr>
    </w:p>
    <w:p w14:paraId="1BCC48D0" w14:textId="4556F222" w:rsidR="0057187E" w:rsidRDefault="0057187E" w:rsidP="0057187E">
      <w:pPr>
        <w:rPr>
          <w:sz w:val="18"/>
          <w:szCs w:val="18"/>
        </w:rPr>
      </w:pPr>
    </w:p>
    <w:p w14:paraId="3393D35A" w14:textId="1F4CD8A2" w:rsidR="0057187E" w:rsidRDefault="0057187E" w:rsidP="0057187E">
      <w:pPr>
        <w:rPr>
          <w:sz w:val="18"/>
          <w:szCs w:val="18"/>
        </w:rPr>
      </w:pPr>
    </w:p>
    <w:p w14:paraId="621F8429" w14:textId="0E4AA794" w:rsidR="0057187E" w:rsidRDefault="0057187E" w:rsidP="0057187E">
      <w:pPr>
        <w:rPr>
          <w:sz w:val="18"/>
          <w:szCs w:val="18"/>
        </w:rPr>
      </w:pPr>
    </w:p>
    <w:p w14:paraId="610B8AF7" w14:textId="0800155E" w:rsidR="0057187E" w:rsidRDefault="0057187E" w:rsidP="0057187E">
      <w:pPr>
        <w:rPr>
          <w:sz w:val="18"/>
          <w:szCs w:val="18"/>
        </w:rPr>
      </w:pPr>
    </w:p>
    <w:p w14:paraId="0640720C" w14:textId="77777777" w:rsidR="0057187E" w:rsidRDefault="0057187E" w:rsidP="0057187E">
      <w:pPr>
        <w:rPr>
          <w:sz w:val="18"/>
          <w:szCs w:val="18"/>
        </w:rPr>
      </w:pPr>
    </w:p>
    <w:p w14:paraId="1425A9AB" w14:textId="65C5CAAB" w:rsidR="001B324E" w:rsidRPr="009F7E15" w:rsidRDefault="001B324E" w:rsidP="00CC6FA2">
      <w:pPr>
        <w:pStyle w:val="Kop3"/>
        <w:numPr>
          <w:ilvl w:val="1"/>
          <w:numId w:val="7"/>
        </w:numPr>
        <w:spacing w:line="480" w:lineRule="auto"/>
        <w:rPr>
          <w:lang w:val="en-GB"/>
        </w:rPr>
      </w:pPr>
      <w:bookmarkStart w:id="84" w:name="_Toc68163866"/>
      <w:bookmarkStart w:id="85" w:name="_Toc68333377"/>
      <w:bookmarkStart w:id="86" w:name="_Toc68704051"/>
      <w:bookmarkStart w:id="87" w:name="_Toc70154214"/>
      <w:bookmarkStart w:id="88" w:name="_Toc70238565"/>
      <w:r>
        <w:rPr>
          <w:lang w:val="en-GB"/>
        </w:rPr>
        <w:lastRenderedPageBreak/>
        <w:t>Relevant comorbidities</w:t>
      </w:r>
      <w:bookmarkEnd w:id="84"/>
      <w:bookmarkEnd w:id="85"/>
      <w:bookmarkEnd w:id="86"/>
      <w:bookmarkEnd w:id="87"/>
      <w:bookmarkEnd w:id="88"/>
      <w:r>
        <w:rPr>
          <w:lang w:val="en-GB"/>
        </w:rPr>
        <w:t xml:space="preserve"> </w:t>
      </w:r>
    </w:p>
    <w:p w14:paraId="625BED5A" w14:textId="0F84F9BE" w:rsidR="001B324E" w:rsidRDefault="001B324E" w:rsidP="005769F3">
      <w:pPr>
        <w:spacing w:line="480" w:lineRule="auto"/>
        <w:jc w:val="both"/>
        <w:rPr>
          <w:lang w:val="en-GB"/>
        </w:rPr>
      </w:pPr>
      <w:r w:rsidRPr="002339C5">
        <w:rPr>
          <w:lang w:val="en-GB"/>
        </w:rPr>
        <w:t xml:space="preserve">Table </w:t>
      </w:r>
      <w:r w:rsidR="00DD0388">
        <w:rPr>
          <w:lang w:val="en-GB"/>
        </w:rPr>
        <w:t>5</w:t>
      </w:r>
      <w:r w:rsidRPr="002339C5">
        <w:rPr>
          <w:lang w:val="en-GB"/>
        </w:rPr>
        <w:t xml:space="preserve"> </w:t>
      </w:r>
      <w:r>
        <w:rPr>
          <w:lang w:val="en-GB"/>
        </w:rPr>
        <w:t>lists</w:t>
      </w:r>
      <w:r w:rsidRPr="002339C5">
        <w:rPr>
          <w:lang w:val="en-GB"/>
        </w:rPr>
        <w:t xml:space="preserve"> the relevant </w:t>
      </w:r>
      <w:r>
        <w:rPr>
          <w:lang w:val="en-GB"/>
        </w:rPr>
        <w:t xml:space="preserve">comorbidities within our entire study population </w:t>
      </w:r>
      <w:r w:rsidRPr="00FE6000">
        <w:rPr>
          <w:lang w:val="en-GB"/>
        </w:rPr>
        <w:t>as well as in the subpopulations per stone type</w:t>
      </w:r>
      <w:r>
        <w:rPr>
          <w:lang w:val="en-GB"/>
        </w:rPr>
        <w:t xml:space="preserve">. </w:t>
      </w:r>
      <w:r w:rsidR="005769F3">
        <w:rPr>
          <w:lang w:val="en-GB"/>
        </w:rPr>
        <w:t xml:space="preserve">In total, </w:t>
      </w:r>
      <w:r>
        <w:rPr>
          <w:lang w:val="en-GB"/>
        </w:rPr>
        <w:t>3</w:t>
      </w:r>
      <w:r w:rsidR="00774FA3">
        <w:rPr>
          <w:lang w:val="en-GB"/>
        </w:rPr>
        <w:t>5</w:t>
      </w:r>
      <w:r w:rsidR="000610BD">
        <w:rPr>
          <w:lang w:val="en-GB"/>
        </w:rPr>
        <w:t>.</w:t>
      </w:r>
      <w:r w:rsidR="00774FA3">
        <w:rPr>
          <w:lang w:val="en-GB"/>
        </w:rPr>
        <w:t>0</w:t>
      </w:r>
      <w:r>
        <w:rPr>
          <w:lang w:val="en-GB"/>
        </w:rPr>
        <w:t xml:space="preserve">% of the study population had no known relevant comorbidities. </w:t>
      </w:r>
      <w:r w:rsidR="005769F3">
        <w:rPr>
          <w:lang w:val="en-GB"/>
        </w:rPr>
        <w:t xml:space="preserve"> </w:t>
      </w:r>
    </w:p>
    <w:p w14:paraId="7BAD7693" w14:textId="219F5868" w:rsidR="001B324E" w:rsidRDefault="00805D3C" w:rsidP="005769F3">
      <w:pPr>
        <w:spacing w:line="480" w:lineRule="auto"/>
        <w:jc w:val="both"/>
        <w:rPr>
          <w:lang w:val="en-GB"/>
        </w:rPr>
      </w:pPr>
      <w:r>
        <w:rPr>
          <w:lang w:val="en-GB"/>
        </w:rPr>
        <w:t>Our study population of s</w:t>
      </w:r>
      <w:r w:rsidR="00DE7C1D">
        <w:rPr>
          <w:lang w:val="en-GB"/>
        </w:rPr>
        <w:t xml:space="preserve">tone-formers </w:t>
      </w:r>
      <w:r w:rsidR="00A837DE">
        <w:rPr>
          <w:lang w:val="en-GB"/>
        </w:rPr>
        <w:t xml:space="preserve">had </w:t>
      </w:r>
      <w:r w:rsidR="00DE7C1D">
        <w:rPr>
          <w:lang w:val="en-GB"/>
        </w:rPr>
        <w:t>a high prevalence of cardiovascular risk factors, with 28</w:t>
      </w:r>
      <w:r w:rsidR="000610BD">
        <w:rPr>
          <w:lang w:val="en-GB"/>
        </w:rPr>
        <w:t>.</w:t>
      </w:r>
      <w:r w:rsidR="00DE7C1D">
        <w:rPr>
          <w:lang w:val="en-GB"/>
        </w:rPr>
        <w:t>0% suffering from AHT</w:t>
      </w:r>
      <w:r w:rsidR="001B324E" w:rsidRPr="002702AC">
        <w:rPr>
          <w:lang w:val="en-GB"/>
        </w:rPr>
        <w:t xml:space="preserve">, </w:t>
      </w:r>
      <w:r w:rsidR="001B324E">
        <w:rPr>
          <w:lang w:val="en-GB"/>
        </w:rPr>
        <w:t>24</w:t>
      </w:r>
      <w:r w:rsidR="000610BD">
        <w:rPr>
          <w:lang w:val="en-GB"/>
        </w:rPr>
        <w:t>.</w:t>
      </w:r>
      <w:r w:rsidR="001B324E">
        <w:rPr>
          <w:lang w:val="en-GB"/>
        </w:rPr>
        <w:t>3% from obesity, 22</w:t>
      </w:r>
      <w:r w:rsidR="000610BD">
        <w:rPr>
          <w:lang w:val="en-GB"/>
        </w:rPr>
        <w:t>.</w:t>
      </w:r>
      <w:r w:rsidR="00224DE7">
        <w:rPr>
          <w:lang w:val="en-GB"/>
        </w:rPr>
        <w:t>5</w:t>
      </w:r>
      <w:r w:rsidR="001B324E">
        <w:rPr>
          <w:lang w:val="en-GB"/>
        </w:rPr>
        <w:t xml:space="preserve">% from </w:t>
      </w:r>
      <w:r w:rsidR="00DE7C1D">
        <w:rPr>
          <w:lang w:val="en-GB"/>
        </w:rPr>
        <w:t>dys</w:t>
      </w:r>
      <w:r w:rsidR="001B324E">
        <w:rPr>
          <w:lang w:val="en-GB"/>
        </w:rPr>
        <w:t>lipidaemia</w:t>
      </w:r>
      <w:r w:rsidR="00DE7C1D">
        <w:rPr>
          <w:lang w:val="en-GB"/>
        </w:rPr>
        <w:t xml:space="preserve">, </w:t>
      </w:r>
      <w:r w:rsidR="00224DE7">
        <w:rPr>
          <w:lang w:val="en-GB"/>
        </w:rPr>
        <w:t>14</w:t>
      </w:r>
      <w:r w:rsidR="000610BD">
        <w:rPr>
          <w:lang w:val="en-GB"/>
        </w:rPr>
        <w:t>.</w:t>
      </w:r>
      <w:r w:rsidR="00774FA3">
        <w:rPr>
          <w:lang w:val="en-GB"/>
        </w:rPr>
        <w:t>3</w:t>
      </w:r>
      <w:r w:rsidR="001B324E">
        <w:rPr>
          <w:lang w:val="en-GB"/>
        </w:rPr>
        <w:t>% from diabetes</w:t>
      </w:r>
      <w:r w:rsidR="000473C0">
        <w:rPr>
          <w:lang w:val="en-GB"/>
        </w:rPr>
        <w:t xml:space="preserve"> </w:t>
      </w:r>
      <w:r w:rsidR="00753E47">
        <w:rPr>
          <w:lang w:val="en-GB"/>
        </w:rPr>
        <w:t>(13</w:t>
      </w:r>
      <w:r w:rsidR="000610BD">
        <w:rPr>
          <w:lang w:val="en-GB"/>
        </w:rPr>
        <w:t>.</w:t>
      </w:r>
      <w:r w:rsidR="00753E47">
        <w:rPr>
          <w:lang w:val="en-GB"/>
        </w:rPr>
        <w:t>4% diabetes type 2, 0</w:t>
      </w:r>
      <w:r w:rsidR="000610BD">
        <w:rPr>
          <w:lang w:val="en-GB"/>
        </w:rPr>
        <w:t>.</w:t>
      </w:r>
      <w:r w:rsidR="00753E47">
        <w:rPr>
          <w:lang w:val="en-GB"/>
        </w:rPr>
        <w:t>6% type 1, 0</w:t>
      </w:r>
      <w:r w:rsidR="000610BD">
        <w:rPr>
          <w:lang w:val="en-GB"/>
        </w:rPr>
        <w:t>.</w:t>
      </w:r>
      <w:r w:rsidR="00753E47">
        <w:rPr>
          <w:lang w:val="en-GB"/>
        </w:rPr>
        <w:t xml:space="preserve">2% unclassified diabetes) </w:t>
      </w:r>
      <w:r w:rsidR="001B324E">
        <w:rPr>
          <w:lang w:val="en-GB"/>
        </w:rPr>
        <w:t>, 4</w:t>
      </w:r>
      <w:r w:rsidR="000610BD">
        <w:rPr>
          <w:lang w:val="en-GB"/>
        </w:rPr>
        <w:t>.</w:t>
      </w:r>
      <w:r w:rsidR="001B324E">
        <w:rPr>
          <w:lang w:val="en-GB"/>
        </w:rPr>
        <w:t>3% from OSAS and 3</w:t>
      </w:r>
      <w:r w:rsidR="000610BD">
        <w:rPr>
          <w:lang w:val="en-GB"/>
        </w:rPr>
        <w:t>.</w:t>
      </w:r>
      <w:r w:rsidR="001B324E">
        <w:rPr>
          <w:lang w:val="en-GB"/>
        </w:rPr>
        <w:t xml:space="preserve">7% from gout. </w:t>
      </w:r>
      <w:r w:rsidR="00155B18">
        <w:rPr>
          <w:lang w:val="en-GB"/>
        </w:rPr>
        <w:t xml:space="preserve">Furthermore, </w:t>
      </w:r>
      <w:r w:rsidR="00DE7C1D">
        <w:rPr>
          <w:lang w:val="en-GB"/>
        </w:rPr>
        <w:t>7</w:t>
      </w:r>
      <w:r w:rsidR="000610BD">
        <w:rPr>
          <w:lang w:val="en-GB"/>
        </w:rPr>
        <w:t>.</w:t>
      </w:r>
      <w:r w:rsidR="00774FA3">
        <w:rPr>
          <w:lang w:val="en-GB"/>
        </w:rPr>
        <w:t>1</w:t>
      </w:r>
      <w:r w:rsidR="00DE7C1D">
        <w:rPr>
          <w:lang w:val="en-GB"/>
        </w:rPr>
        <w:t>%</w:t>
      </w:r>
      <w:r w:rsidR="00155B18">
        <w:rPr>
          <w:lang w:val="en-GB"/>
        </w:rPr>
        <w:t xml:space="preserve"> suffer</w:t>
      </w:r>
      <w:r w:rsidR="00A837DE">
        <w:rPr>
          <w:lang w:val="en-GB"/>
        </w:rPr>
        <w:t>ed</w:t>
      </w:r>
      <w:r w:rsidR="00DE7C1D">
        <w:rPr>
          <w:lang w:val="en-GB"/>
        </w:rPr>
        <w:t xml:space="preserve"> from cardiovascular disease</w:t>
      </w:r>
      <w:r w:rsidR="00155B18">
        <w:rPr>
          <w:lang w:val="en-GB"/>
        </w:rPr>
        <w:t xml:space="preserve"> and 13</w:t>
      </w:r>
      <w:r w:rsidR="000610BD">
        <w:rPr>
          <w:lang w:val="en-GB"/>
        </w:rPr>
        <w:t>.</w:t>
      </w:r>
      <w:r w:rsidR="00774FA3">
        <w:rPr>
          <w:lang w:val="en-GB"/>
        </w:rPr>
        <w:t>3</w:t>
      </w:r>
      <w:r w:rsidR="00155B18">
        <w:rPr>
          <w:lang w:val="en-GB"/>
        </w:rPr>
        <w:t xml:space="preserve">% from chronic kidney disease. </w:t>
      </w:r>
      <w:r w:rsidR="008134CD" w:rsidRPr="008134CD">
        <w:rPr>
          <w:lang w:val="en-GB"/>
        </w:rPr>
        <w:t xml:space="preserve">The mean serum creatinine and eGFR </w:t>
      </w:r>
      <w:r>
        <w:rPr>
          <w:lang w:val="en-GB"/>
        </w:rPr>
        <w:t xml:space="preserve">(MDRD or CKD-EPI) </w:t>
      </w:r>
      <w:r w:rsidR="008134CD" w:rsidRPr="008134CD">
        <w:rPr>
          <w:lang w:val="en-GB"/>
        </w:rPr>
        <w:t xml:space="preserve">in patients with </w:t>
      </w:r>
      <w:r w:rsidR="008134CD">
        <w:rPr>
          <w:lang w:val="en-GB"/>
        </w:rPr>
        <w:t xml:space="preserve">CKD </w:t>
      </w:r>
      <w:r w:rsidR="008134CD" w:rsidRPr="008134CD">
        <w:rPr>
          <w:lang w:val="en-GB"/>
        </w:rPr>
        <w:t>were 1.4 mg/dL and 49.0 mL/min, respectively.</w:t>
      </w:r>
    </w:p>
    <w:p w14:paraId="6F48329D" w14:textId="320BAC91" w:rsidR="00155B18" w:rsidRDefault="00224DE7" w:rsidP="005769F3">
      <w:pPr>
        <w:spacing w:line="480" w:lineRule="auto"/>
        <w:jc w:val="both"/>
        <w:rPr>
          <w:lang w:val="en-GB"/>
        </w:rPr>
      </w:pPr>
      <w:r>
        <w:rPr>
          <w:lang w:val="en-GB"/>
        </w:rPr>
        <w:t>Renal and u</w:t>
      </w:r>
      <w:r w:rsidR="001B324E">
        <w:rPr>
          <w:lang w:val="en-GB"/>
        </w:rPr>
        <w:t>rologic</w:t>
      </w:r>
      <w:r w:rsidR="0006627B">
        <w:rPr>
          <w:lang w:val="en-GB"/>
        </w:rPr>
        <w:t>al</w:t>
      </w:r>
      <w:r w:rsidR="001B324E">
        <w:rPr>
          <w:lang w:val="en-GB"/>
        </w:rPr>
        <w:t xml:space="preserve"> abnormalities were found in 1</w:t>
      </w:r>
      <w:r>
        <w:rPr>
          <w:lang w:val="en-GB"/>
        </w:rPr>
        <w:t>5</w:t>
      </w:r>
      <w:r w:rsidR="000610BD">
        <w:rPr>
          <w:lang w:val="en-GB"/>
        </w:rPr>
        <w:t>.</w:t>
      </w:r>
      <w:r w:rsidR="00774FA3">
        <w:rPr>
          <w:lang w:val="en-GB"/>
        </w:rPr>
        <w:t>1</w:t>
      </w:r>
      <w:r w:rsidR="001B324E">
        <w:rPr>
          <w:lang w:val="en-GB"/>
        </w:rPr>
        <w:t>%</w:t>
      </w:r>
      <w:r w:rsidR="00155B18">
        <w:rPr>
          <w:lang w:val="en-GB"/>
        </w:rPr>
        <w:t xml:space="preserve">, with </w:t>
      </w:r>
      <w:r w:rsidR="00A84A63">
        <w:rPr>
          <w:lang w:val="en-GB"/>
        </w:rPr>
        <w:t xml:space="preserve">most commonly </w:t>
      </w:r>
      <w:r w:rsidR="00155B18">
        <w:rPr>
          <w:lang w:val="en-GB"/>
        </w:rPr>
        <w:t>prostatic disease in 3</w:t>
      </w:r>
      <w:r w:rsidR="000610BD">
        <w:rPr>
          <w:lang w:val="en-GB"/>
        </w:rPr>
        <w:t>.</w:t>
      </w:r>
      <w:r w:rsidR="00774FA3">
        <w:rPr>
          <w:lang w:val="en-GB"/>
        </w:rPr>
        <w:t>6</w:t>
      </w:r>
      <w:r w:rsidR="00155B18">
        <w:rPr>
          <w:lang w:val="en-GB"/>
        </w:rPr>
        <w:t xml:space="preserve">%, </w:t>
      </w:r>
      <w:r w:rsidR="00A84A63">
        <w:rPr>
          <w:lang w:val="en-GB"/>
        </w:rPr>
        <w:t xml:space="preserve">and </w:t>
      </w:r>
      <w:r w:rsidR="00155B18">
        <w:rPr>
          <w:lang w:val="en-GB"/>
        </w:rPr>
        <w:t>recurrent UTIs in 5</w:t>
      </w:r>
      <w:r w:rsidR="000610BD">
        <w:rPr>
          <w:lang w:val="en-GB"/>
        </w:rPr>
        <w:t>.</w:t>
      </w:r>
      <w:r w:rsidR="00155B18">
        <w:rPr>
          <w:lang w:val="en-GB"/>
        </w:rPr>
        <w:t>5%</w:t>
      </w:r>
      <w:r w:rsidR="00B96F93">
        <w:rPr>
          <w:lang w:val="en-GB"/>
        </w:rPr>
        <w:t>.</w:t>
      </w:r>
      <w:r w:rsidR="00155B18">
        <w:rPr>
          <w:lang w:val="en-GB"/>
        </w:rPr>
        <w:t xml:space="preserve"> Gastro-intestinal comorbidities were reported in 7</w:t>
      </w:r>
      <w:r w:rsidR="000610BD">
        <w:rPr>
          <w:lang w:val="en-GB"/>
        </w:rPr>
        <w:t>.</w:t>
      </w:r>
      <w:r w:rsidR="00155B18">
        <w:rPr>
          <w:lang w:val="en-GB"/>
        </w:rPr>
        <w:t>3% of the patients, including IBD in 2</w:t>
      </w:r>
      <w:r w:rsidR="000610BD">
        <w:rPr>
          <w:lang w:val="en-GB"/>
        </w:rPr>
        <w:t>.</w:t>
      </w:r>
      <w:r w:rsidR="00155B18">
        <w:rPr>
          <w:lang w:val="en-GB"/>
        </w:rPr>
        <w:t>4%, ileal resection in 1</w:t>
      </w:r>
      <w:r w:rsidR="000610BD">
        <w:rPr>
          <w:lang w:val="en-GB"/>
        </w:rPr>
        <w:t>.</w:t>
      </w:r>
      <w:r w:rsidR="00155B18">
        <w:rPr>
          <w:lang w:val="en-GB"/>
        </w:rPr>
        <w:t>8%, pancreatic insufficiency in 0</w:t>
      </w:r>
      <w:r w:rsidR="000610BD">
        <w:rPr>
          <w:lang w:val="en-GB"/>
        </w:rPr>
        <w:t>.</w:t>
      </w:r>
      <w:r w:rsidR="00774FA3">
        <w:rPr>
          <w:lang w:val="en-GB"/>
        </w:rPr>
        <w:t>4</w:t>
      </w:r>
      <w:r w:rsidR="00155B18">
        <w:rPr>
          <w:lang w:val="en-GB"/>
        </w:rPr>
        <w:t xml:space="preserve">%, </w:t>
      </w:r>
      <w:r w:rsidR="003A7331">
        <w:rPr>
          <w:lang w:val="en-GB"/>
        </w:rPr>
        <w:t xml:space="preserve">and </w:t>
      </w:r>
      <w:r w:rsidR="00774FA3">
        <w:rPr>
          <w:lang w:val="en-GB"/>
        </w:rPr>
        <w:t xml:space="preserve">gastric bypass </w:t>
      </w:r>
      <w:r w:rsidR="003A7331">
        <w:rPr>
          <w:lang w:val="en-GB"/>
        </w:rPr>
        <w:t xml:space="preserve">surgery </w:t>
      </w:r>
      <w:r w:rsidR="00774FA3">
        <w:rPr>
          <w:lang w:val="en-GB"/>
        </w:rPr>
        <w:t>in 1</w:t>
      </w:r>
      <w:r w:rsidR="000610BD">
        <w:rPr>
          <w:lang w:val="en-GB"/>
        </w:rPr>
        <w:t>.</w:t>
      </w:r>
      <w:r w:rsidR="00774FA3">
        <w:rPr>
          <w:lang w:val="en-GB"/>
        </w:rPr>
        <w:t>1%</w:t>
      </w:r>
      <w:r w:rsidR="005769F3">
        <w:rPr>
          <w:lang w:val="en-GB"/>
        </w:rPr>
        <w:t xml:space="preserve">. </w:t>
      </w:r>
      <w:r w:rsidR="001B324E" w:rsidRPr="008418AF">
        <w:rPr>
          <w:lang w:val="en-GB"/>
        </w:rPr>
        <w:t xml:space="preserve">The reported prevalence of </w:t>
      </w:r>
      <w:r w:rsidR="00155B18">
        <w:rPr>
          <w:lang w:val="en-GB"/>
        </w:rPr>
        <w:t>osteopenia and osteoporosis was 11</w:t>
      </w:r>
      <w:r w:rsidR="000610BD">
        <w:rPr>
          <w:lang w:val="en-GB"/>
        </w:rPr>
        <w:t>.</w:t>
      </w:r>
      <w:r w:rsidR="00155B18">
        <w:rPr>
          <w:lang w:val="en-GB"/>
        </w:rPr>
        <w:t>7%.  Metabolic disorders were found in 12</w:t>
      </w:r>
      <w:r w:rsidR="000610BD">
        <w:rPr>
          <w:lang w:val="en-GB"/>
        </w:rPr>
        <w:t>.</w:t>
      </w:r>
      <w:r w:rsidR="00155B18">
        <w:rPr>
          <w:lang w:val="en-GB"/>
        </w:rPr>
        <w:t>8% of the patients, with (</w:t>
      </w:r>
      <w:proofErr w:type="spellStart"/>
      <w:r w:rsidR="00155B18">
        <w:rPr>
          <w:lang w:val="en-GB"/>
        </w:rPr>
        <w:t>normocalcemic</w:t>
      </w:r>
      <w:proofErr w:type="spellEnd"/>
      <w:r w:rsidR="00155B18">
        <w:rPr>
          <w:lang w:val="en-GB"/>
        </w:rPr>
        <w:t>) hyperparathyroidism in 5</w:t>
      </w:r>
      <w:r w:rsidR="000610BD">
        <w:rPr>
          <w:lang w:val="en-GB"/>
        </w:rPr>
        <w:t>.</w:t>
      </w:r>
      <w:r w:rsidR="00155B18">
        <w:rPr>
          <w:lang w:val="en-GB"/>
        </w:rPr>
        <w:t>0%, enteric hyperoxaluria in 3</w:t>
      </w:r>
      <w:r w:rsidR="000610BD">
        <w:rPr>
          <w:lang w:val="en-GB"/>
        </w:rPr>
        <w:t>.</w:t>
      </w:r>
      <w:r w:rsidR="00155B18">
        <w:rPr>
          <w:lang w:val="en-GB"/>
        </w:rPr>
        <w:t>8%, distal tubular acidosis in 0</w:t>
      </w:r>
      <w:r w:rsidR="000610BD">
        <w:rPr>
          <w:lang w:val="en-GB"/>
        </w:rPr>
        <w:t>.</w:t>
      </w:r>
      <w:r w:rsidR="00155B18">
        <w:rPr>
          <w:lang w:val="en-GB"/>
        </w:rPr>
        <w:t>7%</w:t>
      </w:r>
      <w:r w:rsidR="003A7331">
        <w:rPr>
          <w:lang w:val="en-GB"/>
        </w:rPr>
        <w:t xml:space="preserve"> and</w:t>
      </w:r>
      <w:r w:rsidR="00155B18">
        <w:rPr>
          <w:lang w:val="en-GB"/>
        </w:rPr>
        <w:t xml:space="preserve"> cystinuria in 3</w:t>
      </w:r>
      <w:r w:rsidR="000610BD">
        <w:rPr>
          <w:lang w:val="en-GB"/>
        </w:rPr>
        <w:t>.</w:t>
      </w:r>
      <w:r w:rsidR="00155B18">
        <w:rPr>
          <w:lang w:val="en-GB"/>
        </w:rPr>
        <w:t>1%</w:t>
      </w:r>
      <w:r w:rsidR="00B96F93">
        <w:rPr>
          <w:lang w:val="en-GB"/>
        </w:rPr>
        <w:t>.</w:t>
      </w:r>
      <w:r w:rsidR="005769F3">
        <w:rPr>
          <w:lang w:val="en-GB"/>
        </w:rPr>
        <w:t xml:space="preserve"> </w:t>
      </w:r>
      <w:r w:rsidR="003A7331">
        <w:rPr>
          <w:lang w:val="en-GB"/>
        </w:rPr>
        <w:t>As already mentioned, n</w:t>
      </w:r>
      <w:r w:rsidR="00155B18">
        <w:rPr>
          <w:lang w:val="en-GB"/>
        </w:rPr>
        <w:t xml:space="preserve">ephrocalcinosis was </w:t>
      </w:r>
      <w:r w:rsidR="00805D3C">
        <w:rPr>
          <w:lang w:val="en-GB"/>
        </w:rPr>
        <w:t xml:space="preserve">present </w:t>
      </w:r>
      <w:r w:rsidR="00155B18">
        <w:rPr>
          <w:lang w:val="en-GB"/>
        </w:rPr>
        <w:t>in 3</w:t>
      </w:r>
      <w:r w:rsidR="000610BD">
        <w:rPr>
          <w:lang w:val="en-GB"/>
        </w:rPr>
        <w:t>.</w:t>
      </w:r>
      <w:r w:rsidR="00774FA3">
        <w:rPr>
          <w:lang w:val="en-GB"/>
        </w:rPr>
        <w:t>6</w:t>
      </w:r>
      <w:r w:rsidR="00155B18">
        <w:rPr>
          <w:lang w:val="en-GB"/>
        </w:rPr>
        <w:t>% and medullary sponge kidney in 2</w:t>
      </w:r>
      <w:r w:rsidR="000610BD">
        <w:rPr>
          <w:lang w:val="en-GB"/>
        </w:rPr>
        <w:t>.</w:t>
      </w:r>
      <w:r w:rsidR="00155B18">
        <w:rPr>
          <w:lang w:val="en-GB"/>
        </w:rPr>
        <w:t xml:space="preserve">0%.  </w:t>
      </w:r>
    </w:p>
    <w:p w14:paraId="12C50C64" w14:textId="5F8554C2" w:rsidR="00540A95" w:rsidRDefault="00540A95" w:rsidP="005769F3">
      <w:pPr>
        <w:spacing w:line="480" w:lineRule="auto"/>
        <w:jc w:val="both"/>
        <w:rPr>
          <w:lang w:val="en-GB"/>
        </w:rPr>
      </w:pPr>
    </w:p>
    <w:p w14:paraId="19118BBF" w14:textId="47925BD4" w:rsidR="0057187E" w:rsidRDefault="0057187E" w:rsidP="005769F3">
      <w:pPr>
        <w:spacing w:line="480" w:lineRule="auto"/>
        <w:jc w:val="both"/>
        <w:rPr>
          <w:lang w:val="en-GB"/>
        </w:rPr>
      </w:pPr>
    </w:p>
    <w:p w14:paraId="54D9AF34" w14:textId="3E2339E7" w:rsidR="0057187E" w:rsidRDefault="0057187E" w:rsidP="005769F3">
      <w:pPr>
        <w:spacing w:line="480" w:lineRule="auto"/>
        <w:jc w:val="both"/>
        <w:rPr>
          <w:lang w:val="en-GB"/>
        </w:rPr>
      </w:pPr>
    </w:p>
    <w:p w14:paraId="68712EDA" w14:textId="591F5C87" w:rsidR="0057187E" w:rsidRDefault="0057187E" w:rsidP="005769F3">
      <w:pPr>
        <w:spacing w:line="480" w:lineRule="auto"/>
        <w:jc w:val="both"/>
        <w:rPr>
          <w:lang w:val="en-GB"/>
        </w:rPr>
      </w:pPr>
    </w:p>
    <w:p w14:paraId="232D8023" w14:textId="23997112" w:rsidR="0057187E" w:rsidRDefault="0057187E" w:rsidP="005769F3">
      <w:pPr>
        <w:spacing w:line="480" w:lineRule="auto"/>
        <w:jc w:val="both"/>
        <w:rPr>
          <w:lang w:val="en-GB"/>
        </w:rPr>
      </w:pPr>
    </w:p>
    <w:p w14:paraId="50937569" w14:textId="440C2DFD" w:rsidR="0057187E" w:rsidRDefault="0057187E" w:rsidP="005769F3">
      <w:pPr>
        <w:spacing w:line="480" w:lineRule="auto"/>
        <w:jc w:val="both"/>
        <w:rPr>
          <w:lang w:val="en-GB"/>
        </w:rPr>
      </w:pPr>
    </w:p>
    <w:p w14:paraId="055FCB0F" w14:textId="77777777" w:rsidR="0057187E" w:rsidRPr="00800B07" w:rsidRDefault="0057187E" w:rsidP="0057187E">
      <w:r w:rsidRPr="00800B07">
        <w:rPr>
          <w:u w:val="single"/>
        </w:rPr>
        <w:lastRenderedPageBreak/>
        <w:t>Table 5:</w:t>
      </w:r>
      <w:r w:rsidRPr="00800B07">
        <w:t xml:space="preserve"> relevant </w:t>
      </w:r>
      <w:proofErr w:type="spellStart"/>
      <w:r w:rsidRPr="00800B07">
        <w:t>comorbidities</w:t>
      </w:r>
      <w:proofErr w:type="spellEnd"/>
      <w:r w:rsidRPr="00800B07">
        <w:t xml:space="preserve"> </w:t>
      </w:r>
    </w:p>
    <w:tbl>
      <w:tblPr>
        <w:tblStyle w:val="Tabelraster"/>
        <w:tblW w:w="11058" w:type="dxa"/>
        <w:tblInd w:w="-993" w:type="dxa"/>
        <w:tblLayout w:type="fixed"/>
        <w:tblLook w:val="04A0" w:firstRow="1" w:lastRow="0" w:firstColumn="1" w:lastColumn="0" w:noHBand="0" w:noVBand="1"/>
      </w:tblPr>
      <w:tblGrid>
        <w:gridCol w:w="2127"/>
        <w:gridCol w:w="1151"/>
        <w:gridCol w:w="1152"/>
        <w:gridCol w:w="1152"/>
        <w:gridCol w:w="1152"/>
        <w:gridCol w:w="1063"/>
        <w:gridCol w:w="1134"/>
        <w:gridCol w:w="993"/>
        <w:gridCol w:w="1134"/>
      </w:tblGrid>
      <w:tr w:rsidR="0057187E" w:rsidRPr="00800B07" w14:paraId="15721F37" w14:textId="77777777" w:rsidTr="0057187E">
        <w:tc>
          <w:tcPr>
            <w:tcW w:w="2127" w:type="dxa"/>
            <w:tcBorders>
              <w:top w:val="nil"/>
              <w:left w:val="nil"/>
              <w:right w:val="single" w:sz="12" w:space="0" w:color="auto"/>
            </w:tcBorders>
          </w:tcPr>
          <w:p w14:paraId="46FDBA2B" w14:textId="77777777" w:rsidR="0057187E" w:rsidRPr="00800B07" w:rsidRDefault="0057187E" w:rsidP="0057187E">
            <w:pPr>
              <w:rPr>
                <w:sz w:val="18"/>
                <w:szCs w:val="18"/>
              </w:rPr>
            </w:pPr>
          </w:p>
        </w:tc>
        <w:tc>
          <w:tcPr>
            <w:tcW w:w="1151" w:type="dxa"/>
            <w:tcBorders>
              <w:left w:val="single" w:sz="12" w:space="0" w:color="auto"/>
            </w:tcBorders>
            <w:shd w:val="clear" w:color="auto" w:fill="000000" w:themeFill="text1"/>
          </w:tcPr>
          <w:p w14:paraId="0EDBD48C" w14:textId="77777777" w:rsidR="0057187E" w:rsidRPr="00800B07" w:rsidRDefault="0057187E" w:rsidP="0057187E">
            <w:pPr>
              <w:rPr>
                <w:sz w:val="18"/>
                <w:szCs w:val="18"/>
                <w:lang w:val="fr-BE"/>
              </w:rPr>
            </w:pPr>
            <w:r w:rsidRPr="00800B07">
              <w:rPr>
                <w:sz w:val="18"/>
                <w:szCs w:val="18"/>
                <w:lang w:val="fr-BE"/>
              </w:rPr>
              <w:t>Total study population</w:t>
            </w:r>
          </w:p>
          <w:p w14:paraId="2275B8EE" w14:textId="77777777" w:rsidR="0057187E" w:rsidRPr="00800B07" w:rsidRDefault="0057187E" w:rsidP="0057187E">
            <w:pPr>
              <w:rPr>
                <w:sz w:val="18"/>
                <w:szCs w:val="18"/>
                <w:lang w:val="fr-BE"/>
              </w:rPr>
            </w:pPr>
            <w:r w:rsidRPr="00800B07">
              <w:rPr>
                <w:sz w:val="18"/>
                <w:szCs w:val="18"/>
                <w:lang w:val="fr-BE"/>
              </w:rPr>
              <w:t>(n=835)</w:t>
            </w:r>
          </w:p>
        </w:tc>
        <w:tc>
          <w:tcPr>
            <w:tcW w:w="1152" w:type="dxa"/>
            <w:shd w:val="clear" w:color="auto" w:fill="000000" w:themeFill="text1"/>
          </w:tcPr>
          <w:p w14:paraId="19445389" w14:textId="77777777" w:rsidR="0057187E" w:rsidRPr="00800B07" w:rsidRDefault="0057187E" w:rsidP="0057187E">
            <w:pPr>
              <w:rPr>
                <w:sz w:val="18"/>
                <w:szCs w:val="18"/>
                <w:lang w:val="fr-BE"/>
              </w:rPr>
            </w:pPr>
            <w:r w:rsidRPr="00800B07">
              <w:rPr>
                <w:sz w:val="18"/>
                <w:szCs w:val="18"/>
                <w:lang w:val="fr-BE"/>
              </w:rPr>
              <w:t>Calcium oxalate stones</w:t>
            </w:r>
          </w:p>
          <w:p w14:paraId="6D4576C6" w14:textId="77777777" w:rsidR="0057187E" w:rsidRPr="00800B07" w:rsidRDefault="0057187E" w:rsidP="0057187E">
            <w:pPr>
              <w:rPr>
                <w:sz w:val="18"/>
                <w:szCs w:val="18"/>
              </w:rPr>
            </w:pPr>
            <w:r w:rsidRPr="00800B07">
              <w:rPr>
                <w:sz w:val="18"/>
                <w:szCs w:val="18"/>
                <w:lang w:val="fr-BE"/>
              </w:rPr>
              <w:t>(n=370)</w:t>
            </w:r>
          </w:p>
        </w:tc>
        <w:tc>
          <w:tcPr>
            <w:tcW w:w="1152" w:type="dxa"/>
            <w:shd w:val="clear" w:color="auto" w:fill="000000" w:themeFill="text1"/>
          </w:tcPr>
          <w:p w14:paraId="1CEA7920" w14:textId="77777777" w:rsidR="0057187E" w:rsidRPr="00800B07" w:rsidRDefault="0057187E" w:rsidP="0057187E">
            <w:pPr>
              <w:rPr>
                <w:sz w:val="18"/>
                <w:szCs w:val="18"/>
                <w:lang w:val="fr-BE"/>
              </w:rPr>
            </w:pPr>
            <w:proofErr w:type="spellStart"/>
            <w:r w:rsidRPr="00800B07">
              <w:rPr>
                <w:sz w:val="18"/>
                <w:szCs w:val="18"/>
                <w:lang w:val="fr-BE"/>
              </w:rPr>
              <w:t>Uric</w:t>
            </w:r>
            <w:proofErr w:type="spellEnd"/>
            <w:r w:rsidRPr="00800B07">
              <w:rPr>
                <w:sz w:val="18"/>
                <w:szCs w:val="18"/>
                <w:lang w:val="fr-BE"/>
              </w:rPr>
              <w:t xml:space="preserve"> </w:t>
            </w:r>
            <w:proofErr w:type="spellStart"/>
            <w:r w:rsidRPr="00800B07">
              <w:rPr>
                <w:sz w:val="18"/>
                <w:szCs w:val="18"/>
                <w:lang w:val="fr-BE"/>
              </w:rPr>
              <w:t>acid</w:t>
            </w:r>
            <w:proofErr w:type="spellEnd"/>
            <w:r w:rsidRPr="00800B07">
              <w:rPr>
                <w:sz w:val="18"/>
                <w:szCs w:val="18"/>
                <w:lang w:val="fr-BE"/>
              </w:rPr>
              <w:t xml:space="preserve">  stones</w:t>
            </w:r>
          </w:p>
          <w:p w14:paraId="6A358961" w14:textId="77777777" w:rsidR="0057187E" w:rsidRPr="00800B07" w:rsidRDefault="0057187E" w:rsidP="0057187E">
            <w:pPr>
              <w:rPr>
                <w:sz w:val="18"/>
                <w:szCs w:val="18"/>
                <w:lang w:val="fr-BE"/>
              </w:rPr>
            </w:pPr>
            <w:r w:rsidRPr="00800B07">
              <w:rPr>
                <w:sz w:val="18"/>
                <w:szCs w:val="18"/>
                <w:lang w:val="fr-BE"/>
              </w:rPr>
              <w:t>(n=37)</w:t>
            </w:r>
          </w:p>
        </w:tc>
        <w:tc>
          <w:tcPr>
            <w:tcW w:w="1152" w:type="dxa"/>
            <w:shd w:val="clear" w:color="auto" w:fill="000000" w:themeFill="text1"/>
          </w:tcPr>
          <w:p w14:paraId="22E43664" w14:textId="77777777" w:rsidR="0057187E" w:rsidRPr="00800B07" w:rsidRDefault="0057187E" w:rsidP="0057187E">
            <w:pPr>
              <w:rPr>
                <w:sz w:val="18"/>
                <w:szCs w:val="18"/>
                <w:lang w:val="fr-BE"/>
              </w:rPr>
            </w:pPr>
            <w:r w:rsidRPr="00800B07">
              <w:rPr>
                <w:sz w:val="18"/>
                <w:szCs w:val="18"/>
                <w:lang w:val="fr-BE"/>
              </w:rPr>
              <w:t>Cystine stone</w:t>
            </w:r>
          </w:p>
          <w:p w14:paraId="2807603D" w14:textId="77777777" w:rsidR="0057187E" w:rsidRPr="00800B07" w:rsidRDefault="0057187E" w:rsidP="0057187E">
            <w:pPr>
              <w:rPr>
                <w:sz w:val="18"/>
                <w:szCs w:val="18"/>
                <w:lang w:val="fr-BE"/>
              </w:rPr>
            </w:pPr>
            <w:r w:rsidRPr="00800B07">
              <w:rPr>
                <w:sz w:val="18"/>
                <w:szCs w:val="18"/>
                <w:lang w:val="fr-BE"/>
              </w:rPr>
              <w:t>(n = 21)</w:t>
            </w:r>
          </w:p>
        </w:tc>
        <w:tc>
          <w:tcPr>
            <w:tcW w:w="1063" w:type="dxa"/>
            <w:shd w:val="clear" w:color="auto" w:fill="000000" w:themeFill="text1"/>
          </w:tcPr>
          <w:p w14:paraId="3E03C9B2" w14:textId="77777777" w:rsidR="0057187E" w:rsidRPr="00800B07" w:rsidRDefault="0057187E" w:rsidP="0057187E">
            <w:pPr>
              <w:rPr>
                <w:sz w:val="18"/>
                <w:szCs w:val="18"/>
                <w:lang w:val="fr-BE"/>
              </w:rPr>
            </w:pPr>
            <w:r w:rsidRPr="00800B07">
              <w:rPr>
                <w:sz w:val="18"/>
                <w:szCs w:val="18"/>
                <w:lang w:val="fr-BE"/>
              </w:rPr>
              <w:t xml:space="preserve">Mixed stones </w:t>
            </w:r>
          </w:p>
          <w:p w14:paraId="325D7AB8" w14:textId="77777777" w:rsidR="0057187E" w:rsidRPr="00800B07" w:rsidRDefault="0057187E" w:rsidP="0057187E">
            <w:pPr>
              <w:rPr>
                <w:sz w:val="18"/>
                <w:szCs w:val="18"/>
                <w:lang w:val="fr-BE"/>
              </w:rPr>
            </w:pPr>
            <w:r w:rsidRPr="00800B07">
              <w:rPr>
                <w:sz w:val="18"/>
                <w:szCs w:val="18"/>
                <w:lang w:val="fr-BE"/>
              </w:rPr>
              <w:t>(n = 19)</w:t>
            </w:r>
          </w:p>
        </w:tc>
        <w:tc>
          <w:tcPr>
            <w:tcW w:w="1134" w:type="dxa"/>
            <w:shd w:val="clear" w:color="auto" w:fill="000000" w:themeFill="text1"/>
          </w:tcPr>
          <w:p w14:paraId="4739C281" w14:textId="77777777" w:rsidR="0057187E" w:rsidRPr="00800B07" w:rsidRDefault="0057187E" w:rsidP="0057187E">
            <w:pPr>
              <w:rPr>
                <w:sz w:val="18"/>
                <w:szCs w:val="18"/>
                <w:lang w:val="fr-BE"/>
              </w:rPr>
            </w:pPr>
            <w:r w:rsidRPr="00800B07">
              <w:rPr>
                <w:sz w:val="18"/>
                <w:szCs w:val="18"/>
                <w:lang w:val="fr-BE"/>
              </w:rPr>
              <w:t>Calcium phosphate stones</w:t>
            </w:r>
          </w:p>
          <w:p w14:paraId="0DE7AAA7" w14:textId="77777777" w:rsidR="0057187E" w:rsidRPr="00800B07" w:rsidRDefault="0057187E" w:rsidP="0057187E">
            <w:pPr>
              <w:rPr>
                <w:sz w:val="18"/>
                <w:szCs w:val="18"/>
                <w:lang w:val="fr-BE"/>
              </w:rPr>
            </w:pPr>
            <w:r w:rsidRPr="00800B07">
              <w:rPr>
                <w:sz w:val="18"/>
                <w:szCs w:val="18"/>
                <w:lang w:val="fr-BE"/>
              </w:rPr>
              <w:t>(n=14)</w:t>
            </w:r>
          </w:p>
        </w:tc>
        <w:tc>
          <w:tcPr>
            <w:tcW w:w="993" w:type="dxa"/>
            <w:shd w:val="clear" w:color="auto" w:fill="000000" w:themeFill="text1"/>
          </w:tcPr>
          <w:p w14:paraId="0B8A8FB4" w14:textId="77777777" w:rsidR="0057187E" w:rsidRPr="00800B07" w:rsidRDefault="0057187E" w:rsidP="0057187E">
            <w:pPr>
              <w:rPr>
                <w:sz w:val="18"/>
                <w:szCs w:val="18"/>
                <w:lang w:val="fr-BE"/>
              </w:rPr>
            </w:pPr>
            <w:r w:rsidRPr="00800B07">
              <w:rPr>
                <w:sz w:val="18"/>
                <w:szCs w:val="18"/>
                <w:lang w:val="fr-BE"/>
              </w:rPr>
              <w:t>Struvite stones</w:t>
            </w:r>
          </w:p>
          <w:p w14:paraId="5DB7A75C" w14:textId="77777777" w:rsidR="0057187E" w:rsidRPr="00800B07" w:rsidRDefault="0057187E" w:rsidP="0057187E">
            <w:pPr>
              <w:rPr>
                <w:sz w:val="18"/>
                <w:szCs w:val="18"/>
                <w:lang w:val="fr-BE"/>
              </w:rPr>
            </w:pPr>
            <w:r w:rsidRPr="00800B07">
              <w:rPr>
                <w:sz w:val="18"/>
                <w:szCs w:val="18"/>
                <w:lang w:val="fr-BE"/>
              </w:rPr>
              <w:t>(n=11)</w:t>
            </w:r>
          </w:p>
        </w:tc>
        <w:tc>
          <w:tcPr>
            <w:tcW w:w="1134" w:type="dxa"/>
            <w:shd w:val="clear" w:color="auto" w:fill="000000" w:themeFill="text1"/>
          </w:tcPr>
          <w:p w14:paraId="699C4C63" w14:textId="77777777" w:rsidR="0057187E" w:rsidRPr="00800B07" w:rsidRDefault="0057187E" w:rsidP="0057187E">
            <w:pPr>
              <w:rPr>
                <w:sz w:val="18"/>
                <w:szCs w:val="18"/>
                <w:lang w:val="fr-BE"/>
              </w:rPr>
            </w:pPr>
            <w:proofErr w:type="spellStart"/>
            <w:r w:rsidRPr="00800B07">
              <w:rPr>
                <w:sz w:val="18"/>
                <w:szCs w:val="18"/>
                <w:lang w:val="fr-BE"/>
              </w:rPr>
              <w:t>Brushite</w:t>
            </w:r>
            <w:proofErr w:type="spellEnd"/>
            <w:r w:rsidRPr="00800B07">
              <w:rPr>
                <w:sz w:val="18"/>
                <w:szCs w:val="18"/>
                <w:lang w:val="fr-BE"/>
              </w:rPr>
              <w:t xml:space="preserve"> stones</w:t>
            </w:r>
          </w:p>
          <w:p w14:paraId="2C2B553F" w14:textId="77777777" w:rsidR="0057187E" w:rsidRPr="00800B07" w:rsidRDefault="0057187E" w:rsidP="0057187E">
            <w:pPr>
              <w:rPr>
                <w:sz w:val="18"/>
                <w:szCs w:val="18"/>
                <w:lang w:val="fr-BE"/>
              </w:rPr>
            </w:pPr>
            <w:r w:rsidRPr="00800B07">
              <w:rPr>
                <w:sz w:val="18"/>
                <w:szCs w:val="18"/>
                <w:lang w:val="fr-BE"/>
              </w:rPr>
              <w:t>(n=10)</w:t>
            </w:r>
          </w:p>
        </w:tc>
      </w:tr>
      <w:tr w:rsidR="0057187E" w:rsidRPr="00800B07" w14:paraId="61E9B819" w14:textId="77777777" w:rsidTr="0057187E">
        <w:trPr>
          <w:trHeight w:val="386"/>
        </w:trPr>
        <w:tc>
          <w:tcPr>
            <w:tcW w:w="2127" w:type="dxa"/>
            <w:tcBorders>
              <w:right w:val="single" w:sz="12" w:space="0" w:color="auto"/>
            </w:tcBorders>
            <w:shd w:val="clear" w:color="auto" w:fill="FFFFFF" w:themeFill="background1"/>
          </w:tcPr>
          <w:p w14:paraId="562445D7" w14:textId="77777777" w:rsidR="0057187E" w:rsidRPr="0057187E" w:rsidRDefault="0057187E" w:rsidP="0057187E">
            <w:pPr>
              <w:rPr>
                <w:sz w:val="18"/>
                <w:szCs w:val="18"/>
                <w:lang w:val="en-GB"/>
              </w:rPr>
            </w:pPr>
            <w:r w:rsidRPr="0057187E">
              <w:rPr>
                <w:sz w:val="18"/>
                <w:szCs w:val="18"/>
                <w:lang w:val="en-GB"/>
              </w:rPr>
              <w:t>AHT</w:t>
            </w:r>
          </w:p>
        </w:tc>
        <w:tc>
          <w:tcPr>
            <w:tcW w:w="1151" w:type="dxa"/>
            <w:tcBorders>
              <w:left w:val="single" w:sz="12" w:space="0" w:color="auto"/>
              <w:bottom w:val="single" w:sz="12" w:space="0" w:color="auto"/>
              <w:right w:val="single" w:sz="12" w:space="0" w:color="auto"/>
            </w:tcBorders>
            <w:shd w:val="clear" w:color="auto" w:fill="E7E6E6" w:themeFill="background2"/>
          </w:tcPr>
          <w:p w14:paraId="4898202C" w14:textId="77777777" w:rsidR="0057187E" w:rsidRPr="0057187E" w:rsidRDefault="0057187E" w:rsidP="0057187E">
            <w:pPr>
              <w:rPr>
                <w:sz w:val="18"/>
                <w:szCs w:val="18"/>
                <w:lang w:val="en-GB"/>
              </w:rPr>
            </w:pPr>
            <w:r w:rsidRPr="0057187E">
              <w:rPr>
                <w:sz w:val="18"/>
                <w:szCs w:val="18"/>
                <w:lang w:val="en-GB"/>
              </w:rPr>
              <w:t>234 (28.0%)</w:t>
            </w:r>
          </w:p>
        </w:tc>
        <w:tc>
          <w:tcPr>
            <w:tcW w:w="1152" w:type="dxa"/>
            <w:tcBorders>
              <w:left w:val="single" w:sz="12" w:space="0" w:color="auto"/>
            </w:tcBorders>
            <w:shd w:val="clear" w:color="auto" w:fill="FFFFFF" w:themeFill="background1"/>
          </w:tcPr>
          <w:p w14:paraId="0F171460" w14:textId="77777777" w:rsidR="0057187E" w:rsidRPr="0057187E" w:rsidRDefault="0057187E" w:rsidP="0057187E">
            <w:pPr>
              <w:rPr>
                <w:sz w:val="18"/>
                <w:szCs w:val="18"/>
                <w:lang w:val="en-GB"/>
              </w:rPr>
            </w:pPr>
            <w:r w:rsidRPr="0057187E">
              <w:rPr>
                <w:sz w:val="18"/>
                <w:szCs w:val="18"/>
                <w:lang w:val="en-GB"/>
              </w:rPr>
              <w:t>106 (28.7%)</w:t>
            </w:r>
          </w:p>
        </w:tc>
        <w:tc>
          <w:tcPr>
            <w:tcW w:w="1152" w:type="dxa"/>
            <w:shd w:val="clear" w:color="auto" w:fill="FFFFFF" w:themeFill="background1"/>
          </w:tcPr>
          <w:p w14:paraId="037558EE" w14:textId="77777777" w:rsidR="0057187E" w:rsidRPr="0057187E" w:rsidRDefault="0057187E" w:rsidP="0057187E">
            <w:pPr>
              <w:rPr>
                <w:sz w:val="18"/>
                <w:szCs w:val="18"/>
                <w:lang w:val="en-GB"/>
              </w:rPr>
            </w:pPr>
            <w:r w:rsidRPr="0057187E">
              <w:rPr>
                <w:sz w:val="18"/>
                <w:szCs w:val="18"/>
                <w:lang w:val="en-GB"/>
              </w:rPr>
              <w:t>11 (29.7%)</w:t>
            </w:r>
          </w:p>
        </w:tc>
        <w:tc>
          <w:tcPr>
            <w:tcW w:w="1152" w:type="dxa"/>
            <w:shd w:val="clear" w:color="auto" w:fill="FFFFFF" w:themeFill="background1"/>
          </w:tcPr>
          <w:p w14:paraId="47E162D3" w14:textId="77777777" w:rsidR="0057187E" w:rsidRPr="0057187E" w:rsidRDefault="0057187E" w:rsidP="0057187E">
            <w:pPr>
              <w:rPr>
                <w:sz w:val="18"/>
                <w:szCs w:val="18"/>
                <w:lang w:val="en-GB"/>
              </w:rPr>
            </w:pPr>
            <w:r w:rsidRPr="0057187E">
              <w:rPr>
                <w:sz w:val="18"/>
                <w:szCs w:val="18"/>
                <w:lang w:val="en-GB"/>
              </w:rPr>
              <w:t>5 (23.8%)</w:t>
            </w:r>
            <w:r w:rsidRPr="0057187E">
              <w:rPr>
                <w:sz w:val="18"/>
                <w:szCs w:val="18"/>
                <w:lang w:val="en-GB"/>
              </w:rPr>
              <w:tab/>
            </w:r>
          </w:p>
        </w:tc>
        <w:tc>
          <w:tcPr>
            <w:tcW w:w="1063" w:type="dxa"/>
            <w:shd w:val="clear" w:color="auto" w:fill="FFFFFF" w:themeFill="background1"/>
          </w:tcPr>
          <w:p w14:paraId="2C99139E" w14:textId="77777777" w:rsidR="0057187E" w:rsidRPr="0057187E" w:rsidRDefault="0057187E" w:rsidP="0057187E">
            <w:pPr>
              <w:rPr>
                <w:sz w:val="18"/>
                <w:szCs w:val="18"/>
                <w:lang w:val="en-GB"/>
              </w:rPr>
            </w:pPr>
            <w:r w:rsidRPr="0057187E">
              <w:rPr>
                <w:sz w:val="18"/>
                <w:szCs w:val="18"/>
                <w:lang w:val="en-GB"/>
              </w:rPr>
              <w:t>5  (26.3%)</w:t>
            </w:r>
          </w:p>
        </w:tc>
        <w:tc>
          <w:tcPr>
            <w:tcW w:w="1134" w:type="dxa"/>
            <w:shd w:val="clear" w:color="auto" w:fill="FFFFFF" w:themeFill="background1"/>
          </w:tcPr>
          <w:p w14:paraId="07925B82" w14:textId="77777777" w:rsidR="0057187E" w:rsidRPr="0057187E" w:rsidRDefault="0057187E" w:rsidP="0057187E">
            <w:pPr>
              <w:rPr>
                <w:sz w:val="18"/>
                <w:szCs w:val="18"/>
                <w:lang w:val="en-GB"/>
              </w:rPr>
            </w:pPr>
            <w:r w:rsidRPr="0057187E">
              <w:rPr>
                <w:sz w:val="18"/>
                <w:szCs w:val="18"/>
                <w:lang w:val="en-GB"/>
              </w:rPr>
              <w:t>5 (35.7%)</w:t>
            </w:r>
          </w:p>
        </w:tc>
        <w:tc>
          <w:tcPr>
            <w:tcW w:w="993" w:type="dxa"/>
            <w:shd w:val="clear" w:color="auto" w:fill="FFFFFF" w:themeFill="background1"/>
          </w:tcPr>
          <w:p w14:paraId="14CD4C2B" w14:textId="77777777" w:rsidR="0057187E" w:rsidRPr="0057187E" w:rsidRDefault="0057187E" w:rsidP="0057187E">
            <w:pPr>
              <w:rPr>
                <w:sz w:val="18"/>
                <w:szCs w:val="18"/>
                <w:lang w:val="en-GB"/>
              </w:rPr>
            </w:pPr>
            <w:r w:rsidRPr="0057187E">
              <w:rPr>
                <w:sz w:val="18"/>
                <w:szCs w:val="18"/>
                <w:lang w:val="en-GB"/>
              </w:rPr>
              <w:t>1 (9.1%)</w:t>
            </w:r>
            <w:r w:rsidRPr="0057187E">
              <w:rPr>
                <w:sz w:val="18"/>
                <w:szCs w:val="18"/>
                <w:lang w:val="en-GB"/>
              </w:rPr>
              <w:tab/>
            </w:r>
          </w:p>
        </w:tc>
        <w:tc>
          <w:tcPr>
            <w:tcW w:w="1134" w:type="dxa"/>
            <w:shd w:val="clear" w:color="auto" w:fill="FFFFFF" w:themeFill="background1"/>
          </w:tcPr>
          <w:p w14:paraId="22EFBB1B" w14:textId="77777777" w:rsidR="0057187E" w:rsidRPr="0057187E" w:rsidRDefault="0057187E" w:rsidP="0057187E">
            <w:pPr>
              <w:rPr>
                <w:sz w:val="18"/>
                <w:szCs w:val="18"/>
                <w:lang w:val="en-GB"/>
              </w:rPr>
            </w:pPr>
            <w:r w:rsidRPr="0057187E">
              <w:rPr>
                <w:sz w:val="18"/>
                <w:szCs w:val="18"/>
                <w:lang w:val="en-GB"/>
              </w:rPr>
              <w:t>3  (30.0%)</w:t>
            </w:r>
          </w:p>
        </w:tc>
      </w:tr>
      <w:tr w:rsidR="0057187E" w:rsidRPr="00800B07" w14:paraId="0F899D96" w14:textId="77777777" w:rsidTr="0057187E">
        <w:trPr>
          <w:trHeight w:val="386"/>
        </w:trPr>
        <w:tc>
          <w:tcPr>
            <w:tcW w:w="2127" w:type="dxa"/>
            <w:tcBorders>
              <w:right w:val="single" w:sz="12" w:space="0" w:color="auto"/>
            </w:tcBorders>
            <w:shd w:val="clear" w:color="auto" w:fill="FFFFFF" w:themeFill="background1"/>
          </w:tcPr>
          <w:p w14:paraId="5E488740" w14:textId="77777777" w:rsidR="0057187E" w:rsidRPr="0057187E" w:rsidRDefault="0057187E" w:rsidP="0057187E">
            <w:pPr>
              <w:rPr>
                <w:sz w:val="18"/>
                <w:szCs w:val="18"/>
                <w:lang w:val="en-GB"/>
              </w:rPr>
            </w:pPr>
            <w:r w:rsidRPr="0057187E">
              <w:rPr>
                <w:sz w:val="18"/>
                <w:szCs w:val="18"/>
                <w:lang w:val="en-GB"/>
              </w:rPr>
              <w:t>Obesity</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F7978DF" w14:textId="77777777" w:rsidR="0057187E" w:rsidRPr="0057187E" w:rsidRDefault="0057187E" w:rsidP="0057187E">
            <w:pPr>
              <w:rPr>
                <w:sz w:val="18"/>
                <w:szCs w:val="18"/>
                <w:lang w:val="en-GB"/>
              </w:rPr>
            </w:pPr>
            <w:r w:rsidRPr="0057187E">
              <w:rPr>
                <w:sz w:val="18"/>
                <w:szCs w:val="18"/>
                <w:lang w:val="en-GB"/>
              </w:rPr>
              <w:t>204 (24.4%)</w:t>
            </w:r>
          </w:p>
        </w:tc>
        <w:tc>
          <w:tcPr>
            <w:tcW w:w="1152" w:type="dxa"/>
            <w:tcBorders>
              <w:left w:val="single" w:sz="12" w:space="0" w:color="auto"/>
            </w:tcBorders>
            <w:shd w:val="clear" w:color="auto" w:fill="FFFFFF" w:themeFill="background1"/>
          </w:tcPr>
          <w:p w14:paraId="121EB597" w14:textId="77777777" w:rsidR="0057187E" w:rsidRPr="0057187E" w:rsidRDefault="0057187E" w:rsidP="0057187E">
            <w:pPr>
              <w:rPr>
                <w:sz w:val="18"/>
                <w:szCs w:val="18"/>
                <w:lang w:val="en-GB"/>
              </w:rPr>
            </w:pPr>
            <w:r w:rsidRPr="0057187E">
              <w:rPr>
                <w:sz w:val="18"/>
                <w:szCs w:val="18"/>
                <w:lang w:val="en-GB"/>
              </w:rPr>
              <w:t>91 (24.6%)</w:t>
            </w:r>
          </w:p>
        </w:tc>
        <w:tc>
          <w:tcPr>
            <w:tcW w:w="1152" w:type="dxa"/>
            <w:shd w:val="clear" w:color="auto" w:fill="FFFFFF" w:themeFill="background1"/>
          </w:tcPr>
          <w:p w14:paraId="3F292CA2" w14:textId="77777777" w:rsidR="0057187E" w:rsidRPr="0057187E" w:rsidRDefault="0057187E" w:rsidP="0057187E">
            <w:pPr>
              <w:rPr>
                <w:sz w:val="18"/>
                <w:szCs w:val="18"/>
                <w:lang w:val="en-GB"/>
              </w:rPr>
            </w:pPr>
            <w:r w:rsidRPr="0057187E">
              <w:rPr>
                <w:sz w:val="18"/>
                <w:szCs w:val="18"/>
                <w:lang w:val="en-GB"/>
              </w:rPr>
              <w:t>11 (29.7%)</w:t>
            </w:r>
          </w:p>
        </w:tc>
        <w:tc>
          <w:tcPr>
            <w:tcW w:w="1152" w:type="dxa"/>
            <w:shd w:val="clear" w:color="auto" w:fill="FFFFFF" w:themeFill="background1"/>
          </w:tcPr>
          <w:p w14:paraId="29A22755" w14:textId="77777777" w:rsidR="0057187E" w:rsidRPr="0057187E" w:rsidRDefault="0057187E" w:rsidP="0057187E">
            <w:pPr>
              <w:rPr>
                <w:sz w:val="18"/>
                <w:szCs w:val="18"/>
                <w:lang w:val="en-GB"/>
              </w:rPr>
            </w:pPr>
            <w:r w:rsidRPr="0057187E">
              <w:rPr>
                <w:sz w:val="18"/>
                <w:szCs w:val="18"/>
                <w:lang w:val="en-GB"/>
              </w:rPr>
              <w:t>7 (33.3%)</w:t>
            </w:r>
            <w:r w:rsidRPr="0057187E">
              <w:rPr>
                <w:sz w:val="18"/>
                <w:szCs w:val="18"/>
                <w:lang w:val="en-GB"/>
              </w:rPr>
              <w:tab/>
            </w:r>
          </w:p>
        </w:tc>
        <w:tc>
          <w:tcPr>
            <w:tcW w:w="1063" w:type="dxa"/>
            <w:shd w:val="clear" w:color="auto" w:fill="FFFFFF" w:themeFill="background1"/>
          </w:tcPr>
          <w:p w14:paraId="4CCBB19C" w14:textId="77777777" w:rsidR="0057187E" w:rsidRPr="0057187E" w:rsidRDefault="0057187E" w:rsidP="0057187E">
            <w:pPr>
              <w:rPr>
                <w:sz w:val="18"/>
                <w:szCs w:val="18"/>
                <w:lang w:val="en-GB"/>
              </w:rPr>
            </w:pPr>
            <w:r w:rsidRPr="0057187E">
              <w:rPr>
                <w:sz w:val="18"/>
                <w:szCs w:val="18"/>
                <w:lang w:val="en-GB"/>
              </w:rPr>
              <w:t>8  (42.1%)</w:t>
            </w:r>
            <w:r w:rsidRPr="0057187E">
              <w:rPr>
                <w:sz w:val="18"/>
                <w:szCs w:val="18"/>
                <w:lang w:val="en-GB"/>
              </w:rPr>
              <w:tab/>
            </w:r>
          </w:p>
        </w:tc>
        <w:tc>
          <w:tcPr>
            <w:tcW w:w="1134" w:type="dxa"/>
            <w:shd w:val="clear" w:color="auto" w:fill="FFFFFF" w:themeFill="background1"/>
          </w:tcPr>
          <w:p w14:paraId="3D697D52" w14:textId="77777777" w:rsidR="0057187E" w:rsidRPr="0057187E" w:rsidRDefault="0057187E" w:rsidP="0057187E">
            <w:pPr>
              <w:rPr>
                <w:sz w:val="18"/>
                <w:szCs w:val="18"/>
                <w:lang w:val="en-GB"/>
              </w:rPr>
            </w:pPr>
            <w:r w:rsidRPr="0057187E">
              <w:rPr>
                <w:sz w:val="18"/>
                <w:szCs w:val="18"/>
                <w:lang w:val="en-GB"/>
              </w:rPr>
              <w:t>6 (42.8%)</w:t>
            </w:r>
          </w:p>
        </w:tc>
        <w:tc>
          <w:tcPr>
            <w:tcW w:w="993" w:type="dxa"/>
            <w:shd w:val="clear" w:color="auto" w:fill="FFFFFF" w:themeFill="background1"/>
          </w:tcPr>
          <w:p w14:paraId="12F98FDA" w14:textId="77777777" w:rsidR="0057187E" w:rsidRPr="0057187E" w:rsidRDefault="0057187E" w:rsidP="0057187E">
            <w:pPr>
              <w:rPr>
                <w:sz w:val="18"/>
                <w:szCs w:val="18"/>
                <w:lang w:val="en-GB"/>
              </w:rPr>
            </w:pPr>
            <w:r w:rsidRPr="0057187E">
              <w:rPr>
                <w:sz w:val="18"/>
                <w:szCs w:val="18"/>
                <w:lang w:val="en-GB"/>
              </w:rPr>
              <w:t>2 (18.2%)</w:t>
            </w:r>
            <w:r w:rsidRPr="0057187E">
              <w:rPr>
                <w:sz w:val="18"/>
                <w:szCs w:val="18"/>
                <w:lang w:val="en-GB"/>
              </w:rPr>
              <w:tab/>
            </w:r>
          </w:p>
        </w:tc>
        <w:tc>
          <w:tcPr>
            <w:tcW w:w="1134" w:type="dxa"/>
            <w:shd w:val="clear" w:color="auto" w:fill="FFFFFF" w:themeFill="background1"/>
          </w:tcPr>
          <w:p w14:paraId="0B10689A" w14:textId="77777777" w:rsidR="0057187E" w:rsidRPr="0057187E" w:rsidRDefault="0057187E" w:rsidP="0057187E">
            <w:pPr>
              <w:rPr>
                <w:sz w:val="18"/>
                <w:szCs w:val="18"/>
                <w:lang w:val="en-GB"/>
              </w:rPr>
            </w:pPr>
            <w:r w:rsidRPr="0057187E">
              <w:rPr>
                <w:sz w:val="18"/>
                <w:szCs w:val="18"/>
                <w:lang w:val="en-GB"/>
              </w:rPr>
              <w:t>2 (20.0%)</w:t>
            </w:r>
          </w:p>
        </w:tc>
      </w:tr>
      <w:tr w:rsidR="0057187E" w:rsidRPr="00800B07" w14:paraId="1C3B65EF" w14:textId="77777777" w:rsidTr="0057187E">
        <w:trPr>
          <w:trHeight w:val="386"/>
        </w:trPr>
        <w:tc>
          <w:tcPr>
            <w:tcW w:w="2127" w:type="dxa"/>
            <w:tcBorders>
              <w:right w:val="single" w:sz="12" w:space="0" w:color="auto"/>
            </w:tcBorders>
            <w:shd w:val="clear" w:color="auto" w:fill="FFFFFF" w:themeFill="background1"/>
          </w:tcPr>
          <w:p w14:paraId="2D6F3B77" w14:textId="77777777" w:rsidR="0057187E" w:rsidRPr="0057187E" w:rsidRDefault="0057187E" w:rsidP="0057187E">
            <w:pPr>
              <w:rPr>
                <w:sz w:val="18"/>
                <w:szCs w:val="18"/>
                <w:lang w:val="en-GB"/>
              </w:rPr>
            </w:pPr>
            <w:r w:rsidRPr="0057187E">
              <w:rPr>
                <w:sz w:val="18"/>
                <w:szCs w:val="18"/>
                <w:lang w:val="en-GB"/>
              </w:rPr>
              <w:t>Dyslipidemia</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F491202" w14:textId="77777777" w:rsidR="0057187E" w:rsidRPr="0057187E" w:rsidRDefault="0057187E" w:rsidP="0057187E">
            <w:pPr>
              <w:rPr>
                <w:sz w:val="18"/>
                <w:szCs w:val="18"/>
                <w:lang w:val="en-GB"/>
              </w:rPr>
            </w:pPr>
            <w:r w:rsidRPr="0057187E">
              <w:rPr>
                <w:sz w:val="18"/>
                <w:szCs w:val="18"/>
                <w:lang w:val="en-GB"/>
              </w:rPr>
              <w:t>188(22.5%)</w:t>
            </w:r>
          </w:p>
        </w:tc>
        <w:tc>
          <w:tcPr>
            <w:tcW w:w="1152" w:type="dxa"/>
            <w:tcBorders>
              <w:left w:val="single" w:sz="12" w:space="0" w:color="auto"/>
            </w:tcBorders>
            <w:shd w:val="clear" w:color="auto" w:fill="FFFFFF" w:themeFill="background1"/>
          </w:tcPr>
          <w:p w14:paraId="51449F08" w14:textId="77777777" w:rsidR="0057187E" w:rsidRPr="0057187E" w:rsidRDefault="0057187E" w:rsidP="0057187E">
            <w:pPr>
              <w:rPr>
                <w:sz w:val="18"/>
                <w:szCs w:val="18"/>
                <w:lang w:val="en-GB"/>
              </w:rPr>
            </w:pPr>
            <w:r w:rsidRPr="0057187E">
              <w:rPr>
                <w:sz w:val="18"/>
                <w:szCs w:val="18"/>
                <w:lang w:val="en-GB"/>
              </w:rPr>
              <w:t>77 (20.8%)</w:t>
            </w:r>
          </w:p>
        </w:tc>
        <w:tc>
          <w:tcPr>
            <w:tcW w:w="1152" w:type="dxa"/>
            <w:shd w:val="clear" w:color="auto" w:fill="FFFFFF" w:themeFill="background1"/>
          </w:tcPr>
          <w:p w14:paraId="5095DA9C" w14:textId="77777777" w:rsidR="0057187E" w:rsidRPr="0057187E" w:rsidRDefault="0057187E" w:rsidP="0057187E">
            <w:pPr>
              <w:rPr>
                <w:sz w:val="18"/>
                <w:szCs w:val="18"/>
                <w:lang w:val="en-GB"/>
              </w:rPr>
            </w:pPr>
            <w:r w:rsidRPr="0057187E">
              <w:rPr>
                <w:sz w:val="18"/>
                <w:szCs w:val="18"/>
                <w:lang w:val="en-GB"/>
              </w:rPr>
              <w:t>12 (32.4%)</w:t>
            </w:r>
          </w:p>
        </w:tc>
        <w:tc>
          <w:tcPr>
            <w:tcW w:w="1152" w:type="dxa"/>
            <w:shd w:val="clear" w:color="auto" w:fill="FFFFFF" w:themeFill="background1"/>
          </w:tcPr>
          <w:p w14:paraId="1FF0714F" w14:textId="77777777" w:rsidR="0057187E" w:rsidRPr="0057187E" w:rsidRDefault="0057187E" w:rsidP="0057187E">
            <w:pPr>
              <w:rPr>
                <w:sz w:val="18"/>
                <w:szCs w:val="18"/>
                <w:lang w:val="en-GB"/>
              </w:rPr>
            </w:pPr>
            <w:r w:rsidRPr="0057187E">
              <w:rPr>
                <w:sz w:val="18"/>
                <w:szCs w:val="18"/>
                <w:lang w:val="en-GB"/>
              </w:rPr>
              <w:t>6 (28.6%)</w:t>
            </w:r>
          </w:p>
        </w:tc>
        <w:tc>
          <w:tcPr>
            <w:tcW w:w="1063" w:type="dxa"/>
            <w:shd w:val="clear" w:color="auto" w:fill="FFFFFF" w:themeFill="background1"/>
          </w:tcPr>
          <w:p w14:paraId="6637A6FC" w14:textId="77777777" w:rsidR="0057187E" w:rsidRPr="0057187E" w:rsidRDefault="0057187E" w:rsidP="0057187E">
            <w:pPr>
              <w:rPr>
                <w:sz w:val="18"/>
                <w:szCs w:val="18"/>
                <w:lang w:val="en-GB"/>
              </w:rPr>
            </w:pPr>
            <w:r w:rsidRPr="0057187E">
              <w:rPr>
                <w:sz w:val="18"/>
                <w:szCs w:val="18"/>
                <w:lang w:val="en-GB"/>
              </w:rPr>
              <w:t>2 (10.5%)</w:t>
            </w:r>
          </w:p>
        </w:tc>
        <w:tc>
          <w:tcPr>
            <w:tcW w:w="1134" w:type="dxa"/>
            <w:shd w:val="clear" w:color="auto" w:fill="FFFFFF" w:themeFill="background1"/>
          </w:tcPr>
          <w:p w14:paraId="000DEFBC"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tc>
        <w:tc>
          <w:tcPr>
            <w:tcW w:w="993" w:type="dxa"/>
            <w:shd w:val="clear" w:color="auto" w:fill="FFFFFF" w:themeFill="background1"/>
          </w:tcPr>
          <w:p w14:paraId="31B2BF23" w14:textId="77777777" w:rsidR="0057187E" w:rsidRPr="0057187E" w:rsidRDefault="0057187E" w:rsidP="0057187E">
            <w:pPr>
              <w:rPr>
                <w:sz w:val="18"/>
                <w:szCs w:val="18"/>
                <w:lang w:val="en-GB"/>
              </w:rPr>
            </w:pPr>
            <w:r w:rsidRPr="0057187E">
              <w:rPr>
                <w:sz w:val="18"/>
                <w:szCs w:val="18"/>
                <w:lang w:val="en-GB"/>
              </w:rPr>
              <w:t>1 (9.1%)</w:t>
            </w:r>
            <w:r w:rsidRPr="0057187E">
              <w:rPr>
                <w:sz w:val="18"/>
                <w:szCs w:val="18"/>
                <w:lang w:val="en-GB"/>
              </w:rPr>
              <w:tab/>
            </w:r>
          </w:p>
        </w:tc>
        <w:tc>
          <w:tcPr>
            <w:tcW w:w="1134" w:type="dxa"/>
            <w:shd w:val="clear" w:color="auto" w:fill="FFFFFF" w:themeFill="background1"/>
          </w:tcPr>
          <w:p w14:paraId="315B7244" w14:textId="77777777" w:rsidR="0057187E" w:rsidRPr="0057187E" w:rsidRDefault="0057187E" w:rsidP="0057187E">
            <w:pPr>
              <w:rPr>
                <w:sz w:val="18"/>
                <w:szCs w:val="18"/>
                <w:lang w:val="en-GB"/>
              </w:rPr>
            </w:pPr>
            <w:r w:rsidRPr="0057187E">
              <w:rPr>
                <w:sz w:val="18"/>
                <w:szCs w:val="18"/>
                <w:lang w:val="en-GB"/>
              </w:rPr>
              <w:t>3 (30.0%)</w:t>
            </w:r>
            <w:r w:rsidRPr="0057187E">
              <w:rPr>
                <w:sz w:val="18"/>
                <w:szCs w:val="18"/>
                <w:lang w:val="en-GB"/>
              </w:rPr>
              <w:tab/>
            </w:r>
          </w:p>
        </w:tc>
      </w:tr>
      <w:tr w:rsidR="0057187E" w:rsidRPr="00800B07" w14:paraId="4006B45F" w14:textId="77777777" w:rsidTr="0057187E">
        <w:trPr>
          <w:trHeight w:val="589"/>
        </w:trPr>
        <w:tc>
          <w:tcPr>
            <w:tcW w:w="2127" w:type="dxa"/>
            <w:tcBorders>
              <w:right w:val="single" w:sz="12" w:space="0" w:color="auto"/>
            </w:tcBorders>
            <w:shd w:val="clear" w:color="auto" w:fill="FFFFFF" w:themeFill="background1"/>
          </w:tcPr>
          <w:p w14:paraId="2DC24363" w14:textId="77777777" w:rsidR="0057187E" w:rsidRPr="0057187E" w:rsidRDefault="0057187E" w:rsidP="0057187E">
            <w:pPr>
              <w:rPr>
                <w:sz w:val="18"/>
                <w:szCs w:val="18"/>
                <w:lang w:val="en-GB"/>
              </w:rPr>
            </w:pPr>
            <w:r w:rsidRPr="0057187E">
              <w:rPr>
                <w:sz w:val="18"/>
                <w:szCs w:val="18"/>
                <w:lang w:val="en-GB"/>
              </w:rPr>
              <w:t>Diabetes</w:t>
            </w:r>
          </w:p>
          <w:p w14:paraId="10A00456" w14:textId="77777777" w:rsidR="0057187E" w:rsidRPr="0057187E" w:rsidRDefault="0057187E" w:rsidP="0057187E">
            <w:pPr>
              <w:numPr>
                <w:ilvl w:val="0"/>
                <w:numId w:val="13"/>
              </w:numPr>
              <w:contextualSpacing/>
              <w:rPr>
                <w:sz w:val="18"/>
                <w:szCs w:val="18"/>
                <w:lang w:val="en-GB"/>
              </w:rPr>
            </w:pPr>
            <w:r w:rsidRPr="0057187E">
              <w:rPr>
                <w:sz w:val="18"/>
                <w:szCs w:val="18"/>
                <w:lang w:val="en-GB"/>
              </w:rPr>
              <w:t>Type 1</w:t>
            </w:r>
          </w:p>
          <w:p w14:paraId="65D302C6" w14:textId="77777777" w:rsidR="0057187E" w:rsidRPr="0057187E" w:rsidRDefault="0057187E" w:rsidP="0057187E">
            <w:pPr>
              <w:numPr>
                <w:ilvl w:val="0"/>
                <w:numId w:val="13"/>
              </w:numPr>
              <w:contextualSpacing/>
              <w:rPr>
                <w:sz w:val="18"/>
                <w:szCs w:val="18"/>
                <w:lang w:val="en-GB"/>
              </w:rPr>
            </w:pPr>
            <w:r w:rsidRPr="0057187E">
              <w:rPr>
                <w:sz w:val="18"/>
                <w:szCs w:val="18"/>
                <w:lang w:val="en-GB"/>
              </w:rPr>
              <w:t>Type 2</w:t>
            </w:r>
          </w:p>
          <w:p w14:paraId="6B1E5439" w14:textId="77777777" w:rsidR="0057187E" w:rsidRPr="0057187E" w:rsidRDefault="0057187E" w:rsidP="0057187E">
            <w:pPr>
              <w:numPr>
                <w:ilvl w:val="0"/>
                <w:numId w:val="13"/>
              </w:numPr>
              <w:contextualSpacing/>
              <w:rPr>
                <w:sz w:val="18"/>
                <w:szCs w:val="18"/>
                <w:lang w:val="en-GB"/>
              </w:rPr>
            </w:pPr>
            <w:r w:rsidRPr="0057187E">
              <w:rPr>
                <w:sz w:val="18"/>
                <w:szCs w:val="18"/>
                <w:lang w:val="en-GB"/>
              </w:rPr>
              <w:t xml:space="preserve">Unclassified </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591F6F0" w14:textId="77777777" w:rsidR="0057187E" w:rsidRPr="0057187E" w:rsidRDefault="0057187E" w:rsidP="0057187E">
            <w:pPr>
              <w:rPr>
                <w:sz w:val="18"/>
                <w:szCs w:val="18"/>
                <w:lang w:val="en-GB"/>
              </w:rPr>
            </w:pPr>
            <w:r w:rsidRPr="0057187E">
              <w:rPr>
                <w:sz w:val="18"/>
                <w:szCs w:val="18"/>
                <w:lang w:val="en-GB"/>
              </w:rPr>
              <w:t>119 (14.3%)</w:t>
            </w:r>
          </w:p>
          <w:p w14:paraId="4BBAFBC6" w14:textId="77777777" w:rsidR="0057187E" w:rsidRPr="0057187E" w:rsidRDefault="0057187E" w:rsidP="0057187E">
            <w:pPr>
              <w:rPr>
                <w:sz w:val="18"/>
                <w:szCs w:val="18"/>
                <w:lang w:val="en-GB"/>
              </w:rPr>
            </w:pPr>
            <w:r w:rsidRPr="0057187E">
              <w:rPr>
                <w:sz w:val="18"/>
                <w:szCs w:val="18"/>
                <w:lang w:val="en-GB"/>
              </w:rPr>
              <w:t>5 (0.6%)</w:t>
            </w:r>
          </w:p>
          <w:p w14:paraId="5F59C9AC" w14:textId="77777777" w:rsidR="0057187E" w:rsidRPr="0057187E" w:rsidRDefault="0057187E" w:rsidP="0057187E">
            <w:pPr>
              <w:rPr>
                <w:sz w:val="18"/>
                <w:szCs w:val="18"/>
                <w:lang w:val="en-GB"/>
              </w:rPr>
            </w:pPr>
            <w:r w:rsidRPr="0057187E">
              <w:rPr>
                <w:sz w:val="18"/>
                <w:szCs w:val="18"/>
                <w:lang w:val="en-GB"/>
              </w:rPr>
              <w:t>112 (13.4%)</w:t>
            </w:r>
          </w:p>
          <w:p w14:paraId="129AB729" w14:textId="77777777" w:rsidR="0057187E" w:rsidRPr="0057187E" w:rsidRDefault="0057187E" w:rsidP="0057187E">
            <w:pPr>
              <w:rPr>
                <w:sz w:val="18"/>
                <w:szCs w:val="18"/>
                <w:lang w:val="en-GB"/>
              </w:rPr>
            </w:pPr>
            <w:r w:rsidRPr="0057187E">
              <w:rPr>
                <w:sz w:val="18"/>
                <w:szCs w:val="18"/>
                <w:lang w:val="en-GB"/>
              </w:rPr>
              <w:t>2 (0.2%)</w:t>
            </w:r>
          </w:p>
        </w:tc>
        <w:tc>
          <w:tcPr>
            <w:tcW w:w="1152" w:type="dxa"/>
            <w:tcBorders>
              <w:left w:val="single" w:sz="12" w:space="0" w:color="auto"/>
            </w:tcBorders>
            <w:shd w:val="clear" w:color="auto" w:fill="FFFFFF" w:themeFill="background1"/>
          </w:tcPr>
          <w:p w14:paraId="5471540B" w14:textId="77777777" w:rsidR="0057187E" w:rsidRPr="0057187E" w:rsidRDefault="0057187E" w:rsidP="0057187E">
            <w:pPr>
              <w:rPr>
                <w:sz w:val="18"/>
                <w:szCs w:val="18"/>
                <w:lang w:val="en-GB"/>
              </w:rPr>
            </w:pPr>
            <w:r w:rsidRPr="0057187E">
              <w:rPr>
                <w:sz w:val="18"/>
                <w:szCs w:val="18"/>
                <w:lang w:val="en-GB"/>
              </w:rPr>
              <w:t>58 (15.7%)</w:t>
            </w:r>
          </w:p>
          <w:p w14:paraId="1AB21406" w14:textId="77777777" w:rsidR="0057187E" w:rsidRPr="0057187E" w:rsidRDefault="0057187E" w:rsidP="0057187E">
            <w:pPr>
              <w:rPr>
                <w:sz w:val="18"/>
                <w:szCs w:val="18"/>
                <w:lang w:val="en-GB"/>
              </w:rPr>
            </w:pPr>
            <w:r w:rsidRPr="0057187E">
              <w:rPr>
                <w:sz w:val="18"/>
                <w:szCs w:val="18"/>
                <w:lang w:val="en-GB"/>
              </w:rPr>
              <w:t>1 (0.3%)</w:t>
            </w:r>
          </w:p>
          <w:p w14:paraId="3CB6DE7B" w14:textId="77777777" w:rsidR="0057187E" w:rsidRPr="0057187E" w:rsidRDefault="0057187E" w:rsidP="0057187E">
            <w:pPr>
              <w:rPr>
                <w:sz w:val="18"/>
                <w:szCs w:val="18"/>
                <w:lang w:val="en-GB"/>
              </w:rPr>
            </w:pPr>
            <w:r w:rsidRPr="0057187E">
              <w:rPr>
                <w:sz w:val="18"/>
                <w:szCs w:val="18"/>
                <w:lang w:val="en-GB"/>
              </w:rPr>
              <w:t>55 (14.9%)</w:t>
            </w:r>
          </w:p>
          <w:p w14:paraId="4E81E648" w14:textId="77777777" w:rsidR="0057187E" w:rsidRPr="0057187E" w:rsidRDefault="0057187E" w:rsidP="0057187E">
            <w:pPr>
              <w:rPr>
                <w:sz w:val="18"/>
                <w:szCs w:val="18"/>
                <w:lang w:val="en-GB"/>
              </w:rPr>
            </w:pPr>
            <w:r w:rsidRPr="0057187E">
              <w:rPr>
                <w:sz w:val="18"/>
                <w:szCs w:val="18"/>
                <w:lang w:val="en-GB"/>
              </w:rPr>
              <w:t>2 (0.5%)</w:t>
            </w:r>
          </w:p>
        </w:tc>
        <w:tc>
          <w:tcPr>
            <w:tcW w:w="1152" w:type="dxa"/>
            <w:shd w:val="clear" w:color="auto" w:fill="FFFFFF" w:themeFill="background1"/>
          </w:tcPr>
          <w:p w14:paraId="686C2A93" w14:textId="77777777" w:rsidR="0057187E" w:rsidRPr="0057187E" w:rsidRDefault="0057187E" w:rsidP="0057187E">
            <w:pPr>
              <w:rPr>
                <w:sz w:val="18"/>
                <w:szCs w:val="18"/>
                <w:lang w:val="en-GB"/>
              </w:rPr>
            </w:pPr>
            <w:r w:rsidRPr="0057187E">
              <w:rPr>
                <w:sz w:val="18"/>
                <w:szCs w:val="18"/>
                <w:lang w:val="en-GB"/>
              </w:rPr>
              <w:t>5 (13.5%)</w:t>
            </w:r>
          </w:p>
          <w:p w14:paraId="18AA421D" w14:textId="77777777" w:rsidR="0057187E" w:rsidRPr="0057187E" w:rsidRDefault="0057187E" w:rsidP="0057187E">
            <w:pPr>
              <w:rPr>
                <w:sz w:val="18"/>
                <w:szCs w:val="18"/>
                <w:lang w:val="en-GB"/>
              </w:rPr>
            </w:pPr>
            <w:r w:rsidRPr="0057187E">
              <w:rPr>
                <w:sz w:val="18"/>
                <w:szCs w:val="18"/>
                <w:lang w:val="en-GB"/>
              </w:rPr>
              <w:t>0</w:t>
            </w:r>
          </w:p>
          <w:p w14:paraId="56B71DE9" w14:textId="77777777" w:rsidR="0057187E" w:rsidRPr="0057187E" w:rsidRDefault="0057187E" w:rsidP="0057187E">
            <w:pPr>
              <w:rPr>
                <w:sz w:val="18"/>
                <w:szCs w:val="18"/>
                <w:lang w:val="en-GB"/>
              </w:rPr>
            </w:pPr>
            <w:r w:rsidRPr="0057187E">
              <w:rPr>
                <w:sz w:val="18"/>
                <w:szCs w:val="18"/>
                <w:lang w:val="en-GB"/>
              </w:rPr>
              <w:t>5 (13.5%)</w:t>
            </w:r>
          </w:p>
          <w:p w14:paraId="4A036982" w14:textId="77777777" w:rsidR="0057187E" w:rsidRPr="0057187E" w:rsidRDefault="0057187E" w:rsidP="0057187E">
            <w:pPr>
              <w:rPr>
                <w:sz w:val="18"/>
                <w:szCs w:val="18"/>
                <w:lang w:val="en-GB"/>
              </w:rPr>
            </w:pPr>
            <w:r w:rsidRPr="0057187E">
              <w:rPr>
                <w:sz w:val="18"/>
                <w:szCs w:val="18"/>
                <w:lang w:val="en-GB"/>
              </w:rPr>
              <w:t>0</w:t>
            </w:r>
          </w:p>
        </w:tc>
        <w:tc>
          <w:tcPr>
            <w:tcW w:w="1152" w:type="dxa"/>
            <w:shd w:val="clear" w:color="auto" w:fill="FFFFFF" w:themeFill="background1"/>
          </w:tcPr>
          <w:p w14:paraId="7FF36F59" w14:textId="77777777" w:rsidR="0057187E" w:rsidRPr="0057187E" w:rsidRDefault="0057187E" w:rsidP="0057187E">
            <w:pPr>
              <w:rPr>
                <w:sz w:val="18"/>
                <w:szCs w:val="18"/>
                <w:lang w:val="en-GB"/>
              </w:rPr>
            </w:pPr>
            <w:r w:rsidRPr="0057187E">
              <w:rPr>
                <w:sz w:val="18"/>
                <w:szCs w:val="18"/>
                <w:lang w:val="en-GB"/>
              </w:rPr>
              <w:t>3 (14.3%)</w:t>
            </w:r>
          </w:p>
          <w:p w14:paraId="3903A258" w14:textId="77777777" w:rsidR="0057187E" w:rsidRPr="0057187E" w:rsidRDefault="0057187E" w:rsidP="0057187E">
            <w:pPr>
              <w:rPr>
                <w:sz w:val="18"/>
                <w:szCs w:val="18"/>
                <w:lang w:val="en-GB"/>
              </w:rPr>
            </w:pPr>
            <w:r w:rsidRPr="0057187E">
              <w:rPr>
                <w:sz w:val="18"/>
                <w:szCs w:val="18"/>
                <w:lang w:val="en-GB"/>
              </w:rPr>
              <w:t>0</w:t>
            </w:r>
          </w:p>
          <w:p w14:paraId="5B77CAEE" w14:textId="77777777" w:rsidR="0057187E" w:rsidRPr="0057187E" w:rsidRDefault="0057187E" w:rsidP="0057187E">
            <w:pPr>
              <w:rPr>
                <w:sz w:val="18"/>
                <w:szCs w:val="18"/>
                <w:lang w:val="en-GB"/>
              </w:rPr>
            </w:pPr>
            <w:r w:rsidRPr="0057187E">
              <w:rPr>
                <w:sz w:val="18"/>
                <w:szCs w:val="18"/>
                <w:lang w:val="en-GB"/>
              </w:rPr>
              <w:t>3 (14.3%)</w:t>
            </w:r>
          </w:p>
          <w:p w14:paraId="1DB0F8CF"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tc>
        <w:tc>
          <w:tcPr>
            <w:tcW w:w="1063" w:type="dxa"/>
            <w:shd w:val="clear" w:color="auto" w:fill="FFFFFF" w:themeFill="background1"/>
          </w:tcPr>
          <w:p w14:paraId="2945E9B4" w14:textId="77777777" w:rsidR="0057187E" w:rsidRPr="0057187E" w:rsidRDefault="0057187E" w:rsidP="0057187E">
            <w:pPr>
              <w:rPr>
                <w:sz w:val="18"/>
                <w:szCs w:val="18"/>
                <w:lang w:val="en-GB"/>
              </w:rPr>
            </w:pPr>
            <w:r w:rsidRPr="0057187E">
              <w:rPr>
                <w:sz w:val="18"/>
                <w:szCs w:val="18"/>
                <w:lang w:val="en-GB"/>
              </w:rPr>
              <w:t>3 (15.8%)</w:t>
            </w:r>
          </w:p>
          <w:p w14:paraId="7A236352" w14:textId="77777777" w:rsidR="0057187E" w:rsidRPr="0057187E" w:rsidRDefault="0057187E" w:rsidP="0057187E">
            <w:pPr>
              <w:rPr>
                <w:sz w:val="18"/>
                <w:szCs w:val="18"/>
                <w:lang w:val="en-GB"/>
              </w:rPr>
            </w:pPr>
            <w:r w:rsidRPr="0057187E">
              <w:rPr>
                <w:sz w:val="18"/>
                <w:szCs w:val="18"/>
                <w:lang w:val="en-GB"/>
              </w:rPr>
              <w:t>0</w:t>
            </w:r>
          </w:p>
          <w:p w14:paraId="3AA64530" w14:textId="77777777" w:rsidR="0057187E" w:rsidRPr="0057187E" w:rsidRDefault="0057187E" w:rsidP="0057187E">
            <w:pPr>
              <w:rPr>
                <w:sz w:val="18"/>
                <w:szCs w:val="18"/>
                <w:lang w:val="en-GB"/>
              </w:rPr>
            </w:pPr>
            <w:r w:rsidRPr="0057187E">
              <w:rPr>
                <w:sz w:val="18"/>
                <w:szCs w:val="18"/>
                <w:lang w:val="en-GB"/>
              </w:rPr>
              <w:t>3 (15.8%)</w:t>
            </w:r>
          </w:p>
          <w:p w14:paraId="17B91AC8"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tc>
        <w:tc>
          <w:tcPr>
            <w:tcW w:w="1134" w:type="dxa"/>
            <w:shd w:val="clear" w:color="auto" w:fill="FFFFFF" w:themeFill="background1"/>
          </w:tcPr>
          <w:p w14:paraId="3345240D" w14:textId="77777777" w:rsidR="0057187E" w:rsidRPr="0057187E" w:rsidRDefault="0057187E" w:rsidP="0057187E">
            <w:pPr>
              <w:rPr>
                <w:sz w:val="18"/>
                <w:szCs w:val="18"/>
                <w:lang w:val="en-GB"/>
              </w:rPr>
            </w:pPr>
            <w:r w:rsidRPr="0057187E">
              <w:rPr>
                <w:sz w:val="18"/>
                <w:szCs w:val="18"/>
                <w:lang w:val="en-GB"/>
              </w:rPr>
              <w:t>1 (7.1%)</w:t>
            </w:r>
          </w:p>
          <w:p w14:paraId="7E84E5CE" w14:textId="77777777" w:rsidR="0057187E" w:rsidRPr="0057187E" w:rsidRDefault="0057187E" w:rsidP="0057187E">
            <w:pPr>
              <w:rPr>
                <w:sz w:val="18"/>
                <w:szCs w:val="18"/>
                <w:lang w:val="en-GB"/>
              </w:rPr>
            </w:pPr>
            <w:r w:rsidRPr="0057187E">
              <w:rPr>
                <w:sz w:val="18"/>
                <w:szCs w:val="18"/>
                <w:lang w:val="en-GB"/>
              </w:rPr>
              <w:t>0</w:t>
            </w:r>
          </w:p>
          <w:p w14:paraId="4B70FCEE" w14:textId="77777777" w:rsidR="0057187E" w:rsidRPr="0057187E" w:rsidRDefault="0057187E" w:rsidP="0057187E">
            <w:pPr>
              <w:rPr>
                <w:sz w:val="18"/>
                <w:szCs w:val="18"/>
                <w:lang w:val="en-GB"/>
              </w:rPr>
            </w:pPr>
            <w:r w:rsidRPr="0057187E">
              <w:rPr>
                <w:sz w:val="18"/>
                <w:szCs w:val="18"/>
                <w:lang w:val="en-GB"/>
              </w:rPr>
              <w:t>1(7.1%)</w:t>
            </w:r>
          </w:p>
          <w:p w14:paraId="48A42248" w14:textId="77777777" w:rsidR="0057187E" w:rsidRPr="0057187E" w:rsidRDefault="0057187E" w:rsidP="0057187E">
            <w:pPr>
              <w:rPr>
                <w:sz w:val="18"/>
                <w:szCs w:val="18"/>
                <w:lang w:val="en-GB"/>
              </w:rPr>
            </w:pPr>
            <w:r w:rsidRPr="0057187E">
              <w:rPr>
                <w:sz w:val="18"/>
                <w:szCs w:val="18"/>
                <w:lang w:val="en-GB"/>
              </w:rPr>
              <w:t>0</w:t>
            </w:r>
          </w:p>
        </w:tc>
        <w:tc>
          <w:tcPr>
            <w:tcW w:w="993" w:type="dxa"/>
            <w:shd w:val="clear" w:color="auto" w:fill="FFFFFF" w:themeFill="background1"/>
          </w:tcPr>
          <w:p w14:paraId="5BC40C9B" w14:textId="77777777" w:rsidR="0057187E" w:rsidRPr="0057187E" w:rsidRDefault="0057187E" w:rsidP="0057187E">
            <w:pPr>
              <w:rPr>
                <w:sz w:val="18"/>
                <w:szCs w:val="18"/>
                <w:lang w:val="en-GB"/>
              </w:rPr>
            </w:pPr>
            <w:r w:rsidRPr="0057187E">
              <w:rPr>
                <w:sz w:val="18"/>
                <w:szCs w:val="18"/>
                <w:lang w:val="en-GB"/>
              </w:rPr>
              <w:t>1 (9.1%)</w:t>
            </w:r>
            <w:r w:rsidRPr="0057187E">
              <w:rPr>
                <w:sz w:val="18"/>
                <w:szCs w:val="18"/>
                <w:lang w:val="en-GB"/>
              </w:rPr>
              <w:tab/>
            </w:r>
          </w:p>
          <w:p w14:paraId="0B247818" w14:textId="77777777" w:rsidR="0057187E" w:rsidRPr="0057187E" w:rsidRDefault="0057187E" w:rsidP="0057187E">
            <w:pPr>
              <w:rPr>
                <w:sz w:val="18"/>
                <w:szCs w:val="18"/>
                <w:lang w:val="en-GB"/>
              </w:rPr>
            </w:pPr>
            <w:r w:rsidRPr="0057187E">
              <w:rPr>
                <w:sz w:val="18"/>
                <w:szCs w:val="18"/>
                <w:lang w:val="en-GB"/>
              </w:rPr>
              <w:t>0</w:t>
            </w:r>
          </w:p>
          <w:p w14:paraId="111FE5C5" w14:textId="77777777" w:rsidR="0057187E" w:rsidRPr="0057187E" w:rsidRDefault="0057187E" w:rsidP="0057187E">
            <w:pPr>
              <w:rPr>
                <w:sz w:val="18"/>
                <w:szCs w:val="18"/>
                <w:lang w:val="en-GB"/>
              </w:rPr>
            </w:pPr>
            <w:r w:rsidRPr="0057187E">
              <w:rPr>
                <w:sz w:val="18"/>
                <w:szCs w:val="18"/>
                <w:lang w:val="en-GB"/>
              </w:rPr>
              <w:t>1 (9.1%)</w:t>
            </w:r>
            <w:r w:rsidRPr="0057187E">
              <w:rPr>
                <w:sz w:val="18"/>
                <w:szCs w:val="18"/>
                <w:lang w:val="en-GB"/>
              </w:rPr>
              <w:tab/>
            </w:r>
          </w:p>
          <w:p w14:paraId="0FBE8120" w14:textId="77777777" w:rsidR="0057187E" w:rsidRPr="0057187E" w:rsidRDefault="0057187E" w:rsidP="0057187E">
            <w:pPr>
              <w:rPr>
                <w:sz w:val="18"/>
                <w:szCs w:val="18"/>
                <w:lang w:val="en-GB"/>
              </w:rPr>
            </w:pPr>
            <w:r w:rsidRPr="0057187E">
              <w:rPr>
                <w:sz w:val="18"/>
                <w:szCs w:val="18"/>
                <w:lang w:val="en-GB"/>
              </w:rPr>
              <w:t>0</w:t>
            </w:r>
          </w:p>
        </w:tc>
        <w:tc>
          <w:tcPr>
            <w:tcW w:w="1134" w:type="dxa"/>
            <w:shd w:val="clear" w:color="auto" w:fill="FFFFFF" w:themeFill="background1"/>
          </w:tcPr>
          <w:p w14:paraId="1A6C51D7" w14:textId="77777777" w:rsidR="0057187E" w:rsidRPr="0057187E" w:rsidRDefault="0057187E" w:rsidP="0057187E">
            <w:pPr>
              <w:rPr>
                <w:sz w:val="18"/>
                <w:szCs w:val="18"/>
                <w:lang w:val="en-GB"/>
              </w:rPr>
            </w:pPr>
            <w:r w:rsidRPr="0057187E">
              <w:rPr>
                <w:sz w:val="18"/>
                <w:szCs w:val="18"/>
                <w:lang w:val="en-GB"/>
              </w:rPr>
              <w:t>2 (20.0%)</w:t>
            </w:r>
          </w:p>
          <w:p w14:paraId="488C54D6" w14:textId="77777777" w:rsidR="0057187E" w:rsidRPr="0057187E" w:rsidRDefault="0057187E" w:rsidP="0057187E">
            <w:pPr>
              <w:rPr>
                <w:sz w:val="18"/>
                <w:szCs w:val="18"/>
                <w:lang w:val="en-GB"/>
              </w:rPr>
            </w:pPr>
            <w:r w:rsidRPr="0057187E">
              <w:rPr>
                <w:sz w:val="18"/>
                <w:szCs w:val="18"/>
                <w:lang w:val="en-GB"/>
              </w:rPr>
              <w:t>0</w:t>
            </w:r>
          </w:p>
          <w:p w14:paraId="4A9F6444" w14:textId="77777777" w:rsidR="0057187E" w:rsidRPr="0057187E" w:rsidRDefault="0057187E" w:rsidP="0057187E">
            <w:pPr>
              <w:rPr>
                <w:sz w:val="18"/>
                <w:szCs w:val="18"/>
                <w:lang w:val="en-GB"/>
              </w:rPr>
            </w:pPr>
            <w:r w:rsidRPr="0057187E">
              <w:rPr>
                <w:sz w:val="18"/>
                <w:szCs w:val="18"/>
                <w:lang w:val="en-GB"/>
              </w:rPr>
              <w:t>2 (20.0%)</w:t>
            </w:r>
          </w:p>
          <w:p w14:paraId="5FD66C54" w14:textId="77777777" w:rsidR="0057187E" w:rsidRPr="0057187E" w:rsidRDefault="0057187E" w:rsidP="0057187E">
            <w:pPr>
              <w:rPr>
                <w:sz w:val="18"/>
                <w:szCs w:val="18"/>
                <w:lang w:val="en-GB"/>
              </w:rPr>
            </w:pPr>
            <w:r w:rsidRPr="0057187E">
              <w:rPr>
                <w:sz w:val="18"/>
                <w:szCs w:val="18"/>
                <w:lang w:val="en-GB"/>
              </w:rPr>
              <w:t>0</w:t>
            </w:r>
          </w:p>
        </w:tc>
      </w:tr>
      <w:tr w:rsidR="0057187E" w:rsidRPr="00800B07" w14:paraId="47C1F86D" w14:textId="77777777" w:rsidTr="0057187E">
        <w:trPr>
          <w:trHeight w:val="386"/>
        </w:trPr>
        <w:tc>
          <w:tcPr>
            <w:tcW w:w="2127" w:type="dxa"/>
            <w:tcBorders>
              <w:right w:val="single" w:sz="12" w:space="0" w:color="auto"/>
            </w:tcBorders>
            <w:shd w:val="clear" w:color="auto" w:fill="FFFFFF" w:themeFill="background1"/>
          </w:tcPr>
          <w:p w14:paraId="5C4282E4" w14:textId="77777777" w:rsidR="0057187E" w:rsidRPr="0057187E" w:rsidRDefault="0057187E" w:rsidP="0057187E">
            <w:pPr>
              <w:rPr>
                <w:sz w:val="18"/>
                <w:szCs w:val="18"/>
                <w:lang w:val="en-GB"/>
              </w:rPr>
            </w:pPr>
            <w:r w:rsidRPr="0057187E">
              <w:rPr>
                <w:sz w:val="18"/>
                <w:szCs w:val="18"/>
                <w:lang w:val="en-GB"/>
              </w:rPr>
              <w:t>CV disease</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EA4519F" w14:textId="77777777" w:rsidR="0057187E" w:rsidRPr="0057187E" w:rsidRDefault="0057187E" w:rsidP="0057187E">
            <w:pPr>
              <w:rPr>
                <w:sz w:val="18"/>
                <w:szCs w:val="18"/>
                <w:lang w:val="en-GB"/>
              </w:rPr>
            </w:pPr>
            <w:r w:rsidRPr="0057187E">
              <w:rPr>
                <w:sz w:val="18"/>
                <w:szCs w:val="18"/>
                <w:lang w:val="en-GB"/>
              </w:rPr>
              <w:t>59 (7.1%)</w:t>
            </w:r>
          </w:p>
          <w:p w14:paraId="00DC3714" w14:textId="77777777" w:rsidR="0057187E" w:rsidRPr="0057187E" w:rsidRDefault="0057187E" w:rsidP="0057187E">
            <w:pPr>
              <w:rPr>
                <w:sz w:val="18"/>
                <w:szCs w:val="18"/>
                <w:lang w:val="en-GB"/>
              </w:rPr>
            </w:pPr>
          </w:p>
        </w:tc>
        <w:tc>
          <w:tcPr>
            <w:tcW w:w="1152" w:type="dxa"/>
            <w:tcBorders>
              <w:left w:val="single" w:sz="12" w:space="0" w:color="auto"/>
            </w:tcBorders>
            <w:shd w:val="clear" w:color="auto" w:fill="FFFFFF" w:themeFill="background1"/>
          </w:tcPr>
          <w:p w14:paraId="1B39A68D" w14:textId="77777777" w:rsidR="0057187E" w:rsidRPr="0057187E" w:rsidRDefault="0057187E" w:rsidP="0057187E">
            <w:pPr>
              <w:rPr>
                <w:sz w:val="18"/>
                <w:szCs w:val="18"/>
                <w:lang w:val="en-GB"/>
              </w:rPr>
            </w:pPr>
            <w:r w:rsidRPr="0057187E">
              <w:rPr>
                <w:sz w:val="18"/>
                <w:szCs w:val="18"/>
                <w:lang w:val="en-GB"/>
              </w:rPr>
              <w:t>22 (6.0%)</w:t>
            </w:r>
          </w:p>
        </w:tc>
        <w:tc>
          <w:tcPr>
            <w:tcW w:w="1152" w:type="dxa"/>
            <w:shd w:val="clear" w:color="auto" w:fill="FFFFFF" w:themeFill="background1"/>
          </w:tcPr>
          <w:p w14:paraId="0DB7301D" w14:textId="77777777" w:rsidR="0057187E" w:rsidRPr="0057187E" w:rsidRDefault="0057187E" w:rsidP="0057187E">
            <w:pPr>
              <w:rPr>
                <w:sz w:val="18"/>
                <w:szCs w:val="18"/>
                <w:lang w:val="en-GB"/>
              </w:rPr>
            </w:pPr>
            <w:r w:rsidRPr="0057187E">
              <w:rPr>
                <w:sz w:val="18"/>
                <w:szCs w:val="18"/>
                <w:lang w:val="en-GB"/>
              </w:rPr>
              <w:t>3  (8.1%)</w:t>
            </w:r>
            <w:r w:rsidRPr="0057187E">
              <w:rPr>
                <w:sz w:val="18"/>
                <w:szCs w:val="18"/>
                <w:lang w:val="en-GB"/>
              </w:rPr>
              <w:tab/>
            </w:r>
          </w:p>
        </w:tc>
        <w:tc>
          <w:tcPr>
            <w:tcW w:w="1152" w:type="dxa"/>
            <w:shd w:val="clear" w:color="auto" w:fill="FFFFFF" w:themeFill="background1"/>
          </w:tcPr>
          <w:p w14:paraId="47BD930D" w14:textId="77777777" w:rsidR="0057187E" w:rsidRPr="0057187E" w:rsidRDefault="0057187E" w:rsidP="0057187E">
            <w:pPr>
              <w:rPr>
                <w:sz w:val="18"/>
                <w:szCs w:val="18"/>
                <w:lang w:val="en-GB"/>
              </w:rPr>
            </w:pPr>
            <w:r w:rsidRPr="0057187E">
              <w:rPr>
                <w:sz w:val="18"/>
                <w:szCs w:val="18"/>
                <w:lang w:val="en-GB"/>
              </w:rPr>
              <w:t>2 (9.5%)</w:t>
            </w:r>
            <w:r w:rsidRPr="0057187E">
              <w:rPr>
                <w:sz w:val="18"/>
                <w:szCs w:val="18"/>
                <w:lang w:val="en-GB"/>
              </w:rPr>
              <w:tab/>
            </w:r>
          </w:p>
        </w:tc>
        <w:tc>
          <w:tcPr>
            <w:tcW w:w="1063" w:type="dxa"/>
            <w:shd w:val="clear" w:color="auto" w:fill="FFFFFF" w:themeFill="background1"/>
          </w:tcPr>
          <w:p w14:paraId="4EBF38FE" w14:textId="77777777" w:rsidR="0057187E" w:rsidRPr="0057187E" w:rsidRDefault="0057187E" w:rsidP="0057187E">
            <w:pPr>
              <w:rPr>
                <w:sz w:val="18"/>
                <w:szCs w:val="18"/>
                <w:lang w:val="en-GB"/>
              </w:rPr>
            </w:pPr>
            <w:r w:rsidRPr="0057187E">
              <w:rPr>
                <w:sz w:val="18"/>
                <w:szCs w:val="18"/>
                <w:lang w:val="en-GB"/>
              </w:rPr>
              <w:t>2 (10.5%)</w:t>
            </w:r>
            <w:r w:rsidRPr="0057187E">
              <w:rPr>
                <w:sz w:val="18"/>
                <w:szCs w:val="18"/>
                <w:lang w:val="en-GB"/>
              </w:rPr>
              <w:tab/>
            </w:r>
          </w:p>
        </w:tc>
        <w:tc>
          <w:tcPr>
            <w:tcW w:w="1134" w:type="dxa"/>
            <w:shd w:val="clear" w:color="auto" w:fill="FFFFFF" w:themeFill="background1"/>
          </w:tcPr>
          <w:p w14:paraId="18FA5393" w14:textId="77777777" w:rsidR="0057187E" w:rsidRPr="0057187E" w:rsidRDefault="0057187E" w:rsidP="0057187E">
            <w:pPr>
              <w:rPr>
                <w:sz w:val="18"/>
                <w:szCs w:val="18"/>
                <w:lang w:val="en-GB"/>
              </w:rPr>
            </w:pPr>
            <w:r w:rsidRPr="0057187E">
              <w:rPr>
                <w:sz w:val="18"/>
                <w:szCs w:val="18"/>
                <w:lang w:val="en-GB"/>
              </w:rPr>
              <w:t>1 (7.1%)</w:t>
            </w:r>
            <w:r w:rsidRPr="0057187E">
              <w:rPr>
                <w:sz w:val="18"/>
                <w:szCs w:val="18"/>
                <w:lang w:val="en-GB"/>
              </w:rPr>
              <w:tab/>
            </w:r>
          </w:p>
        </w:tc>
        <w:tc>
          <w:tcPr>
            <w:tcW w:w="993" w:type="dxa"/>
            <w:shd w:val="clear" w:color="auto" w:fill="FFFFFF" w:themeFill="background1"/>
          </w:tcPr>
          <w:p w14:paraId="5664E613" w14:textId="77777777" w:rsidR="0057187E" w:rsidRPr="0057187E" w:rsidRDefault="0057187E" w:rsidP="0057187E">
            <w:pPr>
              <w:rPr>
                <w:sz w:val="18"/>
                <w:szCs w:val="18"/>
                <w:lang w:val="en-GB"/>
              </w:rPr>
            </w:pPr>
            <w:r w:rsidRPr="0057187E">
              <w:rPr>
                <w:sz w:val="18"/>
                <w:szCs w:val="18"/>
                <w:lang w:val="en-GB"/>
              </w:rPr>
              <w:t>0</w:t>
            </w:r>
          </w:p>
          <w:p w14:paraId="77DB3F2A" w14:textId="77777777" w:rsidR="0057187E" w:rsidRPr="0057187E" w:rsidRDefault="0057187E" w:rsidP="0057187E">
            <w:pPr>
              <w:rPr>
                <w:sz w:val="18"/>
                <w:szCs w:val="18"/>
                <w:lang w:val="en-GB"/>
              </w:rPr>
            </w:pPr>
            <w:r w:rsidRPr="0057187E">
              <w:rPr>
                <w:sz w:val="18"/>
                <w:szCs w:val="18"/>
                <w:lang w:val="en-GB"/>
              </w:rPr>
              <w:tab/>
            </w:r>
          </w:p>
        </w:tc>
        <w:tc>
          <w:tcPr>
            <w:tcW w:w="1134" w:type="dxa"/>
            <w:shd w:val="clear" w:color="auto" w:fill="FFFFFF" w:themeFill="background1"/>
          </w:tcPr>
          <w:p w14:paraId="31132D6A" w14:textId="77777777" w:rsidR="0057187E" w:rsidRPr="0057187E" w:rsidRDefault="0057187E" w:rsidP="0057187E">
            <w:pPr>
              <w:rPr>
                <w:sz w:val="18"/>
                <w:szCs w:val="18"/>
                <w:lang w:val="en-GB"/>
              </w:rPr>
            </w:pPr>
            <w:r w:rsidRPr="0057187E">
              <w:rPr>
                <w:sz w:val="18"/>
                <w:szCs w:val="18"/>
                <w:lang w:val="en-GB"/>
              </w:rPr>
              <w:t>1 (10.0%)</w:t>
            </w:r>
          </w:p>
        </w:tc>
      </w:tr>
      <w:tr w:rsidR="0057187E" w:rsidRPr="00800B07" w14:paraId="587E29AF" w14:textId="77777777" w:rsidTr="0057187E">
        <w:trPr>
          <w:trHeight w:val="386"/>
        </w:trPr>
        <w:tc>
          <w:tcPr>
            <w:tcW w:w="2127" w:type="dxa"/>
            <w:tcBorders>
              <w:right w:val="single" w:sz="12" w:space="0" w:color="auto"/>
            </w:tcBorders>
            <w:shd w:val="clear" w:color="auto" w:fill="FFFFFF" w:themeFill="background1"/>
          </w:tcPr>
          <w:p w14:paraId="77643AEC" w14:textId="77777777" w:rsidR="0057187E" w:rsidRPr="0057187E" w:rsidRDefault="0057187E" w:rsidP="0057187E">
            <w:pPr>
              <w:rPr>
                <w:sz w:val="18"/>
                <w:szCs w:val="18"/>
                <w:lang w:val="en-GB"/>
              </w:rPr>
            </w:pPr>
            <w:r w:rsidRPr="0057187E">
              <w:rPr>
                <w:sz w:val="18"/>
                <w:szCs w:val="18"/>
                <w:lang w:val="en-GB"/>
              </w:rPr>
              <w:t>Gout</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B355AF5" w14:textId="77777777" w:rsidR="0057187E" w:rsidRPr="0057187E" w:rsidRDefault="0057187E" w:rsidP="0057187E">
            <w:pPr>
              <w:rPr>
                <w:sz w:val="18"/>
                <w:szCs w:val="18"/>
                <w:lang w:val="en-GB"/>
              </w:rPr>
            </w:pPr>
            <w:r w:rsidRPr="0057187E">
              <w:rPr>
                <w:sz w:val="18"/>
                <w:szCs w:val="18"/>
                <w:lang w:val="en-GB"/>
              </w:rPr>
              <w:t>31 (3.7%)</w:t>
            </w:r>
          </w:p>
          <w:p w14:paraId="28EF4026" w14:textId="77777777" w:rsidR="0057187E" w:rsidRPr="0057187E" w:rsidRDefault="0057187E" w:rsidP="0057187E">
            <w:pPr>
              <w:rPr>
                <w:sz w:val="18"/>
                <w:szCs w:val="18"/>
                <w:lang w:val="en-GB"/>
              </w:rPr>
            </w:pPr>
          </w:p>
        </w:tc>
        <w:tc>
          <w:tcPr>
            <w:tcW w:w="1152" w:type="dxa"/>
            <w:tcBorders>
              <w:left w:val="single" w:sz="12" w:space="0" w:color="auto"/>
            </w:tcBorders>
            <w:shd w:val="clear" w:color="auto" w:fill="FFFFFF" w:themeFill="background1"/>
          </w:tcPr>
          <w:p w14:paraId="7D7CAECB" w14:textId="77777777" w:rsidR="0057187E" w:rsidRPr="0057187E" w:rsidRDefault="0057187E" w:rsidP="0057187E">
            <w:pPr>
              <w:rPr>
                <w:sz w:val="18"/>
                <w:szCs w:val="18"/>
                <w:lang w:val="en-GB"/>
              </w:rPr>
            </w:pPr>
            <w:r w:rsidRPr="0057187E">
              <w:rPr>
                <w:sz w:val="18"/>
                <w:szCs w:val="18"/>
                <w:lang w:val="en-GB"/>
              </w:rPr>
              <w:t>12 (3.2%)</w:t>
            </w:r>
          </w:p>
        </w:tc>
        <w:tc>
          <w:tcPr>
            <w:tcW w:w="1152" w:type="dxa"/>
            <w:shd w:val="clear" w:color="auto" w:fill="FFFFFF" w:themeFill="background1"/>
          </w:tcPr>
          <w:p w14:paraId="334A9C68" w14:textId="77777777" w:rsidR="0057187E" w:rsidRPr="0057187E" w:rsidRDefault="0057187E" w:rsidP="0057187E">
            <w:pPr>
              <w:rPr>
                <w:sz w:val="18"/>
                <w:szCs w:val="18"/>
                <w:lang w:val="en-GB"/>
              </w:rPr>
            </w:pPr>
            <w:r w:rsidRPr="0057187E">
              <w:rPr>
                <w:sz w:val="18"/>
                <w:szCs w:val="18"/>
                <w:lang w:val="en-GB"/>
              </w:rPr>
              <w:t>1 (2.7%)</w:t>
            </w:r>
          </w:p>
        </w:tc>
        <w:tc>
          <w:tcPr>
            <w:tcW w:w="1152" w:type="dxa"/>
            <w:shd w:val="clear" w:color="auto" w:fill="FFFFFF" w:themeFill="background1"/>
          </w:tcPr>
          <w:p w14:paraId="505F0298" w14:textId="77777777" w:rsidR="0057187E" w:rsidRPr="0057187E" w:rsidRDefault="0057187E" w:rsidP="0057187E">
            <w:pPr>
              <w:rPr>
                <w:sz w:val="18"/>
                <w:szCs w:val="18"/>
                <w:lang w:val="en-GB"/>
              </w:rPr>
            </w:pPr>
            <w:r w:rsidRPr="0057187E">
              <w:rPr>
                <w:sz w:val="18"/>
                <w:szCs w:val="18"/>
                <w:lang w:val="en-GB"/>
              </w:rPr>
              <w:t>0</w:t>
            </w:r>
          </w:p>
          <w:p w14:paraId="67F35FA0" w14:textId="77777777" w:rsidR="0057187E" w:rsidRPr="0057187E" w:rsidRDefault="0057187E" w:rsidP="0057187E">
            <w:pPr>
              <w:rPr>
                <w:sz w:val="18"/>
                <w:szCs w:val="18"/>
                <w:lang w:val="en-GB"/>
              </w:rPr>
            </w:pPr>
            <w:r w:rsidRPr="0057187E">
              <w:rPr>
                <w:sz w:val="18"/>
                <w:szCs w:val="18"/>
                <w:lang w:val="en-GB"/>
              </w:rPr>
              <w:tab/>
            </w:r>
          </w:p>
        </w:tc>
        <w:tc>
          <w:tcPr>
            <w:tcW w:w="1063" w:type="dxa"/>
            <w:shd w:val="clear" w:color="auto" w:fill="FFFFFF" w:themeFill="background1"/>
          </w:tcPr>
          <w:p w14:paraId="7EA8783B" w14:textId="77777777" w:rsidR="0057187E" w:rsidRPr="0057187E" w:rsidRDefault="0057187E" w:rsidP="0057187E">
            <w:pPr>
              <w:rPr>
                <w:sz w:val="18"/>
                <w:szCs w:val="18"/>
                <w:lang w:val="en-GB"/>
              </w:rPr>
            </w:pPr>
            <w:r w:rsidRPr="0057187E">
              <w:rPr>
                <w:sz w:val="18"/>
                <w:szCs w:val="18"/>
                <w:lang w:val="en-GB"/>
              </w:rPr>
              <w:t>0</w:t>
            </w:r>
          </w:p>
          <w:p w14:paraId="201959FC" w14:textId="77777777" w:rsidR="0057187E" w:rsidRPr="0057187E" w:rsidRDefault="0057187E" w:rsidP="0057187E">
            <w:pPr>
              <w:rPr>
                <w:sz w:val="18"/>
                <w:szCs w:val="18"/>
                <w:lang w:val="en-GB"/>
              </w:rPr>
            </w:pPr>
            <w:r w:rsidRPr="0057187E">
              <w:rPr>
                <w:sz w:val="18"/>
                <w:szCs w:val="18"/>
                <w:lang w:val="en-GB"/>
              </w:rPr>
              <w:tab/>
            </w:r>
          </w:p>
        </w:tc>
        <w:tc>
          <w:tcPr>
            <w:tcW w:w="1134" w:type="dxa"/>
            <w:shd w:val="clear" w:color="auto" w:fill="FFFFFF" w:themeFill="background1"/>
          </w:tcPr>
          <w:p w14:paraId="079DD76A" w14:textId="77777777" w:rsidR="0057187E" w:rsidRPr="0057187E" w:rsidRDefault="0057187E" w:rsidP="0057187E">
            <w:pPr>
              <w:rPr>
                <w:sz w:val="18"/>
                <w:szCs w:val="18"/>
                <w:lang w:val="en-GB"/>
              </w:rPr>
            </w:pPr>
            <w:r w:rsidRPr="0057187E">
              <w:rPr>
                <w:sz w:val="18"/>
                <w:szCs w:val="18"/>
                <w:lang w:val="en-GB"/>
              </w:rPr>
              <w:t>1  (7.1%)</w:t>
            </w:r>
            <w:r w:rsidRPr="0057187E">
              <w:rPr>
                <w:sz w:val="18"/>
                <w:szCs w:val="18"/>
                <w:lang w:val="en-GB"/>
              </w:rPr>
              <w:tab/>
            </w:r>
          </w:p>
        </w:tc>
        <w:tc>
          <w:tcPr>
            <w:tcW w:w="993" w:type="dxa"/>
            <w:shd w:val="clear" w:color="auto" w:fill="FFFFFF" w:themeFill="background1"/>
          </w:tcPr>
          <w:p w14:paraId="4D5DC032" w14:textId="77777777" w:rsidR="0057187E" w:rsidRPr="0057187E" w:rsidRDefault="0057187E" w:rsidP="0057187E">
            <w:pPr>
              <w:rPr>
                <w:sz w:val="18"/>
                <w:szCs w:val="18"/>
                <w:lang w:val="en-GB"/>
              </w:rPr>
            </w:pPr>
            <w:r w:rsidRPr="0057187E">
              <w:rPr>
                <w:sz w:val="18"/>
                <w:szCs w:val="18"/>
                <w:lang w:val="en-GB"/>
              </w:rPr>
              <w:t>0</w:t>
            </w:r>
          </w:p>
          <w:p w14:paraId="20A30AF8" w14:textId="77777777" w:rsidR="0057187E" w:rsidRPr="0057187E" w:rsidRDefault="0057187E" w:rsidP="0057187E">
            <w:pPr>
              <w:rPr>
                <w:sz w:val="18"/>
                <w:szCs w:val="18"/>
                <w:lang w:val="en-GB"/>
              </w:rPr>
            </w:pPr>
            <w:r w:rsidRPr="0057187E">
              <w:rPr>
                <w:sz w:val="18"/>
                <w:szCs w:val="18"/>
                <w:lang w:val="en-GB"/>
              </w:rPr>
              <w:tab/>
            </w:r>
          </w:p>
        </w:tc>
        <w:tc>
          <w:tcPr>
            <w:tcW w:w="1134" w:type="dxa"/>
            <w:shd w:val="clear" w:color="auto" w:fill="FFFFFF" w:themeFill="background1"/>
          </w:tcPr>
          <w:p w14:paraId="29E8868A" w14:textId="77777777" w:rsidR="0057187E" w:rsidRPr="0057187E" w:rsidRDefault="0057187E" w:rsidP="0057187E">
            <w:pPr>
              <w:rPr>
                <w:sz w:val="18"/>
                <w:szCs w:val="18"/>
                <w:lang w:val="en-GB"/>
              </w:rPr>
            </w:pPr>
            <w:r w:rsidRPr="0057187E">
              <w:rPr>
                <w:sz w:val="18"/>
                <w:szCs w:val="18"/>
                <w:lang w:val="en-GB"/>
              </w:rPr>
              <w:t>1 (10.0%)</w:t>
            </w:r>
          </w:p>
        </w:tc>
      </w:tr>
      <w:tr w:rsidR="0057187E" w:rsidRPr="00800B07" w14:paraId="1C725C89" w14:textId="77777777" w:rsidTr="0057187E">
        <w:trPr>
          <w:trHeight w:val="386"/>
        </w:trPr>
        <w:tc>
          <w:tcPr>
            <w:tcW w:w="2127" w:type="dxa"/>
            <w:tcBorders>
              <w:right w:val="single" w:sz="12" w:space="0" w:color="auto"/>
            </w:tcBorders>
            <w:shd w:val="clear" w:color="auto" w:fill="FFFFFF" w:themeFill="background1"/>
          </w:tcPr>
          <w:p w14:paraId="7B11F856" w14:textId="77777777" w:rsidR="0057187E" w:rsidRPr="0057187E" w:rsidRDefault="0057187E" w:rsidP="0057187E">
            <w:pPr>
              <w:rPr>
                <w:sz w:val="18"/>
                <w:szCs w:val="18"/>
                <w:lang w:val="en-GB"/>
              </w:rPr>
            </w:pPr>
            <w:r w:rsidRPr="0057187E">
              <w:rPr>
                <w:sz w:val="18"/>
                <w:szCs w:val="18"/>
                <w:lang w:val="en-GB"/>
              </w:rPr>
              <w:t>OSAS</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B70EC4E" w14:textId="77777777" w:rsidR="0057187E" w:rsidRPr="0057187E" w:rsidRDefault="0057187E" w:rsidP="0057187E">
            <w:pPr>
              <w:rPr>
                <w:sz w:val="18"/>
                <w:szCs w:val="18"/>
                <w:lang w:val="en-GB"/>
              </w:rPr>
            </w:pPr>
            <w:r w:rsidRPr="0057187E">
              <w:rPr>
                <w:sz w:val="18"/>
                <w:szCs w:val="18"/>
                <w:lang w:val="en-GB"/>
              </w:rPr>
              <w:t>36 (4.3%)</w:t>
            </w:r>
          </w:p>
        </w:tc>
        <w:tc>
          <w:tcPr>
            <w:tcW w:w="1152" w:type="dxa"/>
            <w:tcBorders>
              <w:left w:val="single" w:sz="12" w:space="0" w:color="auto"/>
            </w:tcBorders>
            <w:shd w:val="clear" w:color="auto" w:fill="FFFFFF" w:themeFill="background1"/>
          </w:tcPr>
          <w:p w14:paraId="36267049" w14:textId="77777777" w:rsidR="0057187E" w:rsidRPr="0057187E" w:rsidRDefault="0057187E" w:rsidP="0057187E">
            <w:pPr>
              <w:rPr>
                <w:sz w:val="18"/>
                <w:szCs w:val="18"/>
                <w:lang w:val="en-GB"/>
              </w:rPr>
            </w:pPr>
            <w:r w:rsidRPr="0057187E">
              <w:rPr>
                <w:sz w:val="18"/>
                <w:szCs w:val="18"/>
                <w:lang w:val="en-GB"/>
              </w:rPr>
              <w:t>11 (3.0%)</w:t>
            </w:r>
          </w:p>
        </w:tc>
        <w:tc>
          <w:tcPr>
            <w:tcW w:w="1152" w:type="dxa"/>
            <w:shd w:val="clear" w:color="auto" w:fill="FFFFFF" w:themeFill="background1"/>
          </w:tcPr>
          <w:p w14:paraId="7BAE7569" w14:textId="77777777" w:rsidR="0057187E" w:rsidRPr="0057187E" w:rsidRDefault="0057187E" w:rsidP="0057187E">
            <w:pPr>
              <w:rPr>
                <w:sz w:val="18"/>
                <w:szCs w:val="18"/>
                <w:lang w:val="en-GB"/>
              </w:rPr>
            </w:pPr>
            <w:r w:rsidRPr="0057187E">
              <w:rPr>
                <w:sz w:val="18"/>
                <w:szCs w:val="18"/>
                <w:lang w:val="en-GB"/>
              </w:rPr>
              <w:t>1 (2.7%)</w:t>
            </w:r>
            <w:r w:rsidRPr="0057187E">
              <w:rPr>
                <w:sz w:val="18"/>
                <w:szCs w:val="18"/>
                <w:lang w:val="en-GB"/>
              </w:rPr>
              <w:tab/>
              <w:t xml:space="preserve"> </w:t>
            </w:r>
          </w:p>
        </w:tc>
        <w:tc>
          <w:tcPr>
            <w:tcW w:w="1152" w:type="dxa"/>
            <w:shd w:val="clear" w:color="auto" w:fill="FFFFFF" w:themeFill="background1"/>
          </w:tcPr>
          <w:p w14:paraId="6EDB35A0" w14:textId="77777777" w:rsidR="0057187E" w:rsidRPr="0057187E" w:rsidRDefault="0057187E" w:rsidP="0057187E">
            <w:pPr>
              <w:rPr>
                <w:sz w:val="18"/>
                <w:szCs w:val="18"/>
                <w:lang w:val="en-GB"/>
              </w:rPr>
            </w:pPr>
            <w:r w:rsidRPr="0057187E">
              <w:rPr>
                <w:sz w:val="18"/>
                <w:szCs w:val="18"/>
                <w:lang w:val="en-GB"/>
              </w:rPr>
              <w:t>1 (4.8%)</w:t>
            </w:r>
          </w:p>
        </w:tc>
        <w:tc>
          <w:tcPr>
            <w:tcW w:w="1063" w:type="dxa"/>
            <w:shd w:val="clear" w:color="auto" w:fill="FFFFFF" w:themeFill="background1"/>
          </w:tcPr>
          <w:p w14:paraId="6AA53E52" w14:textId="77777777" w:rsidR="0057187E" w:rsidRPr="0057187E" w:rsidRDefault="0057187E" w:rsidP="0057187E">
            <w:pPr>
              <w:rPr>
                <w:sz w:val="18"/>
                <w:szCs w:val="18"/>
                <w:lang w:val="en-GB"/>
              </w:rPr>
            </w:pPr>
            <w:r w:rsidRPr="0057187E">
              <w:rPr>
                <w:sz w:val="18"/>
                <w:szCs w:val="18"/>
                <w:lang w:val="en-GB"/>
              </w:rPr>
              <w:t>1 (5.3%)</w:t>
            </w:r>
          </w:p>
        </w:tc>
        <w:tc>
          <w:tcPr>
            <w:tcW w:w="1134" w:type="dxa"/>
            <w:shd w:val="clear" w:color="auto" w:fill="FFFFFF" w:themeFill="background1"/>
          </w:tcPr>
          <w:p w14:paraId="6054D216" w14:textId="77777777" w:rsidR="0057187E" w:rsidRPr="0057187E" w:rsidRDefault="0057187E" w:rsidP="0057187E">
            <w:pPr>
              <w:rPr>
                <w:sz w:val="18"/>
                <w:szCs w:val="18"/>
                <w:lang w:val="en-GB"/>
              </w:rPr>
            </w:pPr>
            <w:r w:rsidRPr="0057187E">
              <w:rPr>
                <w:sz w:val="18"/>
                <w:szCs w:val="18"/>
                <w:lang w:val="en-GB"/>
              </w:rPr>
              <w:t>1 (7.1%)</w:t>
            </w:r>
            <w:r w:rsidRPr="0057187E">
              <w:rPr>
                <w:sz w:val="18"/>
                <w:szCs w:val="18"/>
                <w:lang w:val="en-GB"/>
              </w:rPr>
              <w:tab/>
            </w:r>
          </w:p>
        </w:tc>
        <w:tc>
          <w:tcPr>
            <w:tcW w:w="993" w:type="dxa"/>
            <w:shd w:val="clear" w:color="auto" w:fill="FFFFFF" w:themeFill="background1"/>
          </w:tcPr>
          <w:p w14:paraId="310C9153" w14:textId="77777777" w:rsidR="0057187E" w:rsidRPr="0057187E" w:rsidRDefault="0057187E" w:rsidP="0057187E">
            <w:pPr>
              <w:rPr>
                <w:sz w:val="18"/>
                <w:szCs w:val="18"/>
                <w:lang w:val="en-GB"/>
              </w:rPr>
            </w:pPr>
            <w:r w:rsidRPr="0057187E">
              <w:rPr>
                <w:sz w:val="18"/>
                <w:szCs w:val="18"/>
                <w:lang w:val="en-GB"/>
              </w:rPr>
              <w:t>0</w:t>
            </w:r>
          </w:p>
          <w:p w14:paraId="4A2FF63E" w14:textId="77777777" w:rsidR="0057187E" w:rsidRPr="0057187E" w:rsidRDefault="0057187E" w:rsidP="0057187E">
            <w:pPr>
              <w:rPr>
                <w:sz w:val="18"/>
                <w:szCs w:val="18"/>
                <w:lang w:val="en-GB"/>
              </w:rPr>
            </w:pPr>
            <w:r w:rsidRPr="0057187E">
              <w:rPr>
                <w:sz w:val="18"/>
                <w:szCs w:val="18"/>
                <w:lang w:val="en-GB"/>
              </w:rPr>
              <w:tab/>
            </w:r>
          </w:p>
        </w:tc>
        <w:tc>
          <w:tcPr>
            <w:tcW w:w="1134" w:type="dxa"/>
            <w:shd w:val="clear" w:color="auto" w:fill="FFFFFF" w:themeFill="background1"/>
          </w:tcPr>
          <w:p w14:paraId="2D06813D" w14:textId="77777777" w:rsidR="0057187E" w:rsidRPr="0057187E" w:rsidRDefault="0057187E" w:rsidP="0057187E">
            <w:pPr>
              <w:rPr>
                <w:sz w:val="18"/>
                <w:szCs w:val="18"/>
                <w:lang w:val="en-GB"/>
              </w:rPr>
            </w:pPr>
            <w:r w:rsidRPr="0057187E">
              <w:rPr>
                <w:sz w:val="18"/>
                <w:szCs w:val="18"/>
                <w:lang w:val="en-GB"/>
              </w:rPr>
              <w:t>0</w:t>
            </w:r>
          </w:p>
          <w:p w14:paraId="6D98DD65" w14:textId="77777777" w:rsidR="0057187E" w:rsidRPr="0057187E" w:rsidRDefault="0057187E" w:rsidP="0057187E">
            <w:pPr>
              <w:rPr>
                <w:sz w:val="18"/>
                <w:szCs w:val="18"/>
                <w:lang w:val="en-GB"/>
              </w:rPr>
            </w:pPr>
            <w:r w:rsidRPr="0057187E">
              <w:rPr>
                <w:sz w:val="18"/>
                <w:szCs w:val="18"/>
                <w:lang w:val="en-GB"/>
              </w:rPr>
              <w:tab/>
            </w:r>
          </w:p>
        </w:tc>
      </w:tr>
      <w:tr w:rsidR="0057187E" w:rsidRPr="00800B07" w14:paraId="1B367F0B" w14:textId="77777777" w:rsidTr="0057187E">
        <w:trPr>
          <w:trHeight w:val="386"/>
        </w:trPr>
        <w:tc>
          <w:tcPr>
            <w:tcW w:w="2127" w:type="dxa"/>
            <w:tcBorders>
              <w:right w:val="single" w:sz="12" w:space="0" w:color="auto"/>
            </w:tcBorders>
            <w:shd w:val="clear" w:color="auto" w:fill="FFFFFF" w:themeFill="background1"/>
          </w:tcPr>
          <w:p w14:paraId="6A54BC86" w14:textId="77777777" w:rsidR="0057187E" w:rsidRPr="0057187E" w:rsidRDefault="0057187E" w:rsidP="0057187E">
            <w:pPr>
              <w:rPr>
                <w:sz w:val="18"/>
                <w:szCs w:val="18"/>
                <w:lang w:val="en-GB"/>
              </w:rPr>
            </w:pPr>
            <w:r w:rsidRPr="0057187E">
              <w:rPr>
                <w:sz w:val="18"/>
                <w:szCs w:val="18"/>
                <w:lang w:val="en-GB"/>
              </w:rPr>
              <w:t>CKD</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FD148D4" w14:textId="77777777" w:rsidR="0057187E" w:rsidRPr="0057187E" w:rsidRDefault="0057187E" w:rsidP="0057187E">
            <w:pPr>
              <w:rPr>
                <w:sz w:val="18"/>
                <w:szCs w:val="18"/>
                <w:lang w:val="en-GB"/>
              </w:rPr>
            </w:pPr>
            <w:r w:rsidRPr="0057187E">
              <w:rPr>
                <w:sz w:val="18"/>
                <w:szCs w:val="18"/>
                <w:lang w:val="en-GB"/>
              </w:rPr>
              <w:t>111 (13.3%)</w:t>
            </w:r>
          </w:p>
        </w:tc>
        <w:tc>
          <w:tcPr>
            <w:tcW w:w="1152" w:type="dxa"/>
            <w:tcBorders>
              <w:left w:val="single" w:sz="12" w:space="0" w:color="auto"/>
            </w:tcBorders>
            <w:shd w:val="clear" w:color="auto" w:fill="FFFFFF" w:themeFill="background1"/>
          </w:tcPr>
          <w:p w14:paraId="2AE3D94A" w14:textId="77777777" w:rsidR="0057187E" w:rsidRPr="0057187E" w:rsidRDefault="0057187E" w:rsidP="0057187E">
            <w:pPr>
              <w:rPr>
                <w:sz w:val="18"/>
                <w:szCs w:val="18"/>
                <w:lang w:val="en-GB"/>
              </w:rPr>
            </w:pPr>
            <w:r w:rsidRPr="0057187E">
              <w:rPr>
                <w:sz w:val="18"/>
                <w:szCs w:val="18"/>
                <w:lang w:val="en-GB"/>
              </w:rPr>
              <w:t>42 (11.4%)</w:t>
            </w:r>
          </w:p>
        </w:tc>
        <w:tc>
          <w:tcPr>
            <w:tcW w:w="1152" w:type="dxa"/>
            <w:shd w:val="clear" w:color="auto" w:fill="FFFFFF" w:themeFill="background1"/>
          </w:tcPr>
          <w:p w14:paraId="0213B16C" w14:textId="77777777" w:rsidR="0057187E" w:rsidRPr="0057187E" w:rsidRDefault="0057187E" w:rsidP="0057187E">
            <w:pPr>
              <w:rPr>
                <w:sz w:val="18"/>
                <w:szCs w:val="18"/>
                <w:lang w:val="en-GB"/>
              </w:rPr>
            </w:pPr>
            <w:r w:rsidRPr="0057187E">
              <w:rPr>
                <w:sz w:val="18"/>
                <w:szCs w:val="18"/>
                <w:lang w:val="en-GB"/>
              </w:rPr>
              <w:t>4 (10.8%)</w:t>
            </w:r>
          </w:p>
        </w:tc>
        <w:tc>
          <w:tcPr>
            <w:tcW w:w="1152" w:type="dxa"/>
            <w:shd w:val="clear" w:color="auto" w:fill="FFFFFF" w:themeFill="background1"/>
          </w:tcPr>
          <w:p w14:paraId="488A1EED" w14:textId="77777777" w:rsidR="0057187E" w:rsidRPr="0057187E" w:rsidRDefault="0057187E" w:rsidP="0057187E">
            <w:pPr>
              <w:rPr>
                <w:sz w:val="18"/>
                <w:szCs w:val="18"/>
                <w:lang w:val="en-GB"/>
              </w:rPr>
            </w:pPr>
            <w:r w:rsidRPr="0057187E">
              <w:rPr>
                <w:sz w:val="18"/>
                <w:szCs w:val="18"/>
                <w:lang w:val="en-GB"/>
              </w:rPr>
              <w:t>4 (19.1%)</w:t>
            </w:r>
            <w:r w:rsidRPr="0057187E">
              <w:rPr>
                <w:sz w:val="18"/>
                <w:szCs w:val="18"/>
                <w:lang w:val="en-GB"/>
              </w:rPr>
              <w:tab/>
            </w:r>
          </w:p>
        </w:tc>
        <w:tc>
          <w:tcPr>
            <w:tcW w:w="1063" w:type="dxa"/>
            <w:shd w:val="clear" w:color="auto" w:fill="FFFFFF" w:themeFill="background1"/>
          </w:tcPr>
          <w:p w14:paraId="75D147C2" w14:textId="77777777" w:rsidR="0057187E" w:rsidRPr="0057187E" w:rsidRDefault="0057187E" w:rsidP="0057187E">
            <w:pPr>
              <w:rPr>
                <w:sz w:val="18"/>
                <w:szCs w:val="18"/>
                <w:lang w:val="en-GB"/>
              </w:rPr>
            </w:pPr>
            <w:r w:rsidRPr="0057187E">
              <w:rPr>
                <w:sz w:val="18"/>
                <w:szCs w:val="18"/>
                <w:lang w:val="en-GB"/>
              </w:rPr>
              <w:t>1 (5.3%)</w:t>
            </w:r>
            <w:r w:rsidRPr="0057187E">
              <w:rPr>
                <w:sz w:val="18"/>
                <w:szCs w:val="18"/>
                <w:lang w:val="en-GB"/>
              </w:rPr>
              <w:tab/>
            </w:r>
          </w:p>
        </w:tc>
        <w:tc>
          <w:tcPr>
            <w:tcW w:w="1134" w:type="dxa"/>
            <w:shd w:val="clear" w:color="auto" w:fill="FFFFFF" w:themeFill="background1"/>
          </w:tcPr>
          <w:p w14:paraId="78BAD043" w14:textId="77777777" w:rsidR="0057187E" w:rsidRPr="0057187E" w:rsidRDefault="0057187E" w:rsidP="0057187E">
            <w:pPr>
              <w:rPr>
                <w:sz w:val="18"/>
                <w:szCs w:val="18"/>
                <w:lang w:val="en-GB"/>
              </w:rPr>
            </w:pPr>
            <w:r w:rsidRPr="0057187E">
              <w:rPr>
                <w:sz w:val="18"/>
                <w:szCs w:val="18"/>
                <w:lang w:val="en-GB"/>
              </w:rPr>
              <w:t>2 (14.3%)</w:t>
            </w:r>
          </w:p>
        </w:tc>
        <w:tc>
          <w:tcPr>
            <w:tcW w:w="993" w:type="dxa"/>
            <w:shd w:val="clear" w:color="auto" w:fill="FFFFFF" w:themeFill="background1"/>
          </w:tcPr>
          <w:p w14:paraId="31D4A509" w14:textId="77777777" w:rsidR="0057187E" w:rsidRPr="0057187E" w:rsidRDefault="0057187E" w:rsidP="0057187E">
            <w:pPr>
              <w:rPr>
                <w:sz w:val="18"/>
                <w:szCs w:val="18"/>
                <w:lang w:val="en-GB"/>
              </w:rPr>
            </w:pPr>
            <w:r w:rsidRPr="0057187E">
              <w:rPr>
                <w:sz w:val="18"/>
                <w:szCs w:val="18"/>
                <w:lang w:val="en-GB"/>
              </w:rPr>
              <w:t>0</w:t>
            </w:r>
          </w:p>
          <w:p w14:paraId="45CC0623" w14:textId="77777777" w:rsidR="0057187E" w:rsidRPr="0057187E" w:rsidRDefault="0057187E" w:rsidP="0057187E">
            <w:pPr>
              <w:rPr>
                <w:sz w:val="18"/>
                <w:szCs w:val="18"/>
                <w:lang w:val="en-GB"/>
              </w:rPr>
            </w:pPr>
            <w:r w:rsidRPr="0057187E">
              <w:rPr>
                <w:sz w:val="18"/>
                <w:szCs w:val="18"/>
                <w:lang w:val="en-GB"/>
              </w:rPr>
              <w:tab/>
            </w:r>
          </w:p>
        </w:tc>
        <w:tc>
          <w:tcPr>
            <w:tcW w:w="1134" w:type="dxa"/>
            <w:shd w:val="clear" w:color="auto" w:fill="FFFFFF" w:themeFill="background1"/>
          </w:tcPr>
          <w:p w14:paraId="3F144B93" w14:textId="77777777" w:rsidR="0057187E" w:rsidRPr="0057187E" w:rsidRDefault="0057187E" w:rsidP="0057187E">
            <w:pPr>
              <w:rPr>
                <w:sz w:val="18"/>
                <w:szCs w:val="18"/>
                <w:lang w:val="en-GB"/>
              </w:rPr>
            </w:pPr>
            <w:r w:rsidRPr="0057187E">
              <w:rPr>
                <w:sz w:val="18"/>
                <w:szCs w:val="18"/>
                <w:lang w:val="en-GB"/>
              </w:rPr>
              <w:t>0</w:t>
            </w:r>
          </w:p>
          <w:p w14:paraId="08A41E99" w14:textId="77777777" w:rsidR="0057187E" w:rsidRPr="0057187E" w:rsidRDefault="0057187E" w:rsidP="0057187E">
            <w:pPr>
              <w:rPr>
                <w:sz w:val="18"/>
                <w:szCs w:val="18"/>
                <w:lang w:val="en-GB"/>
              </w:rPr>
            </w:pPr>
            <w:r w:rsidRPr="0057187E">
              <w:rPr>
                <w:sz w:val="18"/>
                <w:szCs w:val="18"/>
                <w:lang w:val="en-GB"/>
              </w:rPr>
              <w:tab/>
            </w:r>
          </w:p>
        </w:tc>
      </w:tr>
      <w:tr w:rsidR="0057187E" w:rsidRPr="00800B07" w14:paraId="2B0CEF51" w14:textId="77777777" w:rsidTr="0057187E">
        <w:trPr>
          <w:trHeight w:val="589"/>
        </w:trPr>
        <w:tc>
          <w:tcPr>
            <w:tcW w:w="2127" w:type="dxa"/>
            <w:tcBorders>
              <w:right w:val="single" w:sz="12" w:space="0" w:color="auto"/>
            </w:tcBorders>
            <w:shd w:val="clear" w:color="auto" w:fill="FFFFFF" w:themeFill="background1"/>
          </w:tcPr>
          <w:p w14:paraId="14B489F6" w14:textId="77777777" w:rsidR="0057187E" w:rsidRPr="0057187E" w:rsidRDefault="0057187E" w:rsidP="0057187E">
            <w:pPr>
              <w:rPr>
                <w:sz w:val="18"/>
                <w:szCs w:val="18"/>
                <w:lang w:val="en-GB"/>
              </w:rPr>
            </w:pPr>
            <w:r w:rsidRPr="0057187E">
              <w:rPr>
                <w:sz w:val="18"/>
                <w:szCs w:val="18"/>
                <w:lang w:val="en-GB"/>
              </w:rPr>
              <w:t>Urologic and renal abnormalities</w:t>
            </w:r>
          </w:p>
          <w:p w14:paraId="6D1D6859" w14:textId="77777777" w:rsidR="0057187E" w:rsidRPr="0057187E" w:rsidRDefault="0057187E" w:rsidP="0057187E">
            <w:pPr>
              <w:numPr>
                <w:ilvl w:val="0"/>
                <w:numId w:val="12"/>
              </w:numPr>
              <w:contextualSpacing/>
              <w:rPr>
                <w:sz w:val="18"/>
                <w:szCs w:val="18"/>
                <w:lang w:val="en-GB"/>
              </w:rPr>
            </w:pPr>
            <w:r w:rsidRPr="0057187E">
              <w:rPr>
                <w:sz w:val="18"/>
                <w:szCs w:val="18"/>
                <w:lang w:val="en-GB"/>
              </w:rPr>
              <w:t>Prostatic disease</w:t>
            </w:r>
          </w:p>
          <w:p w14:paraId="1C391133" w14:textId="77777777" w:rsidR="0057187E" w:rsidRPr="0057187E" w:rsidRDefault="0057187E" w:rsidP="0057187E">
            <w:pPr>
              <w:numPr>
                <w:ilvl w:val="0"/>
                <w:numId w:val="12"/>
              </w:numPr>
              <w:contextualSpacing/>
              <w:rPr>
                <w:sz w:val="18"/>
                <w:szCs w:val="18"/>
                <w:lang w:val="en-GB"/>
              </w:rPr>
            </w:pPr>
            <w:r w:rsidRPr="0057187E">
              <w:rPr>
                <w:sz w:val="18"/>
                <w:szCs w:val="18"/>
                <w:lang w:val="en-GB"/>
              </w:rPr>
              <w:t>Unique functioning kidney</w:t>
            </w:r>
          </w:p>
          <w:p w14:paraId="54559689" w14:textId="77777777" w:rsidR="0057187E" w:rsidRPr="0057187E" w:rsidRDefault="0057187E" w:rsidP="0057187E">
            <w:pPr>
              <w:numPr>
                <w:ilvl w:val="0"/>
                <w:numId w:val="12"/>
              </w:numPr>
              <w:contextualSpacing/>
              <w:rPr>
                <w:sz w:val="18"/>
                <w:szCs w:val="18"/>
                <w:lang w:val="en-GB"/>
              </w:rPr>
            </w:pPr>
            <w:r w:rsidRPr="0057187E">
              <w:rPr>
                <w:sz w:val="18"/>
                <w:szCs w:val="18"/>
                <w:lang w:val="en-GB"/>
              </w:rPr>
              <w:t>ADPKD</w:t>
            </w:r>
          </w:p>
          <w:p w14:paraId="727CEAC5" w14:textId="77777777" w:rsidR="0057187E" w:rsidRPr="0057187E" w:rsidRDefault="0057187E" w:rsidP="0057187E">
            <w:pPr>
              <w:numPr>
                <w:ilvl w:val="0"/>
                <w:numId w:val="12"/>
              </w:numPr>
              <w:contextualSpacing/>
              <w:rPr>
                <w:sz w:val="18"/>
                <w:szCs w:val="18"/>
                <w:lang w:val="en-GB"/>
              </w:rPr>
            </w:pPr>
            <w:r w:rsidRPr="0057187E">
              <w:rPr>
                <w:sz w:val="18"/>
                <w:szCs w:val="18"/>
                <w:lang w:val="en-GB"/>
              </w:rPr>
              <w:t>Recurrent UTIs</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D478213" w14:textId="77777777" w:rsidR="0057187E" w:rsidRPr="0057187E" w:rsidRDefault="0057187E" w:rsidP="0057187E">
            <w:pPr>
              <w:rPr>
                <w:sz w:val="18"/>
                <w:szCs w:val="18"/>
                <w:lang w:val="en-GB"/>
              </w:rPr>
            </w:pPr>
            <w:r w:rsidRPr="0057187E">
              <w:rPr>
                <w:sz w:val="18"/>
                <w:szCs w:val="18"/>
                <w:lang w:val="en-GB"/>
              </w:rPr>
              <w:t>126 (15.1%)</w:t>
            </w:r>
          </w:p>
          <w:p w14:paraId="7B55EC23" w14:textId="77777777" w:rsidR="0057187E" w:rsidRPr="0057187E" w:rsidRDefault="0057187E" w:rsidP="0057187E">
            <w:pPr>
              <w:rPr>
                <w:sz w:val="18"/>
                <w:szCs w:val="18"/>
                <w:lang w:val="en-GB"/>
              </w:rPr>
            </w:pPr>
          </w:p>
          <w:p w14:paraId="2A5107BB" w14:textId="77777777" w:rsidR="0057187E" w:rsidRPr="0057187E" w:rsidRDefault="0057187E" w:rsidP="0057187E">
            <w:pPr>
              <w:rPr>
                <w:sz w:val="18"/>
                <w:szCs w:val="18"/>
                <w:lang w:val="en-GB"/>
              </w:rPr>
            </w:pPr>
            <w:r w:rsidRPr="0057187E">
              <w:rPr>
                <w:sz w:val="18"/>
                <w:szCs w:val="18"/>
                <w:lang w:val="en-GB"/>
              </w:rPr>
              <w:t>30 (3.6%)</w:t>
            </w:r>
          </w:p>
          <w:p w14:paraId="01A26515" w14:textId="77777777" w:rsidR="0057187E" w:rsidRPr="0057187E" w:rsidRDefault="0057187E" w:rsidP="0057187E">
            <w:pPr>
              <w:rPr>
                <w:sz w:val="18"/>
                <w:szCs w:val="18"/>
                <w:lang w:val="en-GB"/>
              </w:rPr>
            </w:pPr>
            <w:r w:rsidRPr="0057187E">
              <w:rPr>
                <w:sz w:val="18"/>
                <w:szCs w:val="18"/>
                <w:lang w:val="en-GB"/>
              </w:rPr>
              <w:t>13 (1.6%)</w:t>
            </w:r>
          </w:p>
          <w:p w14:paraId="4E0C896E" w14:textId="77777777" w:rsidR="0057187E" w:rsidRPr="0057187E" w:rsidRDefault="0057187E" w:rsidP="0057187E">
            <w:pPr>
              <w:rPr>
                <w:sz w:val="18"/>
                <w:szCs w:val="18"/>
                <w:lang w:val="en-GB"/>
              </w:rPr>
            </w:pPr>
          </w:p>
          <w:p w14:paraId="520120A5" w14:textId="77777777" w:rsidR="0057187E" w:rsidRPr="0057187E" w:rsidRDefault="0057187E" w:rsidP="0057187E">
            <w:pPr>
              <w:rPr>
                <w:sz w:val="18"/>
                <w:szCs w:val="18"/>
                <w:lang w:val="en-GB"/>
              </w:rPr>
            </w:pPr>
            <w:r w:rsidRPr="0057187E">
              <w:rPr>
                <w:sz w:val="18"/>
                <w:szCs w:val="18"/>
                <w:lang w:val="en-GB"/>
              </w:rPr>
              <w:t>1 (0.1%)</w:t>
            </w:r>
          </w:p>
          <w:p w14:paraId="104E3D86" w14:textId="77777777" w:rsidR="0057187E" w:rsidRPr="0057187E" w:rsidRDefault="0057187E" w:rsidP="0057187E">
            <w:pPr>
              <w:rPr>
                <w:sz w:val="18"/>
                <w:szCs w:val="18"/>
                <w:lang w:val="en-GB"/>
              </w:rPr>
            </w:pPr>
            <w:r w:rsidRPr="0057187E">
              <w:rPr>
                <w:sz w:val="18"/>
                <w:szCs w:val="18"/>
                <w:lang w:val="en-GB"/>
              </w:rPr>
              <w:t>46 (5.5%)</w:t>
            </w:r>
          </w:p>
        </w:tc>
        <w:tc>
          <w:tcPr>
            <w:tcW w:w="1152" w:type="dxa"/>
            <w:tcBorders>
              <w:left w:val="single" w:sz="12" w:space="0" w:color="auto"/>
            </w:tcBorders>
            <w:shd w:val="clear" w:color="auto" w:fill="FFFFFF" w:themeFill="background1"/>
          </w:tcPr>
          <w:p w14:paraId="249B0085" w14:textId="77777777" w:rsidR="0057187E" w:rsidRPr="0057187E" w:rsidRDefault="0057187E" w:rsidP="0057187E">
            <w:pPr>
              <w:rPr>
                <w:sz w:val="18"/>
                <w:szCs w:val="18"/>
                <w:lang w:val="en-GB"/>
              </w:rPr>
            </w:pPr>
            <w:r w:rsidRPr="0057187E">
              <w:rPr>
                <w:sz w:val="18"/>
                <w:szCs w:val="18"/>
                <w:lang w:val="en-GB"/>
              </w:rPr>
              <w:t>44 (11.9%)</w:t>
            </w:r>
          </w:p>
          <w:p w14:paraId="696FA2B0" w14:textId="77777777" w:rsidR="0057187E" w:rsidRPr="0057187E" w:rsidRDefault="0057187E" w:rsidP="0057187E">
            <w:pPr>
              <w:rPr>
                <w:sz w:val="18"/>
                <w:szCs w:val="18"/>
                <w:lang w:val="en-GB"/>
              </w:rPr>
            </w:pPr>
          </w:p>
          <w:p w14:paraId="7AC138DD" w14:textId="77777777" w:rsidR="0057187E" w:rsidRPr="0057187E" w:rsidRDefault="0057187E" w:rsidP="0057187E">
            <w:pPr>
              <w:rPr>
                <w:sz w:val="18"/>
                <w:szCs w:val="18"/>
                <w:lang w:val="en-GB"/>
              </w:rPr>
            </w:pPr>
            <w:r w:rsidRPr="0057187E">
              <w:rPr>
                <w:sz w:val="18"/>
                <w:szCs w:val="18"/>
                <w:lang w:val="en-GB"/>
              </w:rPr>
              <w:t>16 (4.3%)</w:t>
            </w:r>
          </w:p>
          <w:p w14:paraId="61AF6AF2" w14:textId="77777777" w:rsidR="0057187E" w:rsidRPr="0057187E" w:rsidRDefault="0057187E" w:rsidP="0057187E">
            <w:pPr>
              <w:rPr>
                <w:sz w:val="18"/>
                <w:szCs w:val="18"/>
                <w:lang w:val="en-GB"/>
              </w:rPr>
            </w:pPr>
            <w:r w:rsidRPr="0057187E">
              <w:rPr>
                <w:sz w:val="18"/>
                <w:szCs w:val="18"/>
                <w:lang w:val="en-GB"/>
              </w:rPr>
              <w:t>6 (1.6%)</w:t>
            </w:r>
          </w:p>
          <w:p w14:paraId="21A6BF13" w14:textId="77777777" w:rsidR="0057187E" w:rsidRPr="0057187E" w:rsidRDefault="0057187E" w:rsidP="0057187E">
            <w:pPr>
              <w:rPr>
                <w:sz w:val="18"/>
                <w:szCs w:val="18"/>
                <w:lang w:val="en-GB"/>
              </w:rPr>
            </w:pPr>
          </w:p>
          <w:p w14:paraId="14FD0ABB" w14:textId="77777777" w:rsidR="0057187E" w:rsidRPr="0057187E" w:rsidRDefault="0057187E" w:rsidP="0057187E">
            <w:pPr>
              <w:rPr>
                <w:sz w:val="18"/>
                <w:szCs w:val="18"/>
                <w:lang w:val="en-GB"/>
              </w:rPr>
            </w:pPr>
            <w:r w:rsidRPr="0057187E">
              <w:rPr>
                <w:sz w:val="18"/>
                <w:szCs w:val="18"/>
                <w:lang w:val="en-GB"/>
              </w:rPr>
              <w:t>0</w:t>
            </w:r>
          </w:p>
          <w:p w14:paraId="4A915EB5" w14:textId="77777777" w:rsidR="0057187E" w:rsidRPr="0057187E" w:rsidRDefault="0057187E" w:rsidP="0057187E">
            <w:pPr>
              <w:rPr>
                <w:sz w:val="18"/>
                <w:szCs w:val="18"/>
                <w:lang w:val="en-GB"/>
              </w:rPr>
            </w:pPr>
            <w:r w:rsidRPr="0057187E">
              <w:rPr>
                <w:sz w:val="18"/>
                <w:szCs w:val="18"/>
                <w:lang w:val="en-GB"/>
              </w:rPr>
              <w:t>13 (3.5%)</w:t>
            </w:r>
          </w:p>
        </w:tc>
        <w:tc>
          <w:tcPr>
            <w:tcW w:w="1152" w:type="dxa"/>
            <w:shd w:val="clear" w:color="auto" w:fill="FFFFFF" w:themeFill="background1"/>
          </w:tcPr>
          <w:p w14:paraId="45EB1720" w14:textId="77777777" w:rsidR="0057187E" w:rsidRPr="0057187E" w:rsidRDefault="0057187E" w:rsidP="0057187E">
            <w:pPr>
              <w:rPr>
                <w:sz w:val="18"/>
                <w:szCs w:val="18"/>
                <w:lang w:val="en-GB"/>
              </w:rPr>
            </w:pPr>
            <w:r w:rsidRPr="0057187E">
              <w:rPr>
                <w:sz w:val="18"/>
                <w:szCs w:val="18"/>
                <w:lang w:val="en-GB"/>
              </w:rPr>
              <w:t>4 (10.8%)</w:t>
            </w:r>
          </w:p>
          <w:p w14:paraId="66E30A81" w14:textId="77777777" w:rsidR="0057187E" w:rsidRPr="0057187E" w:rsidRDefault="0057187E" w:rsidP="0057187E">
            <w:pPr>
              <w:rPr>
                <w:sz w:val="18"/>
                <w:szCs w:val="18"/>
                <w:lang w:val="en-GB"/>
              </w:rPr>
            </w:pPr>
          </w:p>
          <w:p w14:paraId="2F16D593" w14:textId="77777777" w:rsidR="0057187E" w:rsidRPr="0057187E" w:rsidRDefault="0057187E" w:rsidP="0057187E">
            <w:pPr>
              <w:rPr>
                <w:sz w:val="18"/>
                <w:szCs w:val="18"/>
                <w:lang w:val="en-GB"/>
              </w:rPr>
            </w:pPr>
            <w:r w:rsidRPr="0057187E">
              <w:rPr>
                <w:sz w:val="18"/>
                <w:szCs w:val="18"/>
                <w:lang w:val="en-GB"/>
              </w:rPr>
              <w:t>2 (5.4%)</w:t>
            </w:r>
          </w:p>
          <w:p w14:paraId="1A0C32A9" w14:textId="77777777" w:rsidR="0057187E" w:rsidRPr="0057187E" w:rsidRDefault="0057187E" w:rsidP="0057187E">
            <w:pPr>
              <w:rPr>
                <w:sz w:val="18"/>
                <w:szCs w:val="18"/>
                <w:lang w:val="en-GB"/>
              </w:rPr>
            </w:pPr>
            <w:r w:rsidRPr="0057187E">
              <w:rPr>
                <w:sz w:val="18"/>
                <w:szCs w:val="18"/>
                <w:lang w:val="en-GB"/>
              </w:rPr>
              <w:t>0</w:t>
            </w:r>
          </w:p>
          <w:p w14:paraId="61003118" w14:textId="77777777" w:rsidR="0057187E" w:rsidRPr="0057187E" w:rsidRDefault="0057187E" w:rsidP="0057187E">
            <w:pPr>
              <w:rPr>
                <w:sz w:val="18"/>
                <w:szCs w:val="18"/>
                <w:lang w:val="en-GB"/>
              </w:rPr>
            </w:pPr>
          </w:p>
          <w:p w14:paraId="5F684C4B" w14:textId="77777777" w:rsidR="0057187E" w:rsidRPr="0057187E" w:rsidRDefault="0057187E" w:rsidP="0057187E">
            <w:pPr>
              <w:rPr>
                <w:sz w:val="18"/>
                <w:szCs w:val="18"/>
                <w:lang w:val="en-GB"/>
              </w:rPr>
            </w:pPr>
            <w:r w:rsidRPr="0057187E">
              <w:rPr>
                <w:sz w:val="18"/>
                <w:szCs w:val="18"/>
                <w:lang w:val="en-GB"/>
              </w:rPr>
              <w:t>1 (2.7%)</w:t>
            </w:r>
          </w:p>
          <w:p w14:paraId="3F43CCA3" w14:textId="77777777" w:rsidR="0057187E" w:rsidRPr="0057187E" w:rsidRDefault="0057187E" w:rsidP="0057187E">
            <w:pPr>
              <w:rPr>
                <w:sz w:val="18"/>
                <w:szCs w:val="18"/>
                <w:lang w:val="en-GB"/>
              </w:rPr>
            </w:pPr>
            <w:r w:rsidRPr="0057187E">
              <w:rPr>
                <w:sz w:val="18"/>
                <w:szCs w:val="18"/>
                <w:lang w:val="en-GB"/>
              </w:rPr>
              <w:t>0</w:t>
            </w:r>
          </w:p>
        </w:tc>
        <w:tc>
          <w:tcPr>
            <w:tcW w:w="1152" w:type="dxa"/>
            <w:shd w:val="clear" w:color="auto" w:fill="FFFFFF" w:themeFill="background1"/>
          </w:tcPr>
          <w:p w14:paraId="270E5891" w14:textId="77777777" w:rsidR="0057187E" w:rsidRPr="0057187E" w:rsidRDefault="0057187E" w:rsidP="0057187E">
            <w:pPr>
              <w:rPr>
                <w:sz w:val="18"/>
                <w:szCs w:val="18"/>
                <w:lang w:val="en-GB"/>
              </w:rPr>
            </w:pPr>
            <w:r w:rsidRPr="0057187E">
              <w:rPr>
                <w:sz w:val="18"/>
                <w:szCs w:val="18"/>
                <w:lang w:val="en-GB"/>
              </w:rPr>
              <w:t>6 (28.6%)</w:t>
            </w:r>
          </w:p>
          <w:p w14:paraId="6C6873DC" w14:textId="77777777" w:rsidR="0057187E" w:rsidRPr="0057187E" w:rsidRDefault="0057187E" w:rsidP="0057187E">
            <w:pPr>
              <w:rPr>
                <w:sz w:val="18"/>
                <w:szCs w:val="18"/>
                <w:lang w:val="en-GB"/>
              </w:rPr>
            </w:pPr>
          </w:p>
          <w:p w14:paraId="7E31C02B" w14:textId="77777777" w:rsidR="0057187E" w:rsidRPr="0057187E" w:rsidRDefault="0057187E" w:rsidP="0057187E">
            <w:pPr>
              <w:rPr>
                <w:sz w:val="18"/>
                <w:szCs w:val="18"/>
                <w:lang w:val="en-GB"/>
              </w:rPr>
            </w:pPr>
            <w:r w:rsidRPr="0057187E">
              <w:rPr>
                <w:sz w:val="18"/>
                <w:szCs w:val="18"/>
                <w:lang w:val="en-GB"/>
              </w:rPr>
              <w:t>1 (4.7%)</w:t>
            </w:r>
          </w:p>
          <w:p w14:paraId="55A63E8F" w14:textId="77777777" w:rsidR="0057187E" w:rsidRPr="0057187E" w:rsidRDefault="0057187E" w:rsidP="0057187E">
            <w:pPr>
              <w:rPr>
                <w:sz w:val="18"/>
                <w:szCs w:val="18"/>
                <w:lang w:val="en-GB"/>
              </w:rPr>
            </w:pPr>
            <w:r w:rsidRPr="0057187E">
              <w:rPr>
                <w:sz w:val="18"/>
                <w:szCs w:val="18"/>
                <w:lang w:val="en-GB"/>
              </w:rPr>
              <w:t>2 (9.5%)</w:t>
            </w:r>
            <w:r w:rsidRPr="0057187E">
              <w:rPr>
                <w:sz w:val="18"/>
                <w:szCs w:val="18"/>
                <w:lang w:val="en-GB"/>
              </w:rPr>
              <w:tab/>
            </w:r>
          </w:p>
          <w:p w14:paraId="65BAE769" w14:textId="77777777" w:rsidR="0057187E" w:rsidRPr="0057187E" w:rsidRDefault="0057187E" w:rsidP="0057187E">
            <w:pPr>
              <w:rPr>
                <w:sz w:val="18"/>
                <w:szCs w:val="18"/>
                <w:lang w:val="en-GB"/>
              </w:rPr>
            </w:pPr>
          </w:p>
          <w:p w14:paraId="4E4CA3D3" w14:textId="77777777" w:rsidR="0057187E" w:rsidRPr="0057187E" w:rsidRDefault="0057187E" w:rsidP="0057187E">
            <w:pPr>
              <w:rPr>
                <w:sz w:val="18"/>
                <w:szCs w:val="18"/>
                <w:lang w:val="en-GB"/>
              </w:rPr>
            </w:pPr>
            <w:r w:rsidRPr="0057187E">
              <w:rPr>
                <w:sz w:val="18"/>
                <w:szCs w:val="18"/>
                <w:lang w:val="en-GB"/>
              </w:rPr>
              <w:t>0</w:t>
            </w:r>
          </w:p>
          <w:p w14:paraId="6D35B914" w14:textId="77777777" w:rsidR="0057187E" w:rsidRPr="0057187E" w:rsidRDefault="0057187E" w:rsidP="0057187E">
            <w:pPr>
              <w:rPr>
                <w:sz w:val="18"/>
                <w:szCs w:val="18"/>
                <w:lang w:val="en-GB"/>
              </w:rPr>
            </w:pPr>
            <w:r w:rsidRPr="0057187E">
              <w:rPr>
                <w:sz w:val="18"/>
                <w:szCs w:val="18"/>
                <w:lang w:val="en-GB"/>
              </w:rPr>
              <w:t>1 (4.8%)</w:t>
            </w:r>
            <w:r w:rsidRPr="0057187E">
              <w:rPr>
                <w:sz w:val="18"/>
                <w:szCs w:val="18"/>
                <w:lang w:val="en-GB"/>
              </w:rPr>
              <w:tab/>
            </w:r>
          </w:p>
        </w:tc>
        <w:tc>
          <w:tcPr>
            <w:tcW w:w="1063" w:type="dxa"/>
            <w:shd w:val="clear" w:color="auto" w:fill="FFFFFF" w:themeFill="background1"/>
          </w:tcPr>
          <w:p w14:paraId="410A35E4" w14:textId="77777777" w:rsidR="0057187E" w:rsidRPr="0057187E" w:rsidRDefault="0057187E" w:rsidP="0057187E">
            <w:pPr>
              <w:rPr>
                <w:sz w:val="18"/>
                <w:szCs w:val="18"/>
                <w:lang w:val="en-GB"/>
              </w:rPr>
            </w:pPr>
            <w:r w:rsidRPr="0057187E">
              <w:rPr>
                <w:sz w:val="18"/>
                <w:szCs w:val="18"/>
                <w:lang w:val="en-GB"/>
              </w:rPr>
              <w:t>4 (21.1%)</w:t>
            </w:r>
          </w:p>
          <w:p w14:paraId="3FC24EF5" w14:textId="77777777" w:rsidR="0057187E" w:rsidRPr="0057187E" w:rsidRDefault="0057187E" w:rsidP="0057187E">
            <w:pPr>
              <w:rPr>
                <w:sz w:val="18"/>
                <w:szCs w:val="18"/>
                <w:lang w:val="en-GB"/>
              </w:rPr>
            </w:pPr>
          </w:p>
          <w:p w14:paraId="1C5BF2C2" w14:textId="77777777" w:rsidR="0057187E" w:rsidRPr="0057187E" w:rsidRDefault="0057187E" w:rsidP="0057187E">
            <w:pPr>
              <w:rPr>
                <w:sz w:val="18"/>
                <w:szCs w:val="18"/>
                <w:lang w:val="en-GB"/>
              </w:rPr>
            </w:pPr>
            <w:r w:rsidRPr="0057187E">
              <w:rPr>
                <w:sz w:val="18"/>
                <w:szCs w:val="18"/>
                <w:lang w:val="en-GB"/>
              </w:rPr>
              <w:t>0</w:t>
            </w:r>
          </w:p>
          <w:p w14:paraId="0E7CC995" w14:textId="77777777" w:rsidR="0057187E" w:rsidRPr="0057187E" w:rsidRDefault="0057187E" w:rsidP="0057187E">
            <w:pPr>
              <w:rPr>
                <w:sz w:val="18"/>
                <w:szCs w:val="18"/>
                <w:lang w:val="en-GB"/>
              </w:rPr>
            </w:pPr>
            <w:r w:rsidRPr="0057187E">
              <w:rPr>
                <w:sz w:val="18"/>
                <w:szCs w:val="18"/>
                <w:lang w:val="en-GB"/>
              </w:rPr>
              <w:t>1 (5.3%)</w:t>
            </w:r>
          </w:p>
          <w:p w14:paraId="644E0915" w14:textId="77777777" w:rsidR="0057187E" w:rsidRPr="0057187E" w:rsidRDefault="0057187E" w:rsidP="0057187E">
            <w:pPr>
              <w:rPr>
                <w:sz w:val="18"/>
                <w:szCs w:val="18"/>
                <w:lang w:val="en-GB"/>
              </w:rPr>
            </w:pPr>
          </w:p>
          <w:p w14:paraId="20BF4E10" w14:textId="77777777" w:rsidR="0057187E" w:rsidRPr="0057187E" w:rsidRDefault="0057187E" w:rsidP="0057187E">
            <w:pPr>
              <w:rPr>
                <w:sz w:val="18"/>
                <w:szCs w:val="18"/>
                <w:lang w:val="en-GB"/>
              </w:rPr>
            </w:pPr>
            <w:r w:rsidRPr="0057187E">
              <w:rPr>
                <w:sz w:val="18"/>
                <w:szCs w:val="18"/>
                <w:lang w:val="en-GB"/>
              </w:rPr>
              <w:t>0</w:t>
            </w:r>
          </w:p>
          <w:p w14:paraId="662270B6" w14:textId="77777777" w:rsidR="0057187E" w:rsidRPr="0057187E" w:rsidRDefault="0057187E" w:rsidP="0057187E">
            <w:pPr>
              <w:rPr>
                <w:sz w:val="18"/>
                <w:szCs w:val="18"/>
                <w:lang w:val="en-GB"/>
              </w:rPr>
            </w:pPr>
            <w:r w:rsidRPr="0057187E">
              <w:rPr>
                <w:sz w:val="18"/>
                <w:szCs w:val="18"/>
                <w:lang w:val="en-GB"/>
              </w:rPr>
              <w:t>2 (10.5%)</w:t>
            </w:r>
          </w:p>
        </w:tc>
        <w:tc>
          <w:tcPr>
            <w:tcW w:w="1134" w:type="dxa"/>
            <w:shd w:val="clear" w:color="auto" w:fill="FFFFFF" w:themeFill="background1"/>
          </w:tcPr>
          <w:p w14:paraId="524AD919" w14:textId="77777777" w:rsidR="0057187E" w:rsidRPr="0057187E" w:rsidRDefault="0057187E" w:rsidP="0057187E">
            <w:pPr>
              <w:rPr>
                <w:sz w:val="18"/>
                <w:szCs w:val="18"/>
                <w:lang w:val="en-GB"/>
              </w:rPr>
            </w:pPr>
            <w:r w:rsidRPr="0057187E">
              <w:rPr>
                <w:sz w:val="18"/>
                <w:szCs w:val="18"/>
                <w:lang w:val="en-GB"/>
              </w:rPr>
              <w:t>3 (21.4%)</w:t>
            </w:r>
          </w:p>
          <w:p w14:paraId="1C776BE7" w14:textId="77777777" w:rsidR="0057187E" w:rsidRPr="0057187E" w:rsidRDefault="0057187E" w:rsidP="0057187E">
            <w:pPr>
              <w:rPr>
                <w:sz w:val="18"/>
                <w:szCs w:val="18"/>
                <w:lang w:val="en-GB"/>
              </w:rPr>
            </w:pPr>
          </w:p>
          <w:p w14:paraId="2C732BE6" w14:textId="77777777" w:rsidR="0057187E" w:rsidRPr="0057187E" w:rsidRDefault="0057187E" w:rsidP="0057187E">
            <w:pPr>
              <w:rPr>
                <w:sz w:val="18"/>
                <w:szCs w:val="18"/>
                <w:lang w:val="en-GB"/>
              </w:rPr>
            </w:pPr>
            <w:r w:rsidRPr="0057187E">
              <w:rPr>
                <w:sz w:val="18"/>
                <w:szCs w:val="18"/>
                <w:lang w:val="en-GB"/>
              </w:rPr>
              <w:t>0</w:t>
            </w:r>
          </w:p>
          <w:p w14:paraId="5967EC1F" w14:textId="77777777" w:rsidR="0057187E" w:rsidRPr="0057187E" w:rsidRDefault="0057187E" w:rsidP="0057187E">
            <w:pPr>
              <w:rPr>
                <w:sz w:val="18"/>
                <w:szCs w:val="18"/>
                <w:lang w:val="en-GB"/>
              </w:rPr>
            </w:pPr>
            <w:r w:rsidRPr="0057187E">
              <w:rPr>
                <w:sz w:val="18"/>
                <w:szCs w:val="18"/>
                <w:lang w:val="en-GB"/>
              </w:rPr>
              <w:t>0</w:t>
            </w:r>
          </w:p>
          <w:p w14:paraId="02DA4BBD" w14:textId="77777777" w:rsidR="0057187E" w:rsidRPr="0057187E" w:rsidRDefault="0057187E" w:rsidP="0057187E">
            <w:pPr>
              <w:rPr>
                <w:sz w:val="18"/>
                <w:szCs w:val="18"/>
                <w:lang w:val="en-GB"/>
              </w:rPr>
            </w:pPr>
          </w:p>
          <w:p w14:paraId="0B984969" w14:textId="77777777" w:rsidR="0057187E" w:rsidRPr="0057187E" w:rsidRDefault="0057187E" w:rsidP="0057187E">
            <w:pPr>
              <w:rPr>
                <w:sz w:val="18"/>
                <w:szCs w:val="18"/>
                <w:lang w:val="en-GB"/>
              </w:rPr>
            </w:pPr>
            <w:r w:rsidRPr="0057187E">
              <w:rPr>
                <w:sz w:val="18"/>
                <w:szCs w:val="18"/>
                <w:lang w:val="en-GB"/>
              </w:rPr>
              <w:t>0</w:t>
            </w:r>
          </w:p>
          <w:p w14:paraId="6C44FA04" w14:textId="77777777" w:rsidR="0057187E" w:rsidRPr="0057187E" w:rsidRDefault="0057187E" w:rsidP="0057187E">
            <w:pPr>
              <w:rPr>
                <w:sz w:val="18"/>
                <w:szCs w:val="18"/>
                <w:lang w:val="en-GB"/>
              </w:rPr>
            </w:pPr>
            <w:r w:rsidRPr="0057187E">
              <w:rPr>
                <w:sz w:val="18"/>
                <w:szCs w:val="18"/>
                <w:lang w:val="en-GB"/>
              </w:rPr>
              <w:t>2 (14.3%)</w:t>
            </w:r>
          </w:p>
        </w:tc>
        <w:tc>
          <w:tcPr>
            <w:tcW w:w="993" w:type="dxa"/>
            <w:shd w:val="clear" w:color="auto" w:fill="FFFFFF" w:themeFill="background1"/>
          </w:tcPr>
          <w:p w14:paraId="2D38571E" w14:textId="77777777" w:rsidR="0057187E" w:rsidRPr="0057187E" w:rsidRDefault="0057187E" w:rsidP="0057187E">
            <w:pPr>
              <w:rPr>
                <w:sz w:val="18"/>
                <w:szCs w:val="18"/>
                <w:lang w:val="en-GB"/>
              </w:rPr>
            </w:pPr>
            <w:r w:rsidRPr="0057187E">
              <w:rPr>
                <w:sz w:val="18"/>
                <w:szCs w:val="18"/>
                <w:lang w:val="en-GB"/>
              </w:rPr>
              <w:t>4 (36.4%)</w:t>
            </w:r>
          </w:p>
          <w:p w14:paraId="6572E533" w14:textId="77777777" w:rsidR="0057187E" w:rsidRPr="0057187E" w:rsidRDefault="0057187E" w:rsidP="0057187E">
            <w:pPr>
              <w:rPr>
                <w:sz w:val="18"/>
                <w:szCs w:val="18"/>
                <w:lang w:val="en-GB"/>
              </w:rPr>
            </w:pPr>
          </w:p>
          <w:p w14:paraId="03CFC46D" w14:textId="77777777" w:rsidR="0057187E" w:rsidRPr="0057187E" w:rsidRDefault="0057187E" w:rsidP="0057187E">
            <w:pPr>
              <w:rPr>
                <w:sz w:val="18"/>
                <w:szCs w:val="18"/>
                <w:lang w:val="en-GB"/>
              </w:rPr>
            </w:pPr>
            <w:r w:rsidRPr="0057187E">
              <w:rPr>
                <w:sz w:val="18"/>
                <w:szCs w:val="18"/>
                <w:lang w:val="en-GB"/>
              </w:rPr>
              <w:t>1 (9.1%)</w:t>
            </w:r>
          </w:p>
          <w:p w14:paraId="54AF367B" w14:textId="77777777" w:rsidR="0057187E" w:rsidRPr="0057187E" w:rsidRDefault="0057187E" w:rsidP="0057187E">
            <w:pPr>
              <w:rPr>
                <w:sz w:val="18"/>
                <w:szCs w:val="18"/>
                <w:lang w:val="en-GB"/>
              </w:rPr>
            </w:pPr>
            <w:r w:rsidRPr="0057187E">
              <w:rPr>
                <w:sz w:val="18"/>
                <w:szCs w:val="18"/>
                <w:lang w:val="en-GB"/>
              </w:rPr>
              <w:t>0</w:t>
            </w:r>
          </w:p>
          <w:p w14:paraId="60C9DEF4" w14:textId="77777777" w:rsidR="0057187E" w:rsidRPr="0057187E" w:rsidRDefault="0057187E" w:rsidP="0057187E">
            <w:pPr>
              <w:rPr>
                <w:sz w:val="18"/>
                <w:szCs w:val="18"/>
                <w:lang w:val="en-GB"/>
              </w:rPr>
            </w:pPr>
          </w:p>
          <w:p w14:paraId="3B7B216A" w14:textId="77777777" w:rsidR="0057187E" w:rsidRPr="0057187E" w:rsidRDefault="0057187E" w:rsidP="0057187E">
            <w:pPr>
              <w:rPr>
                <w:sz w:val="18"/>
                <w:szCs w:val="18"/>
                <w:lang w:val="en-GB"/>
              </w:rPr>
            </w:pPr>
            <w:r w:rsidRPr="0057187E">
              <w:rPr>
                <w:sz w:val="18"/>
                <w:szCs w:val="18"/>
                <w:lang w:val="en-GB"/>
              </w:rPr>
              <w:t>0</w:t>
            </w:r>
          </w:p>
          <w:p w14:paraId="7DBDB320" w14:textId="77777777" w:rsidR="0057187E" w:rsidRPr="0057187E" w:rsidRDefault="0057187E" w:rsidP="0057187E">
            <w:pPr>
              <w:rPr>
                <w:sz w:val="18"/>
                <w:szCs w:val="18"/>
                <w:lang w:val="en-GB"/>
              </w:rPr>
            </w:pPr>
            <w:r w:rsidRPr="0057187E">
              <w:rPr>
                <w:sz w:val="18"/>
                <w:szCs w:val="18"/>
                <w:lang w:val="en-GB"/>
              </w:rPr>
              <w:t>2 (18.2%)</w:t>
            </w:r>
          </w:p>
        </w:tc>
        <w:tc>
          <w:tcPr>
            <w:tcW w:w="1134" w:type="dxa"/>
            <w:shd w:val="clear" w:color="auto" w:fill="FFFFFF" w:themeFill="background1"/>
          </w:tcPr>
          <w:p w14:paraId="718DC7BC" w14:textId="77777777" w:rsidR="0057187E" w:rsidRPr="0057187E" w:rsidRDefault="0057187E" w:rsidP="0057187E">
            <w:pPr>
              <w:rPr>
                <w:sz w:val="18"/>
                <w:szCs w:val="18"/>
                <w:lang w:val="en-GB"/>
              </w:rPr>
            </w:pPr>
            <w:r w:rsidRPr="0057187E">
              <w:rPr>
                <w:sz w:val="18"/>
                <w:szCs w:val="18"/>
                <w:lang w:val="en-GB"/>
              </w:rPr>
              <w:t>2 (20.0%)</w:t>
            </w:r>
          </w:p>
          <w:p w14:paraId="673473E7" w14:textId="77777777" w:rsidR="0057187E" w:rsidRPr="0057187E" w:rsidRDefault="0057187E" w:rsidP="0057187E">
            <w:pPr>
              <w:rPr>
                <w:sz w:val="18"/>
                <w:szCs w:val="18"/>
                <w:lang w:val="en-GB"/>
              </w:rPr>
            </w:pPr>
          </w:p>
          <w:p w14:paraId="624F4174" w14:textId="77777777" w:rsidR="0057187E" w:rsidRPr="0057187E" w:rsidRDefault="0057187E" w:rsidP="0057187E">
            <w:pPr>
              <w:rPr>
                <w:sz w:val="18"/>
                <w:szCs w:val="18"/>
                <w:lang w:val="en-GB"/>
              </w:rPr>
            </w:pPr>
            <w:r w:rsidRPr="0057187E">
              <w:rPr>
                <w:sz w:val="18"/>
                <w:szCs w:val="18"/>
                <w:lang w:val="en-GB"/>
              </w:rPr>
              <w:t>0</w:t>
            </w:r>
          </w:p>
          <w:p w14:paraId="158EE57F" w14:textId="77777777" w:rsidR="0057187E" w:rsidRPr="0057187E" w:rsidRDefault="0057187E" w:rsidP="0057187E">
            <w:pPr>
              <w:rPr>
                <w:sz w:val="18"/>
                <w:szCs w:val="18"/>
                <w:lang w:val="en-GB"/>
              </w:rPr>
            </w:pPr>
            <w:r w:rsidRPr="0057187E">
              <w:rPr>
                <w:sz w:val="18"/>
                <w:szCs w:val="18"/>
                <w:lang w:val="en-GB"/>
              </w:rPr>
              <w:t>0</w:t>
            </w:r>
          </w:p>
          <w:p w14:paraId="2606F143" w14:textId="77777777" w:rsidR="0057187E" w:rsidRPr="0057187E" w:rsidRDefault="0057187E" w:rsidP="0057187E">
            <w:pPr>
              <w:rPr>
                <w:sz w:val="18"/>
                <w:szCs w:val="18"/>
                <w:lang w:val="en-GB"/>
              </w:rPr>
            </w:pPr>
          </w:p>
          <w:p w14:paraId="73624CB0" w14:textId="77777777" w:rsidR="0057187E" w:rsidRPr="0057187E" w:rsidRDefault="0057187E" w:rsidP="0057187E">
            <w:pPr>
              <w:rPr>
                <w:sz w:val="18"/>
                <w:szCs w:val="18"/>
                <w:lang w:val="en-GB"/>
              </w:rPr>
            </w:pPr>
            <w:r w:rsidRPr="0057187E">
              <w:rPr>
                <w:sz w:val="18"/>
                <w:szCs w:val="18"/>
                <w:lang w:val="en-GB"/>
              </w:rPr>
              <w:t>0</w:t>
            </w:r>
          </w:p>
          <w:p w14:paraId="1D24E25E" w14:textId="77777777" w:rsidR="0057187E" w:rsidRPr="0057187E" w:rsidRDefault="0057187E" w:rsidP="0057187E">
            <w:pPr>
              <w:rPr>
                <w:sz w:val="18"/>
                <w:szCs w:val="18"/>
                <w:lang w:val="en-GB"/>
              </w:rPr>
            </w:pPr>
            <w:r w:rsidRPr="0057187E">
              <w:rPr>
                <w:sz w:val="18"/>
                <w:szCs w:val="18"/>
                <w:lang w:val="en-GB"/>
              </w:rPr>
              <w:t>0</w:t>
            </w:r>
          </w:p>
        </w:tc>
      </w:tr>
      <w:tr w:rsidR="0057187E" w:rsidRPr="00800B07" w14:paraId="4766ABFB" w14:textId="77777777" w:rsidTr="0057187E">
        <w:trPr>
          <w:trHeight w:val="589"/>
        </w:trPr>
        <w:tc>
          <w:tcPr>
            <w:tcW w:w="2127" w:type="dxa"/>
            <w:tcBorders>
              <w:right w:val="single" w:sz="12" w:space="0" w:color="auto"/>
            </w:tcBorders>
            <w:shd w:val="clear" w:color="auto" w:fill="FFFFFF" w:themeFill="background1"/>
          </w:tcPr>
          <w:p w14:paraId="2A45AEA0" w14:textId="77777777" w:rsidR="0057187E" w:rsidRPr="0057187E" w:rsidRDefault="0057187E" w:rsidP="0057187E">
            <w:pPr>
              <w:rPr>
                <w:sz w:val="18"/>
                <w:szCs w:val="18"/>
                <w:lang w:val="en-GB"/>
              </w:rPr>
            </w:pPr>
            <w:r w:rsidRPr="0057187E">
              <w:rPr>
                <w:sz w:val="18"/>
                <w:szCs w:val="18"/>
                <w:lang w:val="en-GB"/>
              </w:rPr>
              <w:t>GI comorbidities</w:t>
            </w:r>
          </w:p>
          <w:p w14:paraId="4E48EC71" w14:textId="77777777" w:rsidR="0057187E" w:rsidRPr="0057187E" w:rsidRDefault="0057187E" w:rsidP="0057187E">
            <w:pPr>
              <w:numPr>
                <w:ilvl w:val="0"/>
                <w:numId w:val="12"/>
              </w:numPr>
              <w:contextualSpacing/>
              <w:rPr>
                <w:sz w:val="18"/>
                <w:szCs w:val="18"/>
                <w:lang w:val="en-GB"/>
              </w:rPr>
            </w:pPr>
            <w:r w:rsidRPr="0057187E">
              <w:rPr>
                <w:sz w:val="18"/>
                <w:szCs w:val="18"/>
                <w:lang w:val="en-GB"/>
              </w:rPr>
              <w:t>IBD</w:t>
            </w:r>
          </w:p>
          <w:p w14:paraId="5EA38D5B" w14:textId="77777777" w:rsidR="0057187E" w:rsidRPr="0057187E" w:rsidRDefault="0057187E" w:rsidP="0057187E">
            <w:pPr>
              <w:numPr>
                <w:ilvl w:val="0"/>
                <w:numId w:val="12"/>
              </w:numPr>
              <w:contextualSpacing/>
              <w:rPr>
                <w:sz w:val="18"/>
                <w:szCs w:val="18"/>
                <w:lang w:val="en-GB"/>
              </w:rPr>
            </w:pPr>
            <w:r w:rsidRPr="0057187E">
              <w:rPr>
                <w:sz w:val="18"/>
                <w:szCs w:val="18"/>
                <w:lang w:val="en-GB"/>
              </w:rPr>
              <w:t>Ileal resection</w:t>
            </w:r>
          </w:p>
          <w:p w14:paraId="4372C1E3" w14:textId="77777777" w:rsidR="0057187E" w:rsidRPr="0057187E" w:rsidRDefault="0057187E" w:rsidP="0057187E">
            <w:pPr>
              <w:numPr>
                <w:ilvl w:val="0"/>
                <w:numId w:val="12"/>
              </w:numPr>
              <w:contextualSpacing/>
              <w:rPr>
                <w:sz w:val="18"/>
                <w:szCs w:val="18"/>
                <w:lang w:val="en-GB"/>
              </w:rPr>
            </w:pPr>
            <w:r w:rsidRPr="0057187E">
              <w:rPr>
                <w:sz w:val="18"/>
                <w:szCs w:val="18"/>
                <w:lang w:val="en-GB"/>
              </w:rPr>
              <w:t>Colon resection</w:t>
            </w:r>
          </w:p>
          <w:p w14:paraId="2484F589" w14:textId="77777777" w:rsidR="0057187E" w:rsidRPr="0057187E" w:rsidRDefault="0057187E" w:rsidP="0057187E">
            <w:pPr>
              <w:numPr>
                <w:ilvl w:val="0"/>
                <w:numId w:val="12"/>
              </w:numPr>
              <w:contextualSpacing/>
              <w:rPr>
                <w:sz w:val="18"/>
                <w:szCs w:val="18"/>
                <w:lang w:val="en-GB"/>
              </w:rPr>
            </w:pPr>
            <w:r w:rsidRPr="0057187E">
              <w:rPr>
                <w:sz w:val="18"/>
                <w:szCs w:val="18"/>
                <w:lang w:val="en-GB"/>
              </w:rPr>
              <w:t>Pancreatic insufficiency</w:t>
            </w:r>
          </w:p>
          <w:p w14:paraId="1BCC5AF8" w14:textId="77777777" w:rsidR="0057187E" w:rsidRPr="0057187E" w:rsidRDefault="0057187E" w:rsidP="0057187E">
            <w:pPr>
              <w:numPr>
                <w:ilvl w:val="0"/>
                <w:numId w:val="12"/>
              </w:numPr>
              <w:contextualSpacing/>
              <w:rPr>
                <w:sz w:val="18"/>
                <w:szCs w:val="18"/>
                <w:lang w:val="en-GB"/>
              </w:rPr>
            </w:pPr>
            <w:r w:rsidRPr="0057187E">
              <w:rPr>
                <w:sz w:val="18"/>
                <w:szCs w:val="18"/>
                <w:lang w:val="en-GB"/>
              </w:rPr>
              <w:t>Gastric bypass</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9CA998A" w14:textId="77777777" w:rsidR="0057187E" w:rsidRPr="0057187E" w:rsidRDefault="0057187E" w:rsidP="0057187E">
            <w:pPr>
              <w:rPr>
                <w:sz w:val="18"/>
                <w:szCs w:val="18"/>
                <w:lang w:val="en-GB"/>
              </w:rPr>
            </w:pPr>
            <w:r w:rsidRPr="0057187E">
              <w:rPr>
                <w:sz w:val="18"/>
                <w:szCs w:val="18"/>
                <w:lang w:val="en-GB"/>
              </w:rPr>
              <w:t>61 (7.3%)</w:t>
            </w:r>
          </w:p>
          <w:p w14:paraId="3C70F483" w14:textId="77777777" w:rsidR="0057187E" w:rsidRPr="0057187E" w:rsidRDefault="0057187E" w:rsidP="0057187E">
            <w:pPr>
              <w:rPr>
                <w:sz w:val="18"/>
                <w:szCs w:val="18"/>
                <w:lang w:val="en-GB"/>
              </w:rPr>
            </w:pPr>
            <w:r w:rsidRPr="0057187E">
              <w:rPr>
                <w:sz w:val="18"/>
                <w:szCs w:val="18"/>
                <w:lang w:val="en-GB"/>
              </w:rPr>
              <w:t>20 (2.4%)</w:t>
            </w:r>
          </w:p>
          <w:p w14:paraId="546113F7" w14:textId="77777777" w:rsidR="0057187E" w:rsidRPr="0057187E" w:rsidRDefault="0057187E" w:rsidP="0057187E">
            <w:pPr>
              <w:rPr>
                <w:sz w:val="18"/>
                <w:szCs w:val="18"/>
                <w:lang w:val="en-GB"/>
              </w:rPr>
            </w:pPr>
            <w:r w:rsidRPr="0057187E">
              <w:rPr>
                <w:sz w:val="18"/>
                <w:szCs w:val="18"/>
                <w:lang w:val="en-GB"/>
              </w:rPr>
              <w:t>15 (1.8%)</w:t>
            </w:r>
          </w:p>
          <w:p w14:paraId="2B47C46C" w14:textId="77777777" w:rsidR="0057187E" w:rsidRPr="0057187E" w:rsidRDefault="0057187E" w:rsidP="0057187E">
            <w:pPr>
              <w:rPr>
                <w:sz w:val="18"/>
                <w:szCs w:val="18"/>
                <w:lang w:val="en-GB"/>
              </w:rPr>
            </w:pPr>
            <w:r w:rsidRPr="0057187E">
              <w:rPr>
                <w:sz w:val="18"/>
                <w:szCs w:val="18"/>
                <w:lang w:val="en-GB"/>
              </w:rPr>
              <w:t>5 (0.6%)</w:t>
            </w:r>
          </w:p>
          <w:p w14:paraId="7B4726F7" w14:textId="77777777" w:rsidR="0057187E" w:rsidRPr="0057187E" w:rsidRDefault="0057187E" w:rsidP="0057187E">
            <w:pPr>
              <w:rPr>
                <w:sz w:val="18"/>
                <w:szCs w:val="18"/>
                <w:lang w:val="en-GB"/>
              </w:rPr>
            </w:pPr>
            <w:r w:rsidRPr="0057187E">
              <w:rPr>
                <w:sz w:val="18"/>
                <w:szCs w:val="18"/>
                <w:lang w:val="en-GB"/>
              </w:rPr>
              <w:t>1 (0.1%)</w:t>
            </w:r>
          </w:p>
          <w:p w14:paraId="73AED9B9" w14:textId="77777777" w:rsidR="0057187E" w:rsidRPr="0057187E" w:rsidRDefault="0057187E" w:rsidP="0057187E">
            <w:pPr>
              <w:rPr>
                <w:sz w:val="18"/>
                <w:szCs w:val="18"/>
                <w:lang w:val="en-GB"/>
              </w:rPr>
            </w:pPr>
            <w:r w:rsidRPr="0057187E">
              <w:rPr>
                <w:sz w:val="18"/>
                <w:szCs w:val="18"/>
                <w:lang w:val="en-GB"/>
              </w:rPr>
              <w:t>9 (1.1%)</w:t>
            </w:r>
          </w:p>
        </w:tc>
        <w:tc>
          <w:tcPr>
            <w:tcW w:w="1152" w:type="dxa"/>
            <w:tcBorders>
              <w:left w:val="single" w:sz="12" w:space="0" w:color="auto"/>
            </w:tcBorders>
            <w:shd w:val="clear" w:color="auto" w:fill="FFFFFF" w:themeFill="background1"/>
          </w:tcPr>
          <w:p w14:paraId="15E38220" w14:textId="77777777" w:rsidR="0057187E" w:rsidRPr="0057187E" w:rsidRDefault="0057187E" w:rsidP="0057187E">
            <w:pPr>
              <w:rPr>
                <w:sz w:val="18"/>
                <w:szCs w:val="18"/>
                <w:lang w:val="en-GB"/>
              </w:rPr>
            </w:pPr>
            <w:r w:rsidRPr="0057187E">
              <w:rPr>
                <w:sz w:val="18"/>
                <w:szCs w:val="18"/>
                <w:lang w:val="en-GB"/>
              </w:rPr>
              <w:t>21 (5.7%)</w:t>
            </w:r>
          </w:p>
          <w:p w14:paraId="5403B91A" w14:textId="77777777" w:rsidR="0057187E" w:rsidRPr="0057187E" w:rsidRDefault="0057187E" w:rsidP="0057187E">
            <w:pPr>
              <w:rPr>
                <w:sz w:val="18"/>
                <w:szCs w:val="18"/>
                <w:lang w:val="en-GB"/>
              </w:rPr>
            </w:pPr>
            <w:r w:rsidRPr="0057187E">
              <w:rPr>
                <w:sz w:val="18"/>
                <w:szCs w:val="18"/>
                <w:lang w:val="en-GB"/>
              </w:rPr>
              <w:t>6 (1.6%)</w:t>
            </w:r>
          </w:p>
          <w:p w14:paraId="2DE0EC1E" w14:textId="77777777" w:rsidR="0057187E" w:rsidRPr="0057187E" w:rsidRDefault="0057187E" w:rsidP="0057187E">
            <w:pPr>
              <w:rPr>
                <w:sz w:val="18"/>
                <w:szCs w:val="18"/>
                <w:lang w:val="en-GB"/>
              </w:rPr>
            </w:pPr>
            <w:r w:rsidRPr="0057187E">
              <w:rPr>
                <w:sz w:val="18"/>
                <w:szCs w:val="18"/>
                <w:lang w:val="en-GB"/>
              </w:rPr>
              <w:t>7 (1.9%)</w:t>
            </w:r>
          </w:p>
          <w:p w14:paraId="28CF144A" w14:textId="77777777" w:rsidR="0057187E" w:rsidRPr="0057187E" w:rsidRDefault="0057187E" w:rsidP="0057187E">
            <w:pPr>
              <w:rPr>
                <w:sz w:val="18"/>
                <w:szCs w:val="18"/>
                <w:lang w:val="en-GB"/>
              </w:rPr>
            </w:pPr>
            <w:r w:rsidRPr="0057187E">
              <w:rPr>
                <w:sz w:val="18"/>
                <w:szCs w:val="18"/>
                <w:lang w:val="en-GB"/>
              </w:rPr>
              <w:t>2 (0.5%)</w:t>
            </w:r>
            <w:r w:rsidRPr="0057187E">
              <w:rPr>
                <w:sz w:val="18"/>
                <w:szCs w:val="18"/>
                <w:lang w:val="en-GB"/>
              </w:rPr>
              <w:tab/>
            </w:r>
          </w:p>
          <w:p w14:paraId="2B4A291C" w14:textId="77777777" w:rsidR="0057187E" w:rsidRPr="0057187E" w:rsidRDefault="0057187E" w:rsidP="0057187E">
            <w:pPr>
              <w:rPr>
                <w:sz w:val="18"/>
                <w:szCs w:val="18"/>
                <w:lang w:val="en-GB"/>
              </w:rPr>
            </w:pPr>
            <w:r w:rsidRPr="0057187E">
              <w:rPr>
                <w:sz w:val="18"/>
                <w:szCs w:val="18"/>
                <w:lang w:val="en-GB"/>
              </w:rPr>
              <w:t>1 (0.3%)</w:t>
            </w:r>
          </w:p>
          <w:p w14:paraId="5717E2EC" w14:textId="77777777" w:rsidR="0057187E" w:rsidRPr="0057187E" w:rsidRDefault="0057187E" w:rsidP="0057187E">
            <w:pPr>
              <w:rPr>
                <w:sz w:val="18"/>
                <w:szCs w:val="18"/>
                <w:lang w:val="en-GB"/>
              </w:rPr>
            </w:pPr>
            <w:r w:rsidRPr="0057187E">
              <w:rPr>
                <w:sz w:val="18"/>
                <w:szCs w:val="18"/>
                <w:lang w:val="en-GB"/>
              </w:rPr>
              <w:t>4 (0.8%)</w:t>
            </w:r>
          </w:p>
        </w:tc>
        <w:tc>
          <w:tcPr>
            <w:tcW w:w="1152" w:type="dxa"/>
            <w:shd w:val="clear" w:color="auto" w:fill="FFFFFF" w:themeFill="background1"/>
          </w:tcPr>
          <w:p w14:paraId="4A696A13" w14:textId="77777777" w:rsidR="0057187E" w:rsidRPr="0057187E" w:rsidRDefault="0057187E" w:rsidP="0057187E">
            <w:pPr>
              <w:rPr>
                <w:sz w:val="18"/>
                <w:szCs w:val="18"/>
                <w:lang w:val="en-GB"/>
              </w:rPr>
            </w:pPr>
            <w:r w:rsidRPr="0057187E">
              <w:rPr>
                <w:sz w:val="18"/>
                <w:szCs w:val="18"/>
                <w:lang w:val="en-GB"/>
              </w:rPr>
              <w:t>3 (8.1%)</w:t>
            </w:r>
          </w:p>
          <w:p w14:paraId="49173BC9" w14:textId="77777777" w:rsidR="0057187E" w:rsidRPr="0057187E" w:rsidRDefault="0057187E" w:rsidP="0057187E">
            <w:pPr>
              <w:rPr>
                <w:sz w:val="18"/>
                <w:szCs w:val="18"/>
                <w:lang w:val="en-GB"/>
              </w:rPr>
            </w:pPr>
            <w:r w:rsidRPr="0057187E">
              <w:rPr>
                <w:sz w:val="18"/>
                <w:szCs w:val="18"/>
                <w:lang w:val="en-GB"/>
              </w:rPr>
              <w:t>2 (5.4%)</w:t>
            </w:r>
            <w:r w:rsidRPr="0057187E">
              <w:rPr>
                <w:sz w:val="18"/>
                <w:szCs w:val="18"/>
                <w:lang w:val="en-GB"/>
              </w:rPr>
              <w:tab/>
              <w:t xml:space="preserve"> </w:t>
            </w:r>
          </w:p>
          <w:p w14:paraId="1B5D628B" w14:textId="77777777" w:rsidR="0057187E" w:rsidRPr="0057187E" w:rsidRDefault="0057187E" w:rsidP="0057187E">
            <w:pPr>
              <w:rPr>
                <w:sz w:val="18"/>
                <w:szCs w:val="18"/>
                <w:lang w:val="en-GB"/>
              </w:rPr>
            </w:pPr>
            <w:r w:rsidRPr="0057187E">
              <w:rPr>
                <w:sz w:val="18"/>
                <w:szCs w:val="18"/>
                <w:lang w:val="en-GB"/>
              </w:rPr>
              <w:t>1 (2.7%)</w:t>
            </w:r>
          </w:p>
          <w:p w14:paraId="689A1DC6" w14:textId="77777777" w:rsidR="0057187E" w:rsidRPr="0057187E" w:rsidRDefault="0057187E" w:rsidP="0057187E">
            <w:pPr>
              <w:rPr>
                <w:sz w:val="18"/>
                <w:szCs w:val="18"/>
                <w:lang w:val="en-GB"/>
              </w:rPr>
            </w:pPr>
            <w:r w:rsidRPr="0057187E">
              <w:rPr>
                <w:sz w:val="18"/>
                <w:szCs w:val="18"/>
                <w:lang w:val="en-GB"/>
              </w:rPr>
              <w:t>0</w:t>
            </w:r>
          </w:p>
          <w:p w14:paraId="7B75265E" w14:textId="77777777" w:rsidR="0057187E" w:rsidRPr="0057187E" w:rsidRDefault="0057187E" w:rsidP="0057187E">
            <w:pPr>
              <w:rPr>
                <w:sz w:val="18"/>
                <w:szCs w:val="18"/>
                <w:lang w:val="en-GB"/>
              </w:rPr>
            </w:pPr>
            <w:r w:rsidRPr="0057187E">
              <w:rPr>
                <w:sz w:val="18"/>
                <w:szCs w:val="18"/>
                <w:lang w:val="en-GB"/>
              </w:rPr>
              <w:t>0</w:t>
            </w:r>
          </w:p>
          <w:p w14:paraId="584DE480" w14:textId="77777777" w:rsidR="0057187E" w:rsidRPr="0057187E" w:rsidRDefault="0057187E" w:rsidP="0057187E">
            <w:pPr>
              <w:rPr>
                <w:sz w:val="18"/>
                <w:szCs w:val="18"/>
                <w:lang w:val="en-GB"/>
              </w:rPr>
            </w:pPr>
            <w:r w:rsidRPr="0057187E">
              <w:rPr>
                <w:sz w:val="18"/>
                <w:szCs w:val="18"/>
                <w:lang w:val="en-GB"/>
              </w:rPr>
              <w:t>0</w:t>
            </w:r>
          </w:p>
        </w:tc>
        <w:tc>
          <w:tcPr>
            <w:tcW w:w="1152" w:type="dxa"/>
            <w:shd w:val="clear" w:color="auto" w:fill="FFFFFF" w:themeFill="background1"/>
          </w:tcPr>
          <w:p w14:paraId="3F43E22F" w14:textId="77777777" w:rsidR="0057187E" w:rsidRPr="0057187E" w:rsidRDefault="0057187E" w:rsidP="0057187E">
            <w:pPr>
              <w:rPr>
                <w:sz w:val="18"/>
                <w:szCs w:val="18"/>
                <w:lang w:val="en-GB"/>
              </w:rPr>
            </w:pPr>
            <w:r w:rsidRPr="0057187E">
              <w:rPr>
                <w:sz w:val="18"/>
                <w:szCs w:val="18"/>
                <w:lang w:val="en-GB"/>
              </w:rPr>
              <w:t>1 (4.8%)</w:t>
            </w:r>
          </w:p>
          <w:p w14:paraId="2A48FD31"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p w14:paraId="4D260BA7" w14:textId="77777777" w:rsidR="0057187E" w:rsidRPr="0057187E" w:rsidRDefault="0057187E" w:rsidP="0057187E">
            <w:pPr>
              <w:rPr>
                <w:sz w:val="18"/>
                <w:szCs w:val="18"/>
                <w:lang w:val="en-GB"/>
              </w:rPr>
            </w:pPr>
            <w:r w:rsidRPr="0057187E">
              <w:rPr>
                <w:sz w:val="18"/>
                <w:szCs w:val="18"/>
                <w:lang w:val="en-GB"/>
              </w:rPr>
              <w:t>0</w:t>
            </w:r>
          </w:p>
          <w:p w14:paraId="4799F11D" w14:textId="77777777" w:rsidR="0057187E" w:rsidRPr="0057187E" w:rsidRDefault="0057187E" w:rsidP="0057187E">
            <w:pPr>
              <w:rPr>
                <w:sz w:val="18"/>
                <w:szCs w:val="18"/>
                <w:lang w:val="en-GB"/>
              </w:rPr>
            </w:pPr>
            <w:r w:rsidRPr="0057187E">
              <w:rPr>
                <w:sz w:val="18"/>
                <w:szCs w:val="18"/>
                <w:lang w:val="en-GB"/>
              </w:rPr>
              <w:t>0</w:t>
            </w:r>
          </w:p>
          <w:p w14:paraId="77C3D181" w14:textId="77777777" w:rsidR="0057187E" w:rsidRPr="0057187E" w:rsidRDefault="0057187E" w:rsidP="0057187E">
            <w:pPr>
              <w:rPr>
                <w:sz w:val="18"/>
                <w:szCs w:val="18"/>
                <w:lang w:val="en-GB"/>
              </w:rPr>
            </w:pPr>
            <w:r w:rsidRPr="0057187E">
              <w:rPr>
                <w:sz w:val="18"/>
                <w:szCs w:val="18"/>
                <w:lang w:val="en-GB"/>
              </w:rPr>
              <w:t>0</w:t>
            </w:r>
          </w:p>
          <w:p w14:paraId="2E493840" w14:textId="77777777" w:rsidR="0057187E" w:rsidRPr="0057187E" w:rsidRDefault="0057187E" w:rsidP="0057187E">
            <w:pPr>
              <w:rPr>
                <w:sz w:val="18"/>
                <w:szCs w:val="18"/>
                <w:lang w:val="en-GB"/>
              </w:rPr>
            </w:pPr>
            <w:r w:rsidRPr="0057187E">
              <w:rPr>
                <w:sz w:val="18"/>
                <w:szCs w:val="18"/>
                <w:lang w:val="en-GB"/>
              </w:rPr>
              <w:t>0</w:t>
            </w:r>
          </w:p>
        </w:tc>
        <w:tc>
          <w:tcPr>
            <w:tcW w:w="1063" w:type="dxa"/>
            <w:shd w:val="clear" w:color="auto" w:fill="FFFFFF" w:themeFill="background1"/>
          </w:tcPr>
          <w:p w14:paraId="49FFC8CA" w14:textId="77777777" w:rsidR="0057187E" w:rsidRPr="0057187E" w:rsidRDefault="0057187E" w:rsidP="0057187E">
            <w:pPr>
              <w:rPr>
                <w:sz w:val="18"/>
                <w:szCs w:val="18"/>
                <w:lang w:val="en-GB"/>
              </w:rPr>
            </w:pPr>
            <w:r w:rsidRPr="0057187E">
              <w:rPr>
                <w:sz w:val="18"/>
                <w:szCs w:val="18"/>
                <w:lang w:val="en-GB"/>
              </w:rPr>
              <w:t>1 (5.3%)</w:t>
            </w:r>
          </w:p>
          <w:p w14:paraId="74C6C98B" w14:textId="77777777" w:rsidR="0057187E" w:rsidRPr="0057187E" w:rsidRDefault="0057187E" w:rsidP="0057187E">
            <w:pPr>
              <w:rPr>
                <w:sz w:val="18"/>
                <w:szCs w:val="18"/>
                <w:lang w:val="en-GB"/>
              </w:rPr>
            </w:pPr>
            <w:r w:rsidRPr="0057187E">
              <w:rPr>
                <w:sz w:val="18"/>
                <w:szCs w:val="18"/>
                <w:lang w:val="en-GB"/>
              </w:rPr>
              <w:t>1 (5.3%)</w:t>
            </w:r>
          </w:p>
          <w:p w14:paraId="092EC360" w14:textId="77777777" w:rsidR="0057187E" w:rsidRPr="0057187E" w:rsidRDefault="0057187E" w:rsidP="0057187E">
            <w:pPr>
              <w:rPr>
                <w:sz w:val="18"/>
                <w:szCs w:val="18"/>
                <w:lang w:val="en-GB"/>
              </w:rPr>
            </w:pPr>
            <w:r w:rsidRPr="0057187E">
              <w:rPr>
                <w:sz w:val="18"/>
                <w:szCs w:val="18"/>
                <w:lang w:val="en-GB"/>
              </w:rPr>
              <w:t>0</w:t>
            </w:r>
          </w:p>
          <w:p w14:paraId="6209E050" w14:textId="77777777" w:rsidR="0057187E" w:rsidRPr="0057187E" w:rsidRDefault="0057187E" w:rsidP="0057187E">
            <w:pPr>
              <w:rPr>
                <w:sz w:val="18"/>
                <w:szCs w:val="18"/>
                <w:lang w:val="en-GB"/>
              </w:rPr>
            </w:pPr>
            <w:r w:rsidRPr="0057187E">
              <w:rPr>
                <w:sz w:val="18"/>
                <w:szCs w:val="18"/>
                <w:lang w:val="en-GB"/>
              </w:rPr>
              <w:t>0</w:t>
            </w:r>
          </w:p>
          <w:p w14:paraId="2FEF3DDF" w14:textId="77777777" w:rsidR="0057187E" w:rsidRPr="0057187E" w:rsidRDefault="0057187E" w:rsidP="0057187E">
            <w:pPr>
              <w:rPr>
                <w:sz w:val="18"/>
                <w:szCs w:val="18"/>
                <w:lang w:val="en-GB"/>
              </w:rPr>
            </w:pPr>
            <w:r w:rsidRPr="0057187E">
              <w:rPr>
                <w:sz w:val="18"/>
                <w:szCs w:val="18"/>
                <w:lang w:val="en-GB"/>
              </w:rPr>
              <w:t>0</w:t>
            </w:r>
          </w:p>
          <w:p w14:paraId="08256191" w14:textId="77777777" w:rsidR="0057187E" w:rsidRPr="0057187E" w:rsidRDefault="0057187E" w:rsidP="0057187E">
            <w:pPr>
              <w:rPr>
                <w:sz w:val="18"/>
                <w:szCs w:val="18"/>
                <w:lang w:val="en-GB"/>
              </w:rPr>
            </w:pPr>
            <w:r w:rsidRPr="0057187E">
              <w:rPr>
                <w:sz w:val="18"/>
                <w:szCs w:val="18"/>
                <w:lang w:val="en-GB"/>
              </w:rPr>
              <w:t>0</w:t>
            </w:r>
          </w:p>
        </w:tc>
        <w:tc>
          <w:tcPr>
            <w:tcW w:w="1134" w:type="dxa"/>
            <w:shd w:val="clear" w:color="auto" w:fill="FFFFFF" w:themeFill="background1"/>
          </w:tcPr>
          <w:p w14:paraId="1D1CAB14" w14:textId="77777777" w:rsidR="0057187E" w:rsidRPr="0057187E" w:rsidRDefault="0057187E" w:rsidP="0057187E">
            <w:pPr>
              <w:rPr>
                <w:sz w:val="18"/>
                <w:szCs w:val="18"/>
                <w:lang w:val="en-GB"/>
              </w:rPr>
            </w:pPr>
            <w:r w:rsidRPr="0057187E">
              <w:rPr>
                <w:sz w:val="18"/>
                <w:szCs w:val="18"/>
                <w:lang w:val="en-GB"/>
              </w:rPr>
              <w:t>0</w:t>
            </w:r>
          </w:p>
          <w:p w14:paraId="6FDBE8F7" w14:textId="77777777" w:rsidR="0057187E" w:rsidRPr="0057187E" w:rsidRDefault="0057187E" w:rsidP="0057187E">
            <w:pPr>
              <w:rPr>
                <w:sz w:val="18"/>
                <w:szCs w:val="18"/>
                <w:lang w:val="en-GB"/>
              </w:rPr>
            </w:pPr>
            <w:r w:rsidRPr="0057187E">
              <w:rPr>
                <w:sz w:val="18"/>
                <w:szCs w:val="18"/>
                <w:lang w:val="en-GB"/>
              </w:rPr>
              <w:t>0</w:t>
            </w:r>
          </w:p>
          <w:p w14:paraId="62854F9A" w14:textId="77777777" w:rsidR="0057187E" w:rsidRPr="0057187E" w:rsidRDefault="0057187E" w:rsidP="0057187E">
            <w:pPr>
              <w:rPr>
                <w:sz w:val="18"/>
                <w:szCs w:val="18"/>
                <w:lang w:val="en-GB"/>
              </w:rPr>
            </w:pPr>
            <w:r w:rsidRPr="0057187E">
              <w:rPr>
                <w:sz w:val="18"/>
                <w:szCs w:val="18"/>
                <w:lang w:val="en-GB"/>
              </w:rPr>
              <w:t>0</w:t>
            </w:r>
          </w:p>
          <w:p w14:paraId="2F4BBB29" w14:textId="77777777" w:rsidR="0057187E" w:rsidRPr="0057187E" w:rsidRDefault="0057187E" w:rsidP="0057187E">
            <w:pPr>
              <w:rPr>
                <w:sz w:val="18"/>
                <w:szCs w:val="18"/>
                <w:lang w:val="en-GB"/>
              </w:rPr>
            </w:pPr>
            <w:r w:rsidRPr="0057187E">
              <w:rPr>
                <w:sz w:val="18"/>
                <w:szCs w:val="18"/>
                <w:lang w:val="en-GB"/>
              </w:rPr>
              <w:t>0</w:t>
            </w:r>
          </w:p>
          <w:p w14:paraId="0757E32C" w14:textId="77777777" w:rsidR="0057187E" w:rsidRPr="0057187E" w:rsidRDefault="0057187E" w:rsidP="0057187E">
            <w:pPr>
              <w:rPr>
                <w:sz w:val="18"/>
                <w:szCs w:val="18"/>
                <w:lang w:val="en-GB"/>
              </w:rPr>
            </w:pPr>
            <w:r w:rsidRPr="0057187E">
              <w:rPr>
                <w:sz w:val="18"/>
                <w:szCs w:val="18"/>
                <w:lang w:val="en-GB"/>
              </w:rPr>
              <w:t>0</w:t>
            </w:r>
          </w:p>
          <w:p w14:paraId="51B2C934" w14:textId="77777777" w:rsidR="0057187E" w:rsidRPr="0057187E" w:rsidRDefault="0057187E" w:rsidP="0057187E">
            <w:pPr>
              <w:rPr>
                <w:sz w:val="18"/>
                <w:szCs w:val="18"/>
                <w:lang w:val="en-GB"/>
              </w:rPr>
            </w:pPr>
            <w:r w:rsidRPr="0057187E">
              <w:rPr>
                <w:sz w:val="18"/>
                <w:szCs w:val="18"/>
                <w:lang w:val="en-GB"/>
              </w:rPr>
              <w:t>0</w:t>
            </w:r>
          </w:p>
        </w:tc>
        <w:tc>
          <w:tcPr>
            <w:tcW w:w="993" w:type="dxa"/>
            <w:shd w:val="clear" w:color="auto" w:fill="FFFFFF" w:themeFill="background1"/>
          </w:tcPr>
          <w:p w14:paraId="52DDAEE6" w14:textId="77777777" w:rsidR="0057187E" w:rsidRPr="0057187E" w:rsidRDefault="0057187E" w:rsidP="0057187E">
            <w:pPr>
              <w:rPr>
                <w:sz w:val="18"/>
                <w:szCs w:val="18"/>
                <w:lang w:val="en-GB"/>
              </w:rPr>
            </w:pPr>
            <w:r w:rsidRPr="0057187E">
              <w:rPr>
                <w:sz w:val="18"/>
                <w:szCs w:val="18"/>
                <w:lang w:val="en-GB"/>
              </w:rPr>
              <w:t>1 (9.1%)</w:t>
            </w:r>
          </w:p>
          <w:p w14:paraId="1D8B93AF" w14:textId="77777777" w:rsidR="0057187E" w:rsidRPr="0057187E" w:rsidRDefault="0057187E" w:rsidP="0057187E">
            <w:pPr>
              <w:rPr>
                <w:sz w:val="18"/>
                <w:szCs w:val="18"/>
                <w:lang w:val="en-GB"/>
              </w:rPr>
            </w:pPr>
            <w:r w:rsidRPr="0057187E">
              <w:rPr>
                <w:sz w:val="18"/>
                <w:szCs w:val="18"/>
                <w:lang w:val="en-GB"/>
              </w:rPr>
              <w:t>1 (9.1%)</w:t>
            </w:r>
          </w:p>
          <w:p w14:paraId="0EAD6A28" w14:textId="77777777" w:rsidR="0057187E" w:rsidRPr="0057187E" w:rsidRDefault="0057187E" w:rsidP="0057187E">
            <w:pPr>
              <w:rPr>
                <w:sz w:val="18"/>
                <w:szCs w:val="18"/>
                <w:lang w:val="en-GB"/>
              </w:rPr>
            </w:pPr>
            <w:r w:rsidRPr="0057187E">
              <w:rPr>
                <w:sz w:val="18"/>
                <w:szCs w:val="18"/>
                <w:lang w:val="en-GB"/>
              </w:rPr>
              <w:t>0</w:t>
            </w:r>
          </w:p>
          <w:p w14:paraId="2DCE423F" w14:textId="77777777" w:rsidR="0057187E" w:rsidRPr="0057187E" w:rsidRDefault="0057187E" w:rsidP="0057187E">
            <w:pPr>
              <w:rPr>
                <w:sz w:val="18"/>
                <w:szCs w:val="18"/>
                <w:lang w:val="en-GB"/>
              </w:rPr>
            </w:pPr>
            <w:r w:rsidRPr="0057187E">
              <w:rPr>
                <w:sz w:val="18"/>
                <w:szCs w:val="18"/>
                <w:lang w:val="en-GB"/>
              </w:rPr>
              <w:t>0</w:t>
            </w:r>
          </w:p>
          <w:p w14:paraId="5CD029D3" w14:textId="77777777" w:rsidR="0057187E" w:rsidRPr="0057187E" w:rsidRDefault="0057187E" w:rsidP="0057187E">
            <w:pPr>
              <w:rPr>
                <w:sz w:val="18"/>
                <w:szCs w:val="18"/>
                <w:lang w:val="en-GB"/>
              </w:rPr>
            </w:pPr>
            <w:r w:rsidRPr="0057187E">
              <w:rPr>
                <w:sz w:val="18"/>
                <w:szCs w:val="18"/>
                <w:lang w:val="en-GB"/>
              </w:rPr>
              <w:t>0</w:t>
            </w:r>
          </w:p>
          <w:p w14:paraId="38E173AC" w14:textId="77777777" w:rsidR="0057187E" w:rsidRPr="0057187E" w:rsidRDefault="0057187E" w:rsidP="0057187E">
            <w:pPr>
              <w:rPr>
                <w:sz w:val="18"/>
                <w:szCs w:val="18"/>
                <w:lang w:val="en-GB"/>
              </w:rPr>
            </w:pPr>
            <w:r w:rsidRPr="0057187E">
              <w:rPr>
                <w:sz w:val="18"/>
                <w:szCs w:val="18"/>
                <w:lang w:val="en-GB"/>
              </w:rPr>
              <w:t>0</w:t>
            </w:r>
          </w:p>
        </w:tc>
        <w:tc>
          <w:tcPr>
            <w:tcW w:w="1134" w:type="dxa"/>
            <w:shd w:val="clear" w:color="auto" w:fill="FFFFFF" w:themeFill="background1"/>
          </w:tcPr>
          <w:p w14:paraId="3C1F562A" w14:textId="77777777" w:rsidR="0057187E" w:rsidRPr="0057187E" w:rsidRDefault="0057187E" w:rsidP="0057187E">
            <w:pPr>
              <w:rPr>
                <w:sz w:val="18"/>
                <w:szCs w:val="18"/>
                <w:lang w:val="en-GB"/>
              </w:rPr>
            </w:pPr>
            <w:r w:rsidRPr="0057187E">
              <w:rPr>
                <w:sz w:val="18"/>
                <w:szCs w:val="18"/>
                <w:lang w:val="en-GB"/>
              </w:rPr>
              <w:t>0</w:t>
            </w:r>
          </w:p>
          <w:p w14:paraId="19396A71" w14:textId="77777777" w:rsidR="0057187E" w:rsidRPr="0057187E" w:rsidRDefault="0057187E" w:rsidP="0057187E">
            <w:pPr>
              <w:rPr>
                <w:sz w:val="18"/>
                <w:szCs w:val="18"/>
                <w:lang w:val="en-GB"/>
              </w:rPr>
            </w:pPr>
            <w:r w:rsidRPr="0057187E">
              <w:rPr>
                <w:sz w:val="18"/>
                <w:szCs w:val="18"/>
                <w:lang w:val="en-GB"/>
              </w:rPr>
              <w:t>0</w:t>
            </w:r>
          </w:p>
          <w:p w14:paraId="4AB53B14" w14:textId="77777777" w:rsidR="0057187E" w:rsidRPr="0057187E" w:rsidRDefault="0057187E" w:rsidP="0057187E">
            <w:pPr>
              <w:rPr>
                <w:sz w:val="18"/>
                <w:szCs w:val="18"/>
                <w:lang w:val="en-GB"/>
              </w:rPr>
            </w:pPr>
            <w:r w:rsidRPr="0057187E">
              <w:rPr>
                <w:sz w:val="18"/>
                <w:szCs w:val="18"/>
                <w:lang w:val="en-GB"/>
              </w:rPr>
              <w:t>0</w:t>
            </w:r>
          </w:p>
          <w:p w14:paraId="25A859CA" w14:textId="77777777" w:rsidR="0057187E" w:rsidRPr="0057187E" w:rsidRDefault="0057187E" w:rsidP="0057187E">
            <w:pPr>
              <w:rPr>
                <w:sz w:val="18"/>
                <w:szCs w:val="18"/>
                <w:lang w:val="en-GB"/>
              </w:rPr>
            </w:pPr>
            <w:r w:rsidRPr="0057187E">
              <w:rPr>
                <w:sz w:val="18"/>
                <w:szCs w:val="18"/>
                <w:lang w:val="en-GB"/>
              </w:rPr>
              <w:t>0</w:t>
            </w:r>
          </w:p>
          <w:p w14:paraId="468966F6"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p w14:paraId="203FB746" w14:textId="77777777" w:rsidR="0057187E" w:rsidRPr="0057187E" w:rsidRDefault="0057187E" w:rsidP="0057187E">
            <w:pPr>
              <w:rPr>
                <w:sz w:val="18"/>
                <w:szCs w:val="18"/>
                <w:lang w:val="en-GB"/>
              </w:rPr>
            </w:pPr>
            <w:r w:rsidRPr="0057187E">
              <w:rPr>
                <w:sz w:val="18"/>
                <w:szCs w:val="18"/>
                <w:lang w:val="en-GB"/>
              </w:rPr>
              <w:t>0</w:t>
            </w:r>
          </w:p>
        </w:tc>
      </w:tr>
      <w:tr w:rsidR="0057187E" w:rsidRPr="00800B07" w14:paraId="21E9381C" w14:textId="77777777" w:rsidTr="0057187E">
        <w:trPr>
          <w:trHeight w:val="386"/>
        </w:trPr>
        <w:tc>
          <w:tcPr>
            <w:tcW w:w="2127" w:type="dxa"/>
            <w:tcBorders>
              <w:right w:val="single" w:sz="12" w:space="0" w:color="auto"/>
            </w:tcBorders>
            <w:shd w:val="clear" w:color="auto" w:fill="FFFFFF" w:themeFill="background1"/>
          </w:tcPr>
          <w:p w14:paraId="48E094D3" w14:textId="77777777" w:rsidR="0057187E" w:rsidRPr="0057187E" w:rsidRDefault="0057187E" w:rsidP="0057187E">
            <w:pPr>
              <w:rPr>
                <w:sz w:val="18"/>
                <w:szCs w:val="18"/>
                <w:lang w:val="en-GB"/>
              </w:rPr>
            </w:pPr>
            <w:r w:rsidRPr="0057187E">
              <w:rPr>
                <w:sz w:val="18"/>
                <w:szCs w:val="18"/>
                <w:lang w:val="en-GB"/>
              </w:rPr>
              <w:t>Osteopenia/ osteoporosis</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ABA37EB" w14:textId="77777777" w:rsidR="0057187E" w:rsidRPr="0057187E" w:rsidRDefault="0057187E" w:rsidP="0057187E">
            <w:pPr>
              <w:rPr>
                <w:sz w:val="18"/>
                <w:szCs w:val="18"/>
                <w:lang w:val="en-GB"/>
              </w:rPr>
            </w:pPr>
            <w:r w:rsidRPr="0057187E">
              <w:rPr>
                <w:sz w:val="18"/>
                <w:szCs w:val="18"/>
                <w:lang w:val="en-GB"/>
              </w:rPr>
              <w:t>98 (11.7%)</w:t>
            </w:r>
          </w:p>
        </w:tc>
        <w:tc>
          <w:tcPr>
            <w:tcW w:w="1152" w:type="dxa"/>
            <w:tcBorders>
              <w:left w:val="single" w:sz="12" w:space="0" w:color="auto"/>
            </w:tcBorders>
            <w:shd w:val="clear" w:color="auto" w:fill="FFFFFF" w:themeFill="background1"/>
          </w:tcPr>
          <w:p w14:paraId="05002757" w14:textId="77777777" w:rsidR="0057187E" w:rsidRPr="0057187E" w:rsidRDefault="0057187E" w:rsidP="0057187E">
            <w:pPr>
              <w:rPr>
                <w:sz w:val="18"/>
                <w:szCs w:val="18"/>
                <w:lang w:val="en-GB"/>
              </w:rPr>
            </w:pPr>
            <w:r w:rsidRPr="0057187E">
              <w:rPr>
                <w:sz w:val="18"/>
                <w:szCs w:val="18"/>
                <w:lang w:val="en-GB"/>
              </w:rPr>
              <w:t>42(11.3%)</w:t>
            </w:r>
          </w:p>
        </w:tc>
        <w:tc>
          <w:tcPr>
            <w:tcW w:w="1152" w:type="dxa"/>
            <w:shd w:val="clear" w:color="auto" w:fill="FFFFFF" w:themeFill="background1"/>
          </w:tcPr>
          <w:p w14:paraId="71F1D678" w14:textId="77777777" w:rsidR="0057187E" w:rsidRPr="0057187E" w:rsidRDefault="0057187E" w:rsidP="0057187E">
            <w:pPr>
              <w:rPr>
                <w:sz w:val="18"/>
                <w:szCs w:val="18"/>
                <w:lang w:val="en-GB"/>
              </w:rPr>
            </w:pPr>
            <w:r w:rsidRPr="0057187E">
              <w:rPr>
                <w:sz w:val="18"/>
                <w:szCs w:val="18"/>
                <w:lang w:val="en-GB"/>
              </w:rPr>
              <w:t>4(10.8%)</w:t>
            </w:r>
            <w:r w:rsidRPr="0057187E">
              <w:rPr>
                <w:sz w:val="18"/>
                <w:szCs w:val="18"/>
                <w:lang w:val="en-GB"/>
              </w:rPr>
              <w:tab/>
            </w:r>
          </w:p>
        </w:tc>
        <w:tc>
          <w:tcPr>
            <w:tcW w:w="1152" w:type="dxa"/>
            <w:shd w:val="clear" w:color="auto" w:fill="FFFFFF" w:themeFill="background1"/>
          </w:tcPr>
          <w:p w14:paraId="65BDBDB1" w14:textId="77777777" w:rsidR="0057187E" w:rsidRPr="0057187E" w:rsidRDefault="0057187E" w:rsidP="0057187E">
            <w:pPr>
              <w:rPr>
                <w:sz w:val="18"/>
                <w:szCs w:val="18"/>
                <w:lang w:val="en-GB"/>
              </w:rPr>
            </w:pPr>
            <w:r w:rsidRPr="0057187E">
              <w:rPr>
                <w:sz w:val="18"/>
                <w:szCs w:val="18"/>
                <w:lang w:val="en-GB"/>
              </w:rPr>
              <w:t>4(19.1%)</w:t>
            </w:r>
            <w:r w:rsidRPr="0057187E">
              <w:rPr>
                <w:sz w:val="18"/>
                <w:szCs w:val="18"/>
                <w:lang w:val="en-GB"/>
              </w:rPr>
              <w:tab/>
            </w:r>
          </w:p>
        </w:tc>
        <w:tc>
          <w:tcPr>
            <w:tcW w:w="1063" w:type="dxa"/>
            <w:shd w:val="clear" w:color="auto" w:fill="FFFFFF" w:themeFill="background1"/>
          </w:tcPr>
          <w:p w14:paraId="3B231222" w14:textId="77777777" w:rsidR="0057187E" w:rsidRPr="0057187E" w:rsidRDefault="0057187E" w:rsidP="0057187E">
            <w:pPr>
              <w:rPr>
                <w:sz w:val="18"/>
                <w:szCs w:val="18"/>
                <w:lang w:val="en-GB"/>
              </w:rPr>
            </w:pPr>
            <w:r w:rsidRPr="0057187E">
              <w:rPr>
                <w:sz w:val="18"/>
                <w:szCs w:val="18"/>
                <w:lang w:val="en-GB"/>
              </w:rPr>
              <w:t>3(15.8%)</w:t>
            </w:r>
          </w:p>
        </w:tc>
        <w:tc>
          <w:tcPr>
            <w:tcW w:w="1134" w:type="dxa"/>
            <w:shd w:val="clear" w:color="auto" w:fill="FFFFFF" w:themeFill="background1"/>
          </w:tcPr>
          <w:p w14:paraId="4B7B6C3B" w14:textId="77777777" w:rsidR="0057187E" w:rsidRPr="0057187E" w:rsidRDefault="0057187E" w:rsidP="0057187E">
            <w:pPr>
              <w:rPr>
                <w:sz w:val="18"/>
                <w:szCs w:val="18"/>
                <w:lang w:val="en-GB"/>
              </w:rPr>
            </w:pPr>
            <w:r w:rsidRPr="0057187E">
              <w:rPr>
                <w:sz w:val="18"/>
                <w:szCs w:val="18"/>
                <w:lang w:val="en-GB"/>
              </w:rPr>
              <w:t>0</w:t>
            </w:r>
          </w:p>
          <w:p w14:paraId="58F3F105" w14:textId="77777777" w:rsidR="0057187E" w:rsidRPr="0057187E" w:rsidRDefault="0057187E" w:rsidP="0057187E">
            <w:pPr>
              <w:rPr>
                <w:sz w:val="18"/>
                <w:szCs w:val="18"/>
                <w:lang w:val="en-GB"/>
              </w:rPr>
            </w:pPr>
          </w:p>
        </w:tc>
        <w:tc>
          <w:tcPr>
            <w:tcW w:w="993" w:type="dxa"/>
            <w:shd w:val="clear" w:color="auto" w:fill="FFFFFF" w:themeFill="background1"/>
          </w:tcPr>
          <w:p w14:paraId="217221A3" w14:textId="77777777" w:rsidR="0057187E" w:rsidRPr="0057187E" w:rsidRDefault="0057187E" w:rsidP="0057187E">
            <w:pPr>
              <w:rPr>
                <w:sz w:val="18"/>
                <w:szCs w:val="18"/>
                <w:lang w:val="en-GB"/>
              </w:rPr>
            </w:pPr>
            <w:r w:rsidRPr="0057187E">
              <w:rPr>
                <w:sz w:val="18"/>
                <w:szCs w:val="18"/>
                <w:lang w:val="en-GB"/>
              </w:rPr>
              <w:t>1(9.1%)</w:t>
            </w:r>
            <w:r w:rsidRPr="0057187E">
              <w:rPr>
                <w:sz w:val="18"/>
                <w:szCs w:val="18"/>
                <w:lang w:val="en-GB"/>
              </w:rPr>
              <w:tab/>
            </w:r>
          </w:p>
        </w:tc>
        <w:tc>
          <w:tcPr>
            <w:tcW w:w="1134" w:type="dxa"/>
            <w:shd w:val="clear" w:color="auto" w:fill="FFFFFF" w:themeFill="background1"/>
          </w:tcPr>
          <w:p w14:paraId="3281355E" w14:textId="77777777" w:rsidR="0057187E" w:rsidRPr="0057187E" w:rsidRDefault="0057187E" w:rsidP="0057187E">
            <w:pPr>
              <w:rPr>
                <w:sz w:val="18"/>
                <w:szCs w:val="18"/>
                <w:lang w:val="en-GB"/>
              </w:rPr>
            </w:pPr>
            <w:r w:rsidRPr="0057187E">
              <w:rPr>
                <w:sz w:val="18"/>
                <w:szCs w:val="18"/>
                <w:lang w:val="en-GB"/>
              </w:rPr>
              <w:t>1(10.0%)</w:t>
            </w:r>
          </w:p>
        </w:tc>
      </w:tr>
      <w:tr w:rsidR="0057187E" w:rsidRPr="00800B07" w14:paraId="4623E16B" w14:textId="77777777" w:rsidTr="0057187E">
        <w:trPr>
          <w:trHeight w:val="589"/>
        </w:trPr>
        <w:tc>
          <w:tcPr>
            <w:tcW w:w="2127" w:type="dxa"/>
            <w:tcBorders>
              <w:right w:val="single" w:sz="12" w:space="0" w:color="auto"/>
            </w:tcBorders>
            <w:shd w:val="clear" w:color="auto" w:fill="FFFFFF" w:themeFill="background1"/>
          </w:tcPr>
          <w:p w14:paraId="0B1A3F4D" w14:textId="77777777" w:rsidR="0057187E" w:rsidRPr="0057187E" w:rsidRDefault="0057187E" w:rsidP="0057187E">
            <w:pPr>
              <w:rPr>
                <w:sz w:val="18"/>
                <w:szCs w:val="18"/>
                <w:lang w:val="en-GB"/>
              </w:rPr>
            </w:pPr>
            <w:r w:rsidRPr="0057187E">
              <w:rPr>
                <w:sz w:val="18"/>
                <w:szCs w:val="18"/>
                <w:lang w:val="en-GB"/>
              </w:rPr>
              <w:t>Metabolic disorders</w:t>
            </w:r>
          </w:p>
          <w:p w14:paraId="08FB1823" w14:textId="77777777" w:rsidR="0057187E" w:rsidRPr="0057187E" w:rsidRDefault="0057187E" w:rsidP="0057187E">
            <w:pPr>
              <w:numPr>
                <w:ilvl w:val="0"/>
                <w:numId w:val="11"/>
              </w:numPr>
              <w:contextualSpacing/>
              <w:rPr>
                <w:sz w:val="18"/>
                <w:szCs w:val="18"/>
                <w:lang w:val="en-GB"/>
              </w:rPr>
            </w:pPr>
            <w:r w:rsidRPr="0057187E">
              <w:rPr>
                <w:sz w:val="18"/>
                <w:szCs w:val="18"/>
                <w:lang w:val="en-GB"/>
              </w:rPr>
              <w:t>Enteric hyperoxaluria</w:t>
            </w:r>
          </w:p>
          <w:p w14:paraId="23D99BCE" w14:textId="77777777" w:rsidR="0057187E" w:rsidRPr="0057187E" w:rsidRDefault="0057187E" w:rsidP="0057187E">
            <w:pPr>
              <w:numPr>
                <w:ilvl w:val="0"/>
                <w:numId w:val="11"/>
              </w:numPr>
              <w:contextualSpacing/>
              <w:rPr>
                <w:sz w:val="18"/>
                <w:szCs w:val="18"/>
                <w:lang w:val="en-GB"/>
              </w:rPr>
            </w:pPr>
            <w:r w:rsidRPr="0057187E">
              <w:rPr>
                <w:sz w:val="18"/>
                <w:szCs w:val="18"/>
                <w:lang w:val="en-GB"/>
              </w:rPr>
              <w:t>Distal tubular acidosis</w:t>
            </w:r>
          </w:p>
          <w:p w14:paraId="6E3B044D" w14:textId="77777777" w:rsidR="0057187E" w:rsidRPr="0057187E" w:rsidRDefault="0057187E" w:rsidP="0057187E">
            <w:pPr>
              <w:numPr>
                <w:ilvl w:val="0"/>
                <w:numId w:val="11"/>
              </w:numPr>
              <w:contextualSpacing/>
              <w:rPr>
                <w:sz w:val="18"/>
                <w:szCs w:val="18"/>
                <w:lang w:val="en-GB"/>
              </w:rPr>
            </w:pPr>
            <w:r w:rsidRPr="0057187E">
              <w:rPr>
                <w:sz w:val="18"/>
                <w:szCs w:val="18"/>
                <w:lang w:val="en-GB"/>
              </w:rPr>
              <w:t>Hyperparathyroidism</w:t>
            </w:r>
          </w:p>
          <w:p w14:paraId="6920EF56" w14:textId="77777777" w:rsidR="0057187E" w:rsidRPr="0057187E" w:rsidRDefault="0057187E" w:rsidP="0057187E">
            <w:pPr>
              <w:numPr>
                <w:ilvl w:val="0"/>
                <w:numId w:val="11"/>
              </w:numPr>
              <w:contextualSpacing/>
              <w:rPr>
                <w:sz w:val="18"/>
                <w:szCs w:val="18"/>
                <w:lang w:val="en-GB"/>
              </w:rPr>
            </w:pPr>
            <w:r w:rsidRPr="0057187E">
              <w:rPr>
                <w:sz w:val="18"/>
                <w:szCs w:val="18"/>
                <w:lang w:val="en-GB"/>
              </w:rPr>
              <w:t>Cystinuria</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F8AAFB4" w14:textId="77777777" w:rsidR="0057187E" w:rsidRPr="0057187E" w:rsidRDefault="0057187E" w:rsidP="0057187E">
            <w:pPr>
              <w:rPr>
                <w:sz w:val="18"/>
                <w:szCs w:val="18"/>
                <w:lang w:val="en-GB"/>
              </w:rPr>
            </w:pPr>
            <w:r w:rsidRPr="0057187E">
              <w:rPr>
                <w:sz w:val="18"/>
                <w:szCs w:val="18"/>
                <w:lang w:val="en-GB"/>
              </w:rPr>
              <w:t>107 (12.8%)</w:t>
            </w:r>
          </w:p>
          <w:p w14:paraId="768350B9" w14:textId="77777777" w:rsidR="0057187E" w:rsidRPr="0057187E" w:rsidRDefault="0057187E" w:rsidP="0057187E">
            <w:pPr>
              <w:rPr>
                <w:sz w:val="18"/>
                <w:szCs w:val="18"/>
                <w:lang w:val="en-GB"/>
              </w:rPr>
            </w:pPr>
            <w:r w:rsidRPr="0057187E">
              <w:rPr>
                <w:sz w:val="18"/>
                <w:szCs w:val="18"/>
                <w:lang w:val="en-GB"/>
              </w:rPr>
              <w:t>32 (3.8%)</w:t>
            </w:r>
          </w:p>
          <w:p w14:paraId="26BCBC39" w14:textId="77777777" w:rsidR="0057187E" w:rsidRPr="0057187E" w:rsidRDefault="0057187E" w:rsidP="0057187E">
            <w:pPr>
              <w:rPr>
                <w:sz w:val="18"/>
                <w:szCs w:val="18"/>
                <w:lang w:val="en-GB"/>
              </w:rPr>
            </w:pPr>
            <w:r w:rsidRPr="0057187E">
              <w:rPr>
                <w:sz w:val="18"/>
                <w:szCs w:val="18"/>
                <w:lang w:val="en-GB"/>
              </w:rPr>
              <w:t>6 (0.7%)</w:t>
            </w:r>
          </w:p>
          <w:p w14:paraId="318DA9A7" w14:textId="77777777" w:rsidR="0057187E" w:rsidRPr="0057187E" w:rsidRDefault="0057187E" w:rsidP="0057187E">
            <w:pPr>
              <w:rPr>
                <w:sz w:val="18"/>
                <w:szCs w:val="18"/>
                <w:lang w:val="en-GB"/>
              </w:rPr>
            </w:pPr>
            <w:r w:rsidRPr="0057187E">
              <w:rPr>
                <w:sz w:val="18"/>
                <w:szCs w:val="18"/>
                <w:lang w:val="en-GB"/>
              </w:rPr>
              <w:t>42 (5.0%)</w:t>
            </w:r>
          </w:p>
          <w:p w14:paraId="22B2486E" w14:textId="77777777" w:rsidR="0057187E" w:rsidRPr="0057187E" w:rsidRDefault="0057187E" w:rsidP="0057187E">
            <w:pPr>
              <w:rPr>
                <w:sz w:val="18"/>
                <w:szCs w:val="18"/>
                <w:lang w:val="en-GB"/>
              </w:rPr>
            </w:pPr>
            <w:r w:rsidRPr="0057187E">
              <w:rPr>
                <w:sz w:val="18"/>
                <w:szCs w:val="18"/>
                <w:lang w:val="en-GB"/>
              </w:rPr>
              <w:t>26 (3.1%)</w:t>
            </w:r>
          </w:p>
        </w:tc>
        <w:tc>
          <w:tcPr>
            <w:tcW w:w="1152" w:type="dxa"/>
            <w:tcBorders>
              <w:left w:val="single" w:sz="12" w:space="0" w:color="auto"/>
            </w:tcBorders>
            <w:shd w:val="clear" w:color="auto" w:fill="FFFFFF" w:themeFill="background1"/>
          </w:tcPr>
          <w:p w14:paraId="2C9178DB" w14:textId="77777777" w:rsidR="0057187E" w:rsidRPr="0057187E" w:rsidRDefault="0057187E" w:rsidP="0057187E">
            <w:pPr>
              <w:rPr>
                <w:sz w:val="18"/>
                <w:szCs w:val="18"/>
                <w:lang w:val="en-GB"/>
              </w:rPr>
            </w:pPr>
            <w:r w:rsidRPr="0057187E">
              <w:rPr>
                <w:sz w:val="18"/>
                <w:szCs w:val="18"/>
                <w:lang w:val="en-GB"/>
              </w:rPr>
              <w:t>45 (12.2%)</w:t>
            </w:r>
          </w:p>
          <w:p w14:paraId="63D63BAE" w14:textId="77777777" w:rsidR="0057187E" w:rsidRPr="0057187E" w:rsidRDefault="0057187E" w:rsidP="0057187E">
            <w:pPr>
              <w:rPr>
                <w:sz w:val="18"/>
                <w:szCs w:val="18"/>
                <w:lang w:val="en-GB"/>
              </w:rPr>
            </w:pPr>
            <w:r w:rsidRPr="0057187E">
              <w:rPr>
                <w:sz w:val="18"/>
                <w:szCs w:val="18"/>
                <w:lang w:val="en-GB"/>
              </w:rPr>
              <w:t>17 (4.6%)</w:t>
            </w:r>
          </w:p>
          <w:p w14:paraId="2CBC5F0C" w14:textId="77777777" w:rsidR="0057187E" w:rsidRPr="0057187E" w:rsidRDefault="0057187E" w:rsidP="0057187E">
            <w:pPr>
              <w:rPr>
                <w:sz w:val="18"/>
                <w:szCs w:val="18"/>
                <w:lang w:val="en-GB"/>
              </w:rPr>
            </w:pPr>
            <w:r w:rsidRPr="0057187E">
              <w:rPr>
                <w:sz w:val="18"/>
                <w:szCs w:val="18"/>
                <w:lang w:val="en-GB"/>
              </w:rPr>
              <w:t>2 (0.5%)</w:t>
            </w:r>
          </w:p>
          <w:p w14:paraId="51972B39" w14:textId="77777777" w:rsidR="0057187E" w:rsidRPr="0057187E" w:rsidRDefault="0057187E" w:rsidP="0057187E">
            <w:pPr>
              <w:rPr>
                <w:sz w:val="18"/>
                <w:szCs w:val="18"/>
                <w:lang w:val="en-GB"/>
              </w:rPr>
            </w:pPr>
            <w:r w:rsidRPr="0057187E">
              <w:rPr>
                <w:sz w:val="18"/>
                <w:szCs w:val="18"/>
                <w:lang w:val="en-GB"/>
              </w:rPr>
              <w:t>15 (4.1%)</w:t>
            </w:r>
          </w:p>
          <w:p w14:paraId="2F61F7B5" w14:textId="77777777" w:rsidR="0057187E" w:rsidRPr="0057187E" w:rsidRDefault="0057187E" w:rsidP="0057187E">
            <w:pPr>
              <w:rPr>
                <w:sz w:val="18"/>
                <w:szCs w:val="18"/>
                <w:lang w:val="en-GB"/>
              </w:rPr>
            </w:pPr>
            <w:r w:rsidRPr="0057187E">
              <w:rPr>
                <w:sz w:val="18"/>
                <w:szCs w:val="18"/>
                <w:lang w:val="en-GB"/>
              </w:rPr>
              <w:t>11 (3.0%)</w:t>
            </w:r>
          </w:p>
        </w:tc>
        <w:tc>
          <w:tcPr>
            <w:tcW w:w="1152" w:type="dxa"/>
            <w:shd w:val="clear" w:color="auto" w:fill="FFFFFF" w:themeFill="background1"/>
          </w:tcPr>
          <w:p w14:paraId="5C68B7F7" w14:textId="77777777" w:rsidR="0057187E" w:rsidRPr="0057187E" w:rsidRDefault="0057187E" w:rsidP="0057187E">
            <w:pPr>
              <w:rPr>
                <w:sz w:val="18"/>
                <w:szCs w:val="18"/>
                <w:lang w:val="en-GB"/>
              </w:rPr>
            </w:pPr>
            <w:r w:rsidRPr="0057187E">
              <w:rPr>
                <w:sz w:val="18"/>
                <w:szCs w:val="18"/>
                <w:lang w:val="en-GB"/>
              </w:rPr>
              <w:t>3 (8.1%)</w:t>
            </w:r>
          </w:p>
          <w:p w14:paraId="38665712" w14:textId="77777777" w:rsidR="0057187E" w:rsidRPr="0057187E" w:rsidRDefault="0057187E" w:rsidP="0057187E">
            <w:pPr>
              <w:rPr>
                <w:sz w:val="18"/>
                <w:szCs w:val="18"/>
                <w:lang w:val="en-GB"/>
              </w:rPr>
            </w:pPr>
            <w:r w:rsidRPr="0057187E">
              <w:rPr>
                <w:sz w:val="18"/>
                <w:szCs w:val="18"/>
                <w:lang w:val="en-GB"/>
              </w:rPr>
              <w:t>1 (2.7%)</w:t>
            </w:r>
          </w:p>
          <w:p w14:paraId="49272D4C" w14:textId="77777777" w:rsidR="0057187E" w:rsidRPr="0057187E" w:rsidRDefault="0057187E" w:rsidP="0057187E">
            <w:pPr>
              <w:rPr>
                <w:sz w:val="18"/>
                <w:szCs w:val="18"/>
                <w:lang w:val="en-GB"/>
              </w:rPr>
            </w:pPr>
            <w:r w:rsidRPr="0057187E">
              <w:rPr>
                <w:sz w:val="18"/>
                <w:szCs w:val="18"/>
                <w:lang w:val="en-GB"/>
              </w:rPr>
              <w:t>0</w:t>
            </w:r>
          </w:p>
          <w:p w14:paraId="7F019BB1" w14:textId="77777777" w:rsidR="0057187E" w:rsidRPr="0057187E" w:rsidRDefault="0057187E" w:rsidP="0057187E">
            <w:pPr>
              <w:rPr>
                <w:sz w:val="18"/>
                <w:szCs w:val="18"/>
                <w:lang w:val="en-GB"/>
              </w:rPr>
            </w:pPr>
            <w:r w:rsidRPr="0057187E">
              <w:rPr>
                <w:sz w:val="18"/>
                <w:szCs w:val="18"/>
                <w:lang w:val="en-GB"/>
              </w:rPr>
              <w:t>0</w:t>
            </w:r>
          </w:p>
          <w:p w14:paraId="7BBEC265" w14:textId="77777777" w:rsidR="0057187E" w:rsidRPr="0057187E" w:rsidRDefault="0057187E" w:rsidP="0057187E">
            <w:pPr>
              <w:rPr>
                <w:sz w:val="18"/>
                <w:szCs w:val="18"/>
                <w:lang w:val="en-GB"/>
              </w:rPr>
            </w:pPr>
            <w:r w:rsidRPr="0057187E">
              <w:rPr>
                <w:sz w:val="18"/>
                <w:szCs w:val="18"/>
                <w:lang w:val="en-GB"/>
              </w:rPr>
              <w:t>2 (5.4%)</w:t>
            </w:r>
          </w:p>
        </w:tc>
        <w:tc>
          <w:tcPr>
            <w:tcW w:w="1152" w:type="dxa"/>
            <w:shd w:val="clear" w:color="auto" w:fill="FFFFFF" w:themeFill="background1"/>
          </w:tcPr>
          <w:p w14:paraId="60348883" w14:textId="77777777" w:rsidR="0057187E" w:rsidRPr="0057187E" w:rsidRDefault="0057187E" w:rsidP="0057187E">
            <w:pPr>
              <w:rPr>
                <w:sz w:val="18"/>
                <w:szCs w:val="18"/>
                <w:lang w:val="en-GB"/>
              </w:rPr>
            </w:pPr>
            <w:r w:rsidRPr="0057187E">
              <w:rPr>
                <w:sz w:val="18"/>
                <w:szCs w:val="18"/>
                <w:lang w:val="en-GB"/>
              </w:rPr>
              <w:t>1 (4.8%)</w:t>
            </w:r>
          </w:p>
          <w:p w14:paraId="5A65F21D" w14:textId="77777777" w:rsidR="0057187E" w:rsidRPr="0057187E" w:rsidRDefault="0057187E" w:rsidP="0057187E">
            <w:pPr>
              <w:rPr>
                <w:sz w:val="18"/>
                <w:szCs w:val="18"/>
                <w:lang w:val="en-GB"/>
              </w:rPr>
            </w:pPr>
            <w:r w:rsidRPr="0057187E">
              <w:rPr>
                <w:sz w:val="18"/>
                <w:szCs w:val="18"/>
                <w:lang w:val="en-GB"/>
              </w:rPr>
              <w:t>1 (4.8%)</w:t>
            </w:r>
          </w:p>
          <w:p w14:paraId="14062B4A" w14:textId="77777777" w:rsidR="0057187E" w:rsidRPr="0057187E" w:rsidRDefault="0057187E" w:rsidP="0057187E">
            <w:pPr>
              <w:rPr>
                <w:sz w:val="18"/>
                <w:szCs w:val="18"/>
                <w:lang w:val="en-GB"/>
              </w:rPr>
            </w:pPr>
            <w:r w:rsidRPr="0057187E">
              <w:rPr>
                <w:sz w:val="18"/>
                <w:szCs w:val="18"/>
                <w:lang w:val="en-GB"/>
              </w:rPr>
              <w:t>0</w:t>
            </w:r>
          </w:p>
          <w:p w14:paraId="4BB766D0" w14:textId="77777777" w:rsidR="0057187E" w:rsidRPr="0057187E" w:rsidRDefault="0057187E" w:rsidP="0057187E">
            <w:pPr>
              <w:rPr>
                <w:sz w:val="18"/>
                <w:szCs w:val="18"/>
                <w:lang w:val="en-GB"/>
              </w:rPr>
            </w:pPr>
            <w:r w:rsidRPr="0057187E">
              <w:rPr>
                <w:sz w:val="18"/>
                <w:szCs w:val="18"/>
                <w:lang w:val="en-GB"/>
              </w:rPr>
              <w:t>0</w:t>
            </w:r>
          </w:p>
          <w:p w14:paraId="55F0047D" w14:textId="77777777" w:rsidR="0057187E" w:rsidRPr="0057187E" w:rsidRDefault="0057187E" w:rsidP="0057187E">
            <w:pPr>
              <w:rPr>
                <w:sz w:val="18"/>
                <w:szCs w:val="18"/>
                <w:lang w:val="en-GB"/>
              </w:rPr>
            </w:pPr>
            <w:r w:rsidRPr="0057187E">
              <w:rPr>
                <w:sz w:val="18"/>
                <w:szCs w:val="18"/>
                <w:lang w:val="en-GB"/>
              </w:rPr>
              <w:t>0</w:t>
            </w:r>
          </w:p>
        </w:tc>
        <w:tc>
          <w:tcPr>
            <w:tcW w:w="1063" w:type="dxa"/>
            <w:shd w:val="clear" w:color="auto" w:fill="FFFFFF" w:themeFill="background1"/>
          </w:tcPr>
          <w:p w14:paraId="73E921D3" w14:textId="77777777" w:rsidR="0057187E" w:rsidRPr="0057187E" w:rsidRDefault="0057187E" w:rsidP="0057187E">
            <w:pPr>
              <w:rPr>
                <w:sz w:val="18"/>
                <w:szCs w:val="18"/>
                <w:lang w:val="en-GB"/>
              </w:rPr>
            </w:pPr>
            <w:r w:rsidRPr="0057187E">
              <w:rPr>
                <w:sz w:val="18"/>
                <w:szCs w:val="18"/>
                <w:lang w:val="en-GB"/>
              </w:rPr>
              <w:t>4 (21.1%)</w:t>
            </w:r>
          </w:p>
          <w:p w14:paraId="51C38381" w14:textId="77777777" w:rsidR="0057187E" w:rsidRPr="0057187E" w:rsidRDefault="0057187E" w:rsidP="0057187E">
            <w:pPr>
              <w:rPr>
                <w:sz w:val="18"/>
                <w:szCs w:val="18"/>
                <w:lang w:val="en-GB"/>
              </w:rPr>
            </w:pPr>
            <w:r w:rsidRPr="0057187E">
              <w:rPr>
                <w:sz w:val="18"/>
                <w:szCs w:val="18"/>
                <w:lang w:val="en-GB"/>
              </w:rPr>
              <w:t>0</w:t>
            </w:r>
          </w:p>
          <w:p w14:paraId="5498BC69" w14:textId="77777777" w:rsidR="0057187E" w:rsidRPr="0057187E" w:rsidRDefault="0057187E" w:rsidP="0057187E">
            <w:pPr>
              <w:rPr>
                <w:sz w:val="18"/>
                <w:szCs w:val="18"/>
                <w:lang w:val="en-GB"/>
              </w:rPr>
            </w:pPr>
            <w:r w:rsidRPr="0057187E">
              <w:rPr>
                <w:sz w:val="18"/>
                <w:szCs w:val="18"/>
                <w:lang w:val="en-GB"/>
              </w:rPr>
              <w:t>0</w:t>
            </w:r>
          </w:p>
          <w:p w14:paraId="0280EC1A" w14:textId="77777777" w:rsidR="0057187E" w:rsidRPr="0057187E" w:rsidRDefault="0057187E" w:rsidP="0057187E">
            <w:pPr>
              <w:rPr>
                <w:sz w:val="18"/>
                <w:szCs w:val="18"/>
                <w:lang w:val="en-GB"/>
              </w:rPr>
            </w:pPr>
            <w:r w:rsidRPr="0057187E">
              <w:rPr>
                <w:sz w:val="18"/>
                <w:szCs w:val="18"/>
                <w:lang w:val="en-GB"/>
              </w:rPr>
              <w:t>4 (21.1%)</w:t>
            </w:r>
          </w:p>
          <w:p w14:paraId="26EE60C3" w14:textId="77777777" w:rsidR="0057187E" w:rsidRPr="0057187E" w:rsidRDefault="0057187E" w:rsidP="0057187E">
            <w:pPr>
              <w:rPr>
                <w:sz w:val="18"/>
                <w:szCs w:val="18"/>
                <w:lang w:val="en-GB"/>
              </w:rPr>
            </w:pPr>
            <w:r w:rsidRPr="0057187E">
              <w:rPr>
                <w:sz w:val="18"/>
                <w:szCs w:val="18"/>
                <w:lang w:val="en-GB"/>
              </w:rPr>
              <w:t>0</w:t>
            </w:r>
          </w:p>
        </w:tc>
        <w:tc>
          <w:tcPr>
            <w:tcW w:w="1134" w:type="dxa"/>
            <w:shd w:val="clear" w:color="auto" w:fill="FFFFFF" w:themeFill="background1"/>
          </w:tcPr>
          <w:p w14:paraId="2202DEFA" w14:textId="77777777" w:rsidR="0057187E" w:rsidRPr="0057187E" w:rsidRDefault="0057187E" w:rsidP="0057187E">
            <w:pPr>
              <w:rPr>
                <w:sz w:val="18"/>
                <w:szCs w:val="18"/>
                <w:lang w:val="en-GB"/>
              </w:rPr>
            </w:pPr>
            <w:r w:rsidRPr="0057187E">
              <w:rPr>
                <w:sz w:val="18"/>
                <w:szCs w:val="18"/>
                <w:lang w:val="en-GB"/>
              </w:rPr>
              <w:t>1 (7.1%)</w:t>
            </w:r>
          </w:p>
          <w:p w14:paraId="6330E7E6" w14:textId="77777777" w:rsidR="0057187E" w:rsidRPr="0057187E" w:rsidRDefault="0057187E" w:rsidP="0057187E">
            <w:pPr>
              <w:rPr>
                <w:sz w:val="18"/>
                <w:szCs w:val="18"/>
                <w:lang w:val="en-GB"/>
              </w:rPr>
            </w:pPr>
            <w:r w:rsidRPr="0057187E">
              <w:rPr>
                <w:sz w:val="18"/>
                <w:szCs w:val="18"/>
                <w:lang w:val="en-GB"/>
              </w:rPr>
              <w:t>0</w:t>
            </w:r>
          </w:p>
          <w:p w14:paraId="663D3C8B" w14:textId="77777777" w:rsidR="0057187E" w:rsidRPr="0057187E" w:rsidRDefault="0057187E" w:rsidP="0057187E">
            <w:pPr>
              <w:rPr>
                <w:sz w:val="18"/>
                <w:szCs w:val="18"/>
                <w:lang w:val="en-GB"/>
              </w:rPr>
            </w:pPr>
            <w:r w:rsidRPr="0057187E">
              <w:rPr>
                <w:sz w:val="18"/>
                <w:szCs w:val="18"/>
                <w:lang w:val="en-GB"/>
              </w:rPr>
              <w:t>0</w:t>
            </w:r>
          </w:p>
          <w:p w14:paraId="5648801B" w14:textId="77777777" w:rsidR="0057187E" w:rsidRPr="0057187E" w:rsidRDefault="0057187E" w:rsidP="0057187E">
            <w:pPr>
              <w:rPr>
                <w:sz w:val="18"/>
                <w:szCs w:val="18"/>
                <w:lang w:val="en-GB"/>
              </w:rPr>
            </w:pPr>
            <w:r w:rsidRPr="0057187E">
              <w:rPr>
                <w:sz w:val="18"/>
                <w:szCs w:val="18"/>
                <w:lang w:val="en-GB"/>
              </w:rPr>
              <w:t>0</w:t>
            </w:r>
          </w:p>
          <w:p w14:paraId="36675CF5" w14:textId="77777777" w:rsidR="0057187E" w:rsidRPr="0057187E" w:rsidRDefault="0057187E" w:rsidP="0057187E">
            <w:pPr>
              <w:rPr>
                <w:sz w:val="18"/>
                <w:szCs w:val="18"/>
                <w:lang w:val="en-GB"/>
              </w:rPr>
            </w:pPr>
            <w:r w:rsidRPr="0057187E">
              <w:rPr>
                <w:sz w:val="18"/>
                <w:szCs w:val="18"/>
                <w:lang w:val="en-GB"/>
              </w:rPr>
              <w:t>1 (7.1%)</w:t>
            </w:r>
          </w:p>
        </w:tc>
        <w:tc>
          <w:tcPr>
            <w:tcW w:w="993" w:type="dxa"/>
            <w:shd w:val="clear" w:color="auto" w:fill="FFFFFF" w:themeFill="background1"/>
          </w:tcPr>
          <w:p w14:paraId="3665F1FB" w14:textId="77777777" w:rsidR="0057187E" w:rsidRPr="0057187E" w:rsidRDefault="0057187E" w:rsidP="0057187E">
            <w:pPr>
              <w:rPr>
                <w:sz w:val="18"/>
                <w:szCs w:val="18"/>
                <w:lang w:val="en-GB"/>
              </w:rPr>
            </w:pPr>
            <w:r w:rsidRPr="0057187E">
              <w:rPr>
                <w:sz w:val="18"/>
                <w:szCs w:val="18"/>
                <w:lang w:val="en-GB"/>
              </w:rPr>
              <w:t>3 (27.3%)</w:t>
            </w:r>
          </w:p>
          <w:p w14:paraId="0000EEE6" w14:textId="77777777" w:rsidR="0057187E" w:rsidRPr="0057187E" w:rsidRDefault="0057187E" w:rsidP="0057187E">
            <w:pPr>
              <w:rPr>
                <w:sz w:val="18"/>
                <w:szCs w:val="18"/>
                <w:lang w:val="en-GB"/>
              </w:rPr>
            </w:pPr>
            <w:r w:rsidRPr="0057187E">
              <w:rPr>
                <w:sz w:val="18"/>
                <w:szCs w:val="18"/>
                <w:lang w:val="en-GB"/>
              </w:rPr>
              <w:t>0</w:t>
            </w:r>
          </w:p>
          <w:p w14:paraId="3ED99052" w14:textId="77777777" w:rsidR="0057187E" w:rsidRPr="0057187E" w:rsidRDefault="0057187E" w:rsidP="0057187E">
            <w:pPr>
              <w:rPr>
                <w:sz w:val="18"/>
                <w:szCs w:val="18"/>
                <w:lang w:val="en-GB"/>
              </w:rPr>
            </w:pPr>
            <w:r w:rsidRPr="0057187E">
              <w:rPr>
                <w:sz w:val="18"/>
                <w:szCs w:val="18"/>
                <w:lang w:val="en-GB"/>
              </w:rPr>
              <w:t>0</w:t>
            </w:r>
          </w:p>
          <w:p w14:paraId="3B827E6B" w14:textId="77777777" w:rsidR="0057187E" w:rsidRPr="0057187E" w:rsidRDefault="0057187E" w:rsidP="0057187E">
            <w:pPr>
              <w:rPr>
                <w:sz w:val="18"/>
                <w:szCs w:val="18"/>
                <w:lang w:val="en-GB"/>
              </w:rPr>
            </w:pPr>
            <w:r w:rsidRPr="0057187E">
              <w:rPr>
                <w:sz w:val="18"/>
                <w:szCs w:val="18"/>
                <w:lang w:val="en-GB"/>
              </w:rPr>
              <w:t>2 (18.2%)</w:t>
            </w:r>
          </w:p>
          <w:p w14:paraId="1838B454" w14:textId="77777777" w:rsidR="0057187E" w:rsidRPr="0057187E" w:rsidRDefault="0057187E" w:rsidP="0057187E">
            <w:pPr>
              <w:rPr>
                <w:sz w:val="18"/>
                <w:szCs w:val="18"/>
                <w:lang w:val="en-GB"/>
              </w:rPr>
            </w:pPr>
            <w:r w:rsidRPr="0057187E">
              <w:rPr>
                <w:sz w:val="18"/>
                <w:szCs w:val="18"/>
                <w:lang w:val="en-GB"/>
              </w:rPr>
              <w:t>1 (9.1%)</w:t>
            </w:r>
          </w:p>
          <w:p w14:paraId="526AABBE" w14:textId="77777777" w:rsidR="0057187E" w:rsidRPr="0057187E" w:rsidRDefault="0057187E" w:rsidP="0057187E">
            <w:pPr>
              <w:rPr>
                <w:sz w:val="18"/>
                <w:szCs w:val="18"/>
                <w:lang w:val="en-GB"/>
              </w:rPr>
            </w:pPr>
            <w:r w:rsidRPr="0057187E">
              <w:rPr>
                <w:sz w:val="18"/>
                <w:szCs w:val="18"/>
                <w:lang w:val="en-GB"/>
              </w:rPr>
              <w:tab/>
            </w:r>
          </w:p>
        </w:tc>
        <w:tc>
          <w:tcPr>
            <w:tcW w:w="1134" w:type="dxa"/>
            <w:shd w:val="clear" w:color="auto" w:fill="FFFFFF" w:themeFill="background1"/>
          </w:tcPr>
          <w:p w14:paraId="614B7ED3" w14:textId="77777777" w:rsidR="0057187E" w:rsidRPr="0057187E" w:rsidRDefault="0057187E" w:rsidP="0057187E">
            <w:pPr>
              <w:rPr>
                <w:sz w:val="18"/>
                <w:szCs w:val="18"/>
                <w:lang w:val="en-GB"/>
              </w:rPr>
            </w:pPr>
            <w:r w:rsidRPr="0057187E">
              <w:rPr>
                <w:sz w:val="18"/>
                <w:szCs w:val="18"/>
                <w:lang w:val="en-GB"/>
              </w:rPr>
              <w:t>3 (30.0%)</w:t>
            </w:r>
          </w:p>
          <w:p w14:paraId="284D4696" w14:textId="77777777" w:rsidR="0057187E" w:rsidRPr="0057187E" w:rsidRDefault="0057187E" w:rsidP="0057187E">
            <w:pPr>
              <w:rPr>
                <w:sz w:val="18"/>
                <w:szCs w:val="18"/>
                <w:lang w:val="en-GB"/>
              </w:rPr>
            </w:pPr>
            <w:r w:rsidRPr="0057187E">
              <w:rPr>
                <w:sz w:val="18"/>
                <w:szCs w:val="18"/>
                <w:lang w:val="en-GB"/>
              </w:rPr>
              <w:t>0</w:t>
            </w:r>
          </w:p>
          <w:p w14:paraId="3799AB7B" w14:textId="77777777" w:rsidR="0057187E" w:rsidRPr="0057187E" w:rsidRDefault="0057187E" w:rsidP="0057187E">
            <w:pPr>
              <w:rPr>
                <w:sz w:val="18"/>
                <w:szCs w:val="18"/>
                <w:lang w:val="en-GB"/>
              </w:rPr>
            </w:pPr>
            <w:r w:rsidRPr="0057187E">
              <w:rPr>
                <w:sz w:val="18"/>
                <w:szCs w:val="18"/>
                <w:lang w:val="en-GB"/>
              </w:rPr>
              <w:t>0</w:t>
            </w:r>
          </w:p>
          <w:p w14:paraId="1D544FFF" w14:textId="77777777" w:rsidR="0057187E" w:rsidRPr="0057187E" w:rsidRDefault="0057187E" w:rsidP="0057187E">
            <w:pPr>
              <w:rPr>
                <w:sz w:val="18"/>
                <w:szCs w:val="18"/>
                <w:lang w:val="en-GB"/>
              </w:rPr>
            </w:pPr>
            <w:r w:rsidRPr="0057187E">
              <w:rPr>
                <w:sz w:val="18"/>
                <w:szCs w:val="18"/>
                <w:lang w:val="en-GB"/>
              </w:rPr>
              <w:t>3 (30.0%)</w:t>
            </w:r>
          </w:p>
          <w:p w14:paraId="468DB9F6" w14:textId="77777777" w:rsidR="0057187E" w:rsidRPr="0057187E" w:rsidRDefault="0057187E" w:rsidP="0057187E">
            <w:pPr>
              <w:rPr>
                <w:sz w:val="18"/>
                <w:szCs w:val="18"/>
                <w:lang w:val="en-GB"/>
              </w:rPr>
            </w:pPr>
            <w:r w:rsidRPr="0057187E">
              <w:rPr>
                <w:sz w:val="18"/>
                <w:szCs w:val="18"/>
                <w:lang w:val="en-GB"/>
              </w:rPr>
              <w:t>0</w:t>
            </w:r>
          </w:p>
        </w:tc>
      </w:tr>
      <w:tr w:rsidR="0057187E" w:rsidRPr="00800B07" w14:paraId="41BE24C9" w14:textId="77777777" w:rsidTr="0057187E">
        <w:trPr>
          <w:trHeight w:val="386"/>
        </w:trPr>
        <w:tc>
          <w:tcPr>
            <w:tcW w:w="2127" w:type="dxa"/>
            <w:tcBorders>
              <w:right w:val="single" w:sz="12" w:space="0" w:color="auto"/>
            </w:tcBorders>
            <w:shd w:val="clear" w:color="auto" w:fill="FFFFFF" w:themeFill="background1"/>
          </w:tcPr>
          <w:p w14:paraId="698B918C" w14:textId="77777777" w:rsidR="0057187E" w:rsidRPr="0057187E" w:rsidRDefault="0057187E" w:rsidP="0057187E">
            <w:pPr>
              <w:rPr>
                <w:sz w:val="18"/>
                <w:szCs w:val="18"/>
                <w:lang w:val="en-GB"/>
              </w:rPr>
            </w:pPr>
            <w:r w:rsidRPr="0057187E">
              <w:rPr>
                <w:sz w:val="18"/>
                <w:szCs w:val="18"/>
                <w:lang w:val="en-GB"/>
              </w:rPr>
              <w:t>Nephrocalcinosis</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A5B933C" w14:textId="77777777" w:rsidR="0057187E" w:rsidRPr="0057187E" w:rsidRDefault="0057187E" w:rsidP="0057187E">
            <w:pPr>
              <w:rPr>
                <w:sz w:val="18"/>
                <w:szCs w:val="18"/>
                <w:lang w:val="en-GB"/>
              </w:rPr>
            </w:pPr>
            <w:r w:rsidRPr="0057187E">
              <w:rPr>
                <w:sz w:val="18"/>
                <w:szCs w:val="18"/>
                <w:lang w:val="en-GB"/>
              </w:rPr>
              <w:t>30 (3.6%)</w:t>
            </w:r>
          </w:p>
        </w:tc>
        <w:tc>
          <w:tcPr>
            <w:tcW w:w="1152" w:type="dxa"/>
            <w:tcBorders>
              <w:left w:val="single" w:sz="12" w:space="0" w:color="auto"/>
            </w:tcBorders>
            <w:shd w:val="clear" w:color="auto" w:fill="FFFFFF" w:themeFill="background1"/>
          </w:tcPr>
          <w:p w14:paraId="162C2371" w14:textId="77777777" w:rsidR="0057187E" w:rsidRPr="0057187E" w:rsidRDefault="0057187E" w:rsidP="0057187E">
            <w:pPr>
              <w:rPr>
                <w:sz w:val="18"/>
                <w:szCs w:val="18"/>
                <w:lang w:val="en-GB"/>
              </w:rPr>
            </w:pPr>
            <w:r w:rsidRPr="0057187E">
              <w:rPr>
                <w:sz w:val="18"/>
                <w:szCs w:val="18"/>
                <w:lang w:val="en-GB"/>
              </w:rPr>
              <w:t>13 (3.5%)</w:t>
            </w:r>
            <w:r w:rsidRPr="0057187E">
              <w:rPr>
                <w:sz w:val="18"/>
                <w:szCs w:val="18"/>
                <w:lang w:val="en-GB"/>
              </w:rPr>
              <w:tab/>
            </w:r>
          </w:p>
        </w:tc>
        <w:tc>
          <w:tcPr>
            <w:tcW w:w="1152" w:type="dxa"/>
            <w:shd w:val="clear" w:color="auto" w:fill="FFFFFF" w:themeFill="background1"/>
          </w:tcPr>
          <w:p w14:paraId="365853D5" w14:textId="77777777" w:rsidR="0057187E" w:rsidRPr="0057187E" w:rsidRDefault="0057187E" w:rsidP="0057187E">
            <w:pPr>
              <w:rPr>
                <w:sz w:val="18"/>
                <w:szCs w:val="18"/>
                <w:lang w:val="en-GB"/>
              </w:rPr>
            </w:pPr>
            <w:r w:rsidRPr="0057187E">
              <w:rPr>
                <w:sz w:val="18"/>
                <w:szCs w:val="18"/>
                <w:lang w:val="en-GB"/>
              </w:rPr>
              <w:t>0</w:t>
            </w:r>
          </w:p>
        </w:tc>
        <w:tc>
          <w:tcPr>
            <w:tcW w:w="1152" w:type="dxa"/>
            <w:shd w:val="clear" w:color="auto" w:fill="FFFFFF" w:themeFill="background1"/>
          </w:tcPr>
          <w:p w14:paraId="7594EB8A" w14:textId="77777777" w:rsidR="0057187E" w:rsidRPr="0057187E" w:rsidRDefault="0057187E" w:rsidP="0057187E">
            <w:pPr>
              <w:rPr>
                <w:sz w:val="18"/>
                <w:szCs w:val="18"/>
                <w:lang w:val="en-GB"/>
              </w:rPr>
            </w:pPr>
            <w:r w:rsidRPr="0057187E">
              <w:rPr>
                <w:sz w:val="18"/>
                <w:szCs w:val="18"/>
                <w:lang w:val="en-GB"/>
              </w:rPr>
              <w:t>1(4.8%)</w:t>
            </w:r>
            <w:r w:rsidRPr="0057187E">
              <w:rPr>
                <w:sz w:val="18"/>
                <w:szCs w:val="18"/>
                <w:lang w:val="en-GB"/>
              </w:rPr>
              <w:tab/>
            </w:r>
          </w:p>
        </w:tc>
        <w:tc>
          <w:tcPr>
            <w:tcW w:w="1063" w:type="dxa"/>
            <w:shd w:val="clear" w:color="auto" w:fill="FFFFFF" w:themeFill="background1"/>
          </w:tcPr>
          <w:p w14:paraId="6D1D132D"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tc>
        <w:tc>
          <w:tcPr>
            <w:tcW w:w="1134" w:type="dxa"/>
            <w:shd w:val="clear" w:color="auto" w:fill="FFFFFF" w:themeFill="background1"/>
          </w:tcPr>
          <w:p w14:paraId="0F75A3E8"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tc>
        <w:tc>
          <w:tcPr>
            <w:tcW w:w="993" w:type="dxa"/>
            <w:shd w:val="clear" w:color="auto" w:fill="FFFFFF" w:themeFill="background1"/>
          </w:tcPr>
          <w:p w14:paraId="2F1DA6D1"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tc>
        <w:tc>
          <w:tcPr>
            <w:tcW w:w="1134" w:type="dxa"/>
            <w:shd w:val="clear" w:color="auto" w:fill="FFFFFF" w:themeFill="background1"/>
          </w:tcPr>
          <w:p w14:paraId="1F9567DC"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tc>
      </w:tr>
      <w:tr w:rsidR="0057187E" w:rsidRPr="00800B07" w14:paraId="5FF00DDA" w14:textId="77777777" w:rsidTr="0057187E">
        <w:trPr>
          <w:trHeight w:val="386"/>
        </w:trPr>
        <w:tc>
          <w:tcPr>
            <w:tcW w:w="2127" w:type="dxa"/>
            <w:tcBorders>
              <w:right w:val="single" w:sz="12" w:space="0" w:color="auto"/>
            </w:tcBorders>
            <w:shd w:val="clear" w:color="auto" w:fill="FFFFFF" w:themeFill="background1"/>
          </w:tcPr>
          <w:p w14:paraId="3695FFE6" w14:textId="77777777" w:rsidR="0057187E" w:rsidRPr="0057187E" w:rsidRDefault="0057187E" w:rsidP="0057187E">
            <w:pPr>
              <w:rPr>
                <w:sz w:val="18"/>
                <w:szCs w:val="18"/>
                <w:lang w:val="en-GB"/>
              </w:rPr>
            </w:pPr>
            <w:r w:rsidRPr="0057187E">
              <w:rPr>
                <w:sz w:val="18"/>
                <w:szCs w:val="18"/>
                <w:lang w:val="en-GB"/>
              </w:rPr>
              <w:t>MSK</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386DBF8" w14:textId="77777777" w:rsidR="0057187E" w:rsidRPr="0057187E" w:rsidRDefault="0057187E" w:rsidP="0057187E">
            <w:pPr>
              <w:rPr>
                <w:sz w:val="18"/>
                <w:szCs w:val="18"/>
                <w:lang w:val="en-GB"/>
              </w:rPr>
            </w:pPr>
            <w:r w:rsidRPr="0057187E">
              <w:rPr>
                <w:sz w:val="18"/>
                <w:szCs w:val="18"/>
                <w:lang w:val="en-GB"/>
              </w:rPr>
              <w:t>17 (2.0%)</w:t>
            </w:r>
          </w:p>
        </w:tc>
        <w:tc>
          <w:tcPr>
            <w:tcW w:w="1152" w:type="dxa"/>
            <w:tcBorders>
              <w:left w:val="single" w:sz="12" w:space="0" w:color="auto"/>
            </w:tcBorders>
            <w:shd w:val="clear" w:color="auto" w:fill="FFFFFF" w:themeFill="background1"/>
          </w:tcPr>
          <w:p w14:paraId="57B18286" w14:textId="77777777" w:rsidR="0057187E" w:rsidRPr="0057187E" w:rsidRDefault="0057187E" w:rsidP="0057187E">
            <w:pPr>
              <w:rPr>
                <w:sz w:val="18"/>
                <w:szCs w:val="18"/>
                <w:lang w:val="en-GB"/>
              </w:rPr>
            </w:pPr>
            <w:r w:rsidRPr="0057187E">
              <w:rPr>
                <w:sz w:val="18"/>
                <w:szCs w:val="18"/>
                <w:lang w:val="en-GB"/>
              </w:rPr>
              <w:t>9 (2.4%)</w:t>
            </w:r>
          </w:p>
        </w:tc>
        <w:tc>
          <w:tcPr>
            <w:tcW w:w="1152" w:type="dxa"/>
            <w:shd w:val="clear" w:color="auto" w:fill="FFFFFF" w:themeFill="background1"/>
          </w:tcPr>
          <w:p w14:paraId="4FE928D1"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tc>
        <w:tc>
          <w:tcPr>
            <w:tcW w:w="1152" w:type="dxa"/>
            <w:shd w:val="clear" w:color="auto" w:fill="FFFFFF" w:themeFill="background1"/>
          </w:tcPr>
          <w:p w14:paraId="3ECFC779"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tc>
        <w:tc>
          <w:tcPr>
            <w:tcW w:w="1063" w:type="dxa"/>
            <w:shd w:val="clear" w:color="auto" w:fill="FFFFFF" w:themeFill="background1"/>
          </w:tcPr>
          <w:p w14:paraId="442435DD" w14:textId="77777777" w:rsidR="0057187E" w:rsidRPr="0057187E" w:rsidRDefault="0057187E" w:rsidP="0057187E">
            <w:pPr>
              <w:rPr>
                <w:sz w:val="18"/>
                <w:szCs w:val="18"/>
                <w:lang w:val="en-GB"/>
              </w:rPr>
            </w:pPr>
            <w:r w:rsidRPr="0057187E">
              <w:rPr>
                <w:sz w:val="18"/>
                <w:szCs w:val="18"/>
                <w:lang w:val="en-GB"/>
              </w:rPr>
              <w:t>0</w:t>
            </w:r>
            <w:r w:rsidRPr="0057187E">
              <w:rPr>
                <w:sz w:val="18"/>
                <w:szCs w:val="18"/>
                <w:lang w:val="en-GB"/>
              </w:rPr>
              <w:tab/>
            </w:r>
          </w:p>
        </w:tc>
        <w:tc>
          <w:tcPr>
            <w:tcW w:w="1134" w:type="dxa"/>
            <w:shd w:val="clear" w:color="auto" w:fill="FFFFFF" w:themeFill="background1"/>
          </w:tcPr>
          <w:p w14:paraId="3C332F02" w14:textId="77777777" w:rsidR="0057187E" w:rsidRPr="0057187E" w:rsidRDefault="0057187E" w:rsidP="0057187E">
            <w:pPr>
              <w:rPr>
                <w:sz w:val="18"/>
                <w:szCs w:val="18"/>
                <w:lang w:val="en-GB"/>
              </w:rPr>
            </w:pPr>
            <w:r w:rsidRPr="0057187E">
              <w:rPr>
                <w:sz w:val="18"/>
                <w:szCs w:val="18"/>
                <w:lang w:val="en-GB"/>
              </w:rPr>
              <w:t>0</w:t>
            </w:r>
          </w:p>
        </w:tc>
        <w:tc>
          <w:tcPr>
            <w:tcW w:w="993" w:type="dxa"/>
            <w:shd w:val="clear" w:color="auto" w:fill="FFFFFF" w:themeFill="background1"/>
          </w:tcPr>
          <w:p w14:paraId="129F43C2" w14:textId="77777777" w:rsidR="0057187E" w:rsidRPr="0057187E" w:rsidRDefault="0057187E" w:rsidP="0057187E">
            <w:pPr>
              <w:rPr>
                <w:sz w:val="18"/>
                <w:szCs w:val="18"/>
                <w:lang w:val="en-GB"/>
              </w:rPr>
            </w:pPr>
            <w:r w:rsidRPr="0057187E">
              <w:rPr>
                <w:sz w:val="18"/>
                <w:szCs w:val="18"/>
                <w:lang w:val="en-GB"/>
              </w:rPr>
              <w:t>0</w:t>
            </w:r>
          </w:p>
        </w:tc>
        <w:tc>
          <w:tcPr>
            <w:tcW w:w="1134" w:type="dxa"/>
            <w:shd w:val="clear" w:color="auto" w:fill="FFFFFF" w:themeFill="background1"/>
          </w:tcPr>
          <w:p w14:paraId="02F72FC3" w14:textId="77777777" w:rsidR="0057187E" w:rsidRPr="0057187E" w:rsidRDefault="0057187E" w:rsidP="0057187E">
            <w:pPr>
              <w:rPr>
                <w:sz w:val="18"/>
                <w:szCs w:val="18"/>
                <w:lang w:val="en-GB"/>
              </w:rPr>
            </w:pPr>
            <w:r w:rsidRPr="0057187E">
              <w:rPr>
                <w:sz w:val="18"/>
                <w:szCs w:val="18"/>
                <w:lang w:val="en-GB"/>
              </w:rPr>
              <w:t>0</w:t>
            </w:r>
          </w:p>
        </w:tc>
      </w:tr>
      <w:tr w:rsidR="0057187E" w:rsidRPr="00800B07" w14:paraId="3AF1C79D" w14:textId="77777777" w:rsidTr="0057187E">
        <w:trPr>
          <w:trHeight w:val="386"/>
        </w:trPr>
        <w:tc>
          <w:tcPr>
            <w:tcW w:w="2127" w:type="dxa"/>
            <w:tcBorders>
              <w:right w:val="single" w:sz="12" w:space="0" w:color="auto"/>
            </w:tcBorders>
            <w:shd w:val="clear" w:color="auto" w:fill="FFFFFF" w:themeFill="background1"/>
          </w:tcPr>
          <w:p w14:paraId="17503F03" w14:textId="77777777" w:rsidR="0057187E" w:rsidRPr="0057187E" w:rsidRDefault="0057187E" w:rsidP="0057187E">
            <w:pPr>
              <w:rPr>
                <w:sz w:val="18"/>
                <w:szCs w:val="18"/>
                <w:lang w:val="en-GB"/>
              </w:rPr>
            </w:pPr>
            <w:r w:rsidRPr="0057187E">
              <w:rPr>
                <w:sz w:val="18"/>
                <w:szCs w:val="18"/>
                <w:lang w:val="en-GB"/>
              </w:rPr>
              <w:t>Dent’s disease</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C8E2642" w14:textId="77777777" w:rsidR="0057187E" w:rsidRPr="0057187E" w:rsidRDefault="0057187E" w:rsidP="0057187E">
            <w:pPr>
              <w:rPr>
                <w:sz w:val="18"/>
                <w:szCs w:val="18"/>
                <w:lang w:val="en-GB"/>
              </w:rPr>
            </w:pPr>
            <w:r w:rsidRPr="0057187E">
              <w:rPr>
                <w:sz w:val="18"/>
                <w:szCs w:val="18"/>
                <w:lang w:val="en-GB"/>
              </w:rPr>
              <w:t>1 (0.1%)</w:t>
            </w:r>
          </w:p>
        </w:tc>
        <w:tc>
          <w:tcPr>
            <w:tcW w:w="1152" w:type="dxa"/>
            <w:tcBorders>
              <w:left w:val="single" w:sz="12" w:space="0" w:color="auto"/>
            </w:tcBorders>
            <w:shd w:val="clear" w:color="auto" w:fill="FFFFFF" w:themeFill="background1"/>
          </w:tcPr>
          <w:p w14:paraId="745EBFD0" w14:textId="77777777" w:rsidR="0057187E" w:rsidRPr="0057187E" w:rsidRDefault="0057187E" w:rsidP="0057187E">
            <w:pPr>
              <w:rPr>
                <w:sz w:val="18"/>
                <w:szCs w:val="18"/>
                <w:lang w:val="en-GB"/>
              </w:rPr>
            </w:pPr>
            <w:r w:rsidRPr="0057187E">
              <w:rPr>
                <w:sz w:val="18"/>
                <w:szCs w:val="18"/>
                <w:lang w:val="en-GB"/>
              </w:rPr>
              <w:t>0</w:t>
            </w:r>
          </w:p>
        </w:tc>
        <w:tc>
          <w:tcPr>
            <w:tcW w:w="1152" w:type="dxa"/>
            <w:shd w:val="clear" w:color="auto" w:fill="FFFFFF" w:themeFill="background1"/>
          </w:tcPr>
          <w:p w14:paraId="71F188EB" w14:textId="77777777" w:rsidR="0057187E" w:rsidRPr="0057187E" w:rsidRDefault="0057187E" w:rsidP="0057187E">
            <w:pPr>
              <w:rPr>
                <w:sz w:val="18"/>
                <w:szCs w:val="18"/>
                <w:lang w:val="en-GB"/>
              </w:rPr>
            </w:pPr>
            <w:r w:rsidRPr="0057187E">
              <w:rPr>
                <w:sz w:val="18"/>
                <w:szCs w:val="18"/>
                <w:lang w:val="en-GB"/>
              </w:rPr>
              <w:t>0</w:t>
            </w:r>
          </w:p>
        </w:tc>
        <w:tc>
          <w:tcPr>
            <w:tcW w:w="1152" w:type="dxa"/>
            <w:shd w:val="clear" w:color="auto" w:fill="FFFFFF" w:themeFill="background1"/>
          </w:tcPr>
          <w:p w14:paraId="5A1E9109" w14:textId="77777777" w:rsidR="0057187E" w:rsidRPr="0057187E" w:rsidRDefault="0057187E" w:rsidP="0057187E">
            <w:pPr>
              <w:rPr>
                <w:sz w:val="18"/>
                <w:szCs w:val="18"/>
                <w:lang w:val="en-GB"/>
              </w:rPr>
            </w:pPr>
            <w:r w:rsidRPr="0057187E">
              <w:rPr>
                <w:sz w:val="18"/>
                <w:szCs w:val="18"/>
                <w:lang w:val="en-GB"/>
              </w:rPr>
              <w:t>0</w:t>
            </w:r>
          </w:p>
        </w:tc>
        <w:tc>
          <w:tcPr>
            <w:tcW w:w="1063" w:type="dxa"/>
            <w:shd w:val="clear" w:color="auto" w:fill="FFFFFF" w:themeFill="background1"/>
          </w:tcPr>
          <w:p w14:paraId="61AEF53D" w14:textId="77777777" w:rsidR="0057187E" w:rsidRPr="0057187E" w:rsidRDefault="0057187E" w:rsidP="0057187E">
            <w:pPr>
              <w:rPr>
                <w:sz w:val="18"/>
                <w:szCs w:val="18"/>
                <w:lang w:val="en-GB"/>
              </w:rPr>
            </w:pPr>
            <w:r w:rsidRPr="0057187E">
              <w:rPr>
                <w:sz w:val="18"/>
                <w:szCs w:val="18"/>
                <w:lang w:val="en-GB"/>
              </w:rPr>
              <w:t>0</w:t>
            </w:r>
          </w:p>
        </w:tc>
        <w:tc>
          <w:tcPr>
            <w:tcW w:w="1134" w:type="dxa"/>
            <w:shd w:val="clear" w:color="auto" w:fill="FFFFFF" w:themeFill="background1"/>
          </w:tcPr>
          <w:p w14:paraId="1002FF61" w14:textId="77777777" w:rsidR="0057187E" w:rsidRPr="0057187E" w:rsidRDefault="0057187E" w:rsidP="0057187E">
            <w:pPr>
              <w:rPr>
                <w:sz w:val="18"/>
                <w:szCs w:val="18"/>
                <w:lang w:val="en-GB"/>
              </w:rPr>
            </w:pPr>
            <w:r w:rsidRPr="0057187E">
              <w:rPr>
                <w:sz w:val="18"/>
                <w:szCs w:val="18"/>
                <w:lang w:val="en-GB"/>
              </w:rPr>
              <w:t>0</w:t>
            </w:r>
          </w:p>
        </w:tc>
        <w:tc>
          <w:tcPr>
            <w:tcW w:w="993" w:type="dxa"/>
            <w:shd w:val="clear" w:color="auto" w:fill="FFFFFF" w:themeFill="background1"/>
          </w:tcPr>
          <w:p w14:paraId="5E0BD406" w14:textId="77777777" w:rsidR="0057187E" w:rsidRPr="0057187E" w:rsidRDefault="0057187E" w:rsidP="0057187E">
            <w:pPr>
              <w:rPr>
                <w:sz w:val="18"/>
                <w:szCs w:val="18"/>
                <w:lang w:val="en-GB"/>
              </w:rPr>
            </w:pPr>
            <w:r w:rsidRPr="0057187E">
              <w:rPr>
                <w:sz w:val="18"/>
                <w:szCs w:val="18"/>
                <w:lang w:val="en-GB"/>
              </w:rPr>
              <w:t>1 (9.1%)</w:t>
            </w:r>
          </w:p>
        </w:tc>
        <w:tc>
          <w:tcPr>
            <w:tcW w:w="1134" w:type="dxa"/>
            <w:shd w:val="clear" w:color="auto" w:fill="FFFFFF" w:themeFill="background1"/>
          </w:tcPr>
          <w:p w14:paraId="06D1D555" w14:textId="77777777" w:rsidR="0057187E" w:rsidRPr="0057187E" w:rsidRDefault="0057187E" w:rsidP="0057187E">
            <w:pPr>
              <w:rPr>
                <w:sz w:val="18"/>
                <w:szCs w:val="18"/>
                <w:lang w:val="en-GB"/>
              </w:rPr>
            </w:pPr>
            <w:r w:rsidRPr="0057187E">
              <w:rPr>
                <w:sz w:val="18"/>
                <w:szCs w:val="18"/>
                <w:lang w:val="en-GB"/>
              </w:rPr>
              <w:t>0</w:t>
            </w:r>
          </w:p>
        </w:tc>
      </w:tr>
      <w:tr w:rsidR="0057187E" w:rsidRPr="00800B07" w14:paraId="06833750" w14:textId="77777777" w:rsidTr="0057187E">
        <w:trPr>
          <w:trHeight w:val="386"/>
        </w:trPr>
        <w:tc>
          <w:tcPr>
            <w:tcW w:w="2127" w:type="dxa"/>
            <w:tcBorders>
              <w:right w:val="single" w:sz="12" w:space="0" w:color="auto"/>
            </w:tcBorders>
            <w:shd w:val="clear" w:color="auto" w:fill="FFFFFF" w:themeFill="background1"/>
          </w:tcPr>
          <w:p w14:paraId="6883B28A" w14:textId="77777777" w:rsidR="0057187E" w:rsidRPr="0057187E" w:rsidRDefault="0057187E" w:rsidP="0057187E">
            <w:pPr>
              <w:rPr>
                <w:sz w:val="18"/>
                <w:szCs w:val="18"/>
                <w:lang w:val="en-GB"/>
              </w:rPr>
            </w:pPr>
            <w:r w:rsidRPr="0057187E">
              <w:rPr>
                <w:sz w:val="18"/>
                <w:szCs w:val="18"/>
                <w:lang w:val="en-GB"/>
              </w:rPr>
              <w:t>Radiotherapy small pelvis</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F65568A" w14:textId="77777777" w:rsidR="0057187E" w:rsidRPr="0057187E" w:rsidRDefault="0057187E" w:rsidP="0057187E">
            <w:pPr>
              <w:rPr>
                <w:sz w:val="18"/>
                <w:szCs w:val="18"/>
                <w:lang w:val="en-GB"/>
              </w:rPr>
            </w:pPr>
            <w:r w:rsidRPr="0057187E">
              <w:rPr>
                <w:sz w:val="18"/>
                <w:szCs w:val="18"/>
                <w:lang w:val="en-GB"/>
              </w:rPr>
              <w:t>1 (0.1%)</w:t>
            </w:r>
          </w:p>
        </w:tc>
        <w:tc>
          <w:tcPr>
            <w:tcW w:w="1152" w:type="dxa"/>
            <w:tcBorders>
              <w:left w:val="single" w:sz="12" w:space="0" w:color="auto"/>
            </w:tcBorders>
            <w:shd w:val="clear" w:color="auto" w:fill="FFFFFF" w:themeFill="background1"/>
          </w:tcPr>
          <w:p w14:paraId="0DB5B005" w14:textId="77777777" w:rsidR="0057187E" w:rsidRPr="0057187E" w:rsidRDefault="0057187E" w:rsidP="0057187E">
            <w:pPr>
              <w:rPr>
                <w:sz w:val="18"/>
                <w:szCs w:val="18"/>
                <w:lang w:val="en-GB"/>
              </w:rPr>
            </w:pPr>
            <w:r w:rsidRPr="0057187E">
              <w:rPr>
                <w:sz w:val="18"/>
                <w:szCs w:val="18"/>
                <w:lang w:val="en-GB"/>
              </w:rPr>
              <w:t>0</w:t>
            </w:r>
          </w:p>
        </w:tc>
        <w:tc>
          <w:tcPr>
            <w:tcW w:w="1152" w:type="dxa"/>
            <w:shd w:val="clear" w:color="auto" w:fill="FFFFFF" w:themeFill="background1"/>
          </w:tcPr>
          <w:p w14:paraId="0E2E7906" w14:textId="77777777" w:rsidR="0057187E" w:rsidRPr="0057187E" w:rsidRDefault="0057187E" w:rsidP="0057187E">
            <w:pPr>
              <w:rPr>
                <w:sz w:val="18"/>
                <w:szCs w:val="18"/>
                <w:lang w:val="en-GB"/>
              </w:rPr>
            </w:pPr>
            <w:r w:rsidRPr="0057187E">
              <w:rPr>
                <w:sz w:val="18"/>
                <w:szCs w:val="18"/>
                <w:lang w:val="en-GB"/>
              </w:rPr>
              <w:t>0</w:t>
            </w:r>
          </w:p>
        </w:tc>
        <w:tc>
          <w:tcPr>
            <w:tcW w:w="1152" w:type="dxa"/>
            <w:shd w:val="clear" w:color="auto" w:fill="FFFFFF" w:themeFill="background1"/>
          </w:tcPr>
          <w:p w14:paraId="27E5A06A" w14:textId="77777777" w:rsidR="0057187E" w:rsidRPr="0057187E" w:rsidRDefault="0057187E" w:rsidP="0057187E">
            <w:pPr>
              <w:rPr>
                <w:sz w:val="18"/>
                <w:szCs w:val="18"/>
                <w:lang w:val="en-GB"/>
              </w:rPr>
            </w:pPr>
            <w:r w:rsidRPr="0057187E">
              <w:rPr>
                <w:sz w:val="18"/>
                <w:szCs w:val="18"/>
                <w:lang w:val="en-GB"/>
              </w:rPr>
              <w:t>0</w:t>
            </w:r>
          </w:p>
        </w:tc>
        <w:tc>
          <w:tcPr>
            <w:tcW w:w="1063" w:type="dxa"/>
            <w:shd w:val="clear" w:color="auto" w:fill="FFFFFF" w:themeFill="background1"/>
          </w:tcPr>
          <w:p w14:paraId="2F47D60E" w14:textId="77777777" w:rsidR="0057187E" w:rsidRPr="0057187E" w:rsidRDefault="0057187E" w:rsidP="0057187E">
            <w:pPr>
              <w:rPr>
                <w:sz w:val="18"/>
                <w:szCs w:val="18"/>
                <w:lang w:val="en-GB"/>
              </w:rPr>
            </w:pPr>
            <w:r w:rsidRPr="0057187E">
              <w:rPr>
                <w:sz w:val="18"/>
                <w:szCs w:val="18"/>
                <w:lang w:val="en-GB"/>
              </w:rPr>
              <w:t>0</w:t>
            </w:r>
          </w:p>
        </w:tc>
        <w:tc>
          <w:tcPr>
            <w:tcW w:w="1134" w:type="dxa"/>
            <w:shd w:val="clear" w:color="auto" w:fill="FFFFFF" w:themeFill="background1"/>
          </w:tcPr>
          <w:p w14:paraId="71EB9EDD" w14:textId="77777777" w:rsidR="0057187E" w:rsidRPr="0057187E" w:rsidRDefault="0057187E" w:rsidP="0057187E">
            <w:pPr>
              <w:rPr>
                <w:sz w:val="18"/>
                <w:szCs w:val="18"/>
                <w:lang w:val="en-GB"/>
              </w:rPr>
            </w:pPr>
            <w:r w:rsidRPr="0057187E">
              <w:rPr>
                <w:sz w:val="18"/>
                <w:szCs w:val="18"/>
                <w:lang w:val="en-GB"/>
              </w:rPr>
              <w:t>0</w:t>
            </w:r>
          </w:p>
        </w:tc>
        <w:tc>
          <w:tcPr>
            <w:tcW w:w="993" w:type="dxa"/>
            <w:shd w:val="clear" w:color="auto" w:fill="FFFFFF" w:themeFill="background1"/>
          </w:tcPr>
          <w:p w14:paraId="773A84EF" w14:textId="77777777" w:rsidR="0057187E" w:rsidRPr="0057187E" w:rsidRDefault="0057187E" w:rsidP="0057187E">
            <w:pPr>
              <w:rPr>
                <w:sz w:val="18"/>
                <w:szCs w:val="18"/>
                <w:lang w:val="en-GB"/>
              </w:rPr>
            </w:pPr>
            <w:r w:rsidRPr="0057187E">
              <w:rPr>
                <w:sz w:val="18"/>
                <w:szCs w:val="18"/>
                <w:lang w:val="en-GB"/>
              </w:rPr>
              <w:t>0</w:t>
            </w:r>
          </w:p>
        </w:tc>
        <w:tc>
          <w:tcPr>
            <w:tcW w:w="1134" w:type="dxa"/>
            <w:shd w:val="clear" w:color="auto" w:fill="FFFFFF" w:themeFill="background1"/>
          </w:tcPr>
          <w:p w14:paraId="1B0AC062" w14:textId="77777777" w:rsidR="0057187E" w:rsidRPr="0057187E" w:rsidRDefault="0057187E" w:rsidP="0057187E">
            <w:pPr>
              <w:rPr>
                <w:sz w:val="18"/>
                <w:szCs w:val="18"/>
                <w:lang w:val="en-GB"/>
              </w:rPr>
            </w:pPr>
            <w:r w:rsidRPr="0057187E">
              <w:rPr>
                <w:sz w:val="18"/>
                <w:szCs w:val="18"/>
                <w:lang w:val="en-GB"/>
              </w:rPr>
              <w:t>0</w:t>
            </w:r>
          </w:p>
        </w:tc>
      </w:tr>
      <w:tr w:rsidR="0057187E" w:rsidRPr="00800B07" w14:paraId="4C710DFD" w14:textId="77777777" w:rsidTr="0057187E">
        <w:trPr>
          <w:trHeight w:val="386"/>
        </w:trPr>
        <w:tc>
          <w:tcPr>
            <w:tcW w:w="2127" w:type="dxa"/>
            <w:tcBorders>
              <w:right w:val="single" w:sz="12" w:space="0" w:color="auto"/>
            </w:tcBorders>
            <w:shd w:val="clear" w:color="auto" w:fill="FFFFFF" w:themeFill="background1"/>
          </w:tcPr>
          <w:p w14:paraId="72EDA504" w14:textId="77777777" w:rsidR="0057187E" w:rsidRPr="0057187E" w:rsidRDefault="0057187E" w:rsidP="0057187E">
            <w:pPr>
              <w:rPr>
                <w:sz w:val="18"/>
                <w:szCs w:val="18"/>
                <w:lang w:val="en-GB"/>
              </w:rPr>
            </w:pPr>
            <w:r w:rsidRPr="0057187E">
              <w:rPr>
                <w:sz w:val="18"/>
                <w:szCs w:val="18"/>
                <w:lang w:val="en-GB"/>
              </w:rPr>
              <w:t xml:space="preserve">Tetraparesis </w:t>
            </w:r>
          </w:p>
        </w:tc>
        <w:tc>
          <w:tcPr>
            <w:tcW w:w="115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1E08A0F" w14:textId="77777777" w:rsidR="0057187E" w:rsidRPr="0057187E" w:rsidRDefault="0057187E" w:rsidP="0057187E">
            <w:pPr>
              <w:rPr>
                <w:sz w:val="18"/>
                <w:szCs w:val="18"/>
                <w:lang w:val="en-GB"/>
              </w:rPr>
            </w:pPr>
            <w:r w:rsidRPr="0057187E">
              <w:rPr>
                <w:sz w:val="18"/>
                <w:szCs w:val="18"/>
                <w:lang w:val="en-GB"/>
              </w:rPr>
              <w:t>1 (0.1%)</w:t>
            </w:r>
          </w:p>
        </w:tc>
        <w:tc>
          <w:tcPr>
            <w:tcW w:w="1152" w:type="dxa"/>
            <w:tcBorders>
              <w:left w:val="single" w:sz="12" w:space="0" w:color="auto"/>
            </w:tcBorders>
            <w:shd w:val="clear" w:color="auto" w:fill="FFFFFF" w:themeFill="background1"/>
          </w:tcPr>
          <w:p w14:paraId="3E1D21D0" w14:textId="77777777" w:rsidR="0057187E" w:rsidRPr="0057187E" w:rsidRDefault="0057187E" w:rsidP="0057187E">
            <w:pPr>
              <w:rPr>
                <w:sz w:val="18"/>
                <w:szCs w:val="18"/>
                <w:lang w:val="en-GB"/>
              </w:rPr>
            </w:pPr>
            <w:r w:rsidRPr="0057187E">
              <w:rPr>
                <w:sz w:val="18"/>
                <w:szCs w:val="18"/>
                <w:lang w:val="en-GB"/>
              </w:rPr>
              <w:t>0</w:t>
            </w:r>
          </w:p>
        </w:tc>
        <w:tc>
          <w:tcPr>
            <w:tcW w:w="1152" w:type="dxa"/>
            <w:shd w:val="clear" w:color="auto" w:fill="FFFFFF" w:themeFill="background1"/>
          </w:tcPr>
          <w:p w14:paraId="7EA70386" w14:textId="77777777" w:rsidR="0057187E" w:rsidRPr="0057187E" w:rsidRDefault="0057187E" w:rsidP="0057187E">
            <w:pPr>
              <w:rPr>
                <w:sz w:val="18"/>
                <w:szCs w:val="18"/>
                <w:lang w:val="en-GB"/>
              </w:rPr>
            </w:pPr>
            <w:r w:rsidRPr="0057187E">
              <w:rPr>
                <w:sz w:val="18"/>
                <w:szCs w:val="18"/>
                <w:lang w:val="en-GB"/>
              </w:rPr>
              <w:t>0</w:t>
            </w:r>
          </w:p>
        </w:tc>
        <w:tc>
          <w:tcPr>
            <w:tcW w:w="1152" w:type="dxa"/>
            <w:shd w:val="clear" w:color="auto" w:fill="FFFFFF" w:themeFill="background1"/>
          </w:tcPr>
          <w:p w14:paraId="683F1926" w14:textId="77777777" w:rsidR="0057187E" w:rsidRPr="0057187E" w:rsidRDefault="0057187E" w:rsidP="0057187E">
            <w:pPr>
              <w:rPr>
                <w:sz w:val="18"/>
                <w:szCs w:val="18"/>
                <w:lang w:val="en-GB"/>
              </w:rPr>
            </w:pPr>
            <w:r w:rsidRPr="0057187E">
              <w:rPr>
                <w:sz w:val="18"/>
                <w:szCs w:val="18"/>
                <w:lang w:val="en-GB"/>
              </w:rPr>
              <w:t>0</w:t>
            </w:r>
          </w:p>
        </w:tc>
        <w:tc>
          <w:tcPr>
            <w:tcW w:w="1063" w:type="dxa"/>
            <w:shd w:val="clear" w:color="auto" w:fill="FFFFFF" w:themeFill="background1"/>
          </w:tcPr>
          <w:p w14:paraId="57B4AF2E" w14:textId="77777777" w:rsidR="0057187E" w:rsidRPr="0057187E" w:rsidRDefault="0057187E" w:rsidP="0057187E">
            <w:pPr>
              <w:rPr>
                <w:sz w:val="18"/>
                <w:szCs w:val="18"/>
                <w:lang w:val="en-GB"/>
              </w:rPr>
            </w:pPr>
            <w:r w:rsidRPr="0057187E">
              <w:rPr>
                <w:sz w:val="18"/>
                <w:szCs w:val="18"/>
                <w:lang w:val="en-GB"/>
              </w:rPr>
              <w:t>0</w:t>
            </w:r>
          </w:p>
        </w:tc>
        <w:tc>
          <w:tcPr>
            <w:tcW w:w="1134" w:type="dxa"/>
            <w:shd w:val="clear" w:color="auto" w:fill="FFFFFF" w:themeFill="background1"/>
          </w:tcPr>
          <w:p w14:paraId="49B15286" w14:textId="77777777" w:rsidR="0057187E" w:rsidRPr="0057187E" w:rsidRDefault="0057187E" w:rsidP="0057187E">
            <w:pPr>
              <w:rPr>
                <w:sz w:val="18"/>
                <w:szCs w:val="18"/>
                <w:lang w:val="en-GB"/>
              </w:rPr>
            </w:pPr>
            <w:r w:rsidRPr="0057187E">
              <w:rPr>
                <w:sz w:val="18"/>
                <w:szCs w:val="18"/>
                <w:lang w:val="en-GB"/>
              </w:rPr>
              <w:t>0</w:t>
            </w:r>
          </w:p>
        </w:tc>
        <w:tc>
          <w:tcPr>
            <w:tcW w:w="993" w:type="dxa"/>
            <w:shd w:val="clear" w:color="auto" w:fill="FFFFFF" w:themeFill="background1"/>
          </w:tcPr>
          <w:p w14:paraId="32B7BE37" w14:textId="77777777" w:rsidR="0057187E" w:rsidRPr="0057187E" w:rsidRDefault="0057187E" w:rsidP="0057187E">
            <w:pPr>
              <w:rPr>
                <w:sz w:val="18"/>
                <w:szCs w:val="18"/>
                <w:lang w:val="en-GB"/>
              </w:rPr>
            </w:pPr>
            <w:r w:rsidRPr="0057187E">
              <w:rPr>
                <w:sz w:val="18"/>
                <w:szCs w:val="18"/>
                <w:lang w:val="en-GB"/>
              </w:rPr>
              <w:t>0</w:t>
            </w:r>
          </w:p>
        </w:tc>
        <w:tc>
          <w:tcPr>
            <w:tcW w:w="1134" w:type="dxa"/>
            <w:shd w:val="clear" w:color="auto" w:fill="FFFFFF" w:themeFill="background1"/>
          </w:tcPr>
          <w:p w14:paraId="4E090E29" w14:textId="77777777" w:rsidR="0057187E" w:rsidRPr="0057187E" w:rsidRDefault="0057187E" w:rsidP="0057187E">
            <w:pPr>
              <w:rPr>
                <w:sz w:val="18"/>
                <w:szCs w:val="18"/>
                <w:lang w:val="en-GB"/>
              </w:rPr>
            </w:pPr>
            <w:r w:rsidRPr="0057187E">
              <w:rPr>
                <w:sz w:val="18"/>
                <w:szCs w:val="18"/>
                <w:lang w:val="en-GB"/>
              </w:rPr>
              <w:t>0</w:t>
            </w:r>
          </w:p>
        </w:tc>
      </w:tr>
    </w:tbl>
    <w:p w14:paraId="28328D9C" w14:textId="77777777" w:rsidR="0057187E" w:rsidRDefault="0057187E" w:rsidP="0057187E">
      <w:pPr>
        <w:rPr>
          <w:sz w:val="18"/>
          <w:szCs w:val="18"/>
          <w:u w:val="single"/>
          <w:lang w:val="en-GB"/>
        </w:rPr>
      </w:pPr>
    </w:p>
    <w:p w14:paraId="224D0B85" w14:textId="77777777" w:rsidR="0057187E" w:rsidRDefault="0057187E" w:rsidP="005769F3">
      <w:pPr>
        <w:spacing w:line="480" w:lineRule="auto"/>
        <w:jc w:val="both"/>
        <w:rPr>
          <w:lang w:val="en-GB"/>
        </w:rPr>
      </w:pPr>
    </w:p>
    <w:p w14:paraId="3AB2906A" w14:textId="77777777" w:rsidR="00540A95" w:rsidRDefault="00540A95" w:rsidP="005769F3">
      <w:pPr>
        <w:spacing w:line="480" w:lineRule="auto"/>
        <w:jc w:val="both"/>
        <w:rPr>
          <w:lang w:val="en-GB"/>
        </w:rPr>
      </w:pPr>
    </w:p>
    <w:p w14:paraId="5BF6E2BB" w14:textId="1700AD8E" w:rsidR="001B324E" w:rsidRPr="00545712" w:rsidRDefault="00545712" w:rsidP="00CC6FA2">
      <w:pPr>
        <w:pStyle w:val="Kop2"/>
        <w:numPr>
          <w:ilvl w:val="0"/>
          <w:numId w:val="4"/>
        </w:numPr>
        <w:spacing w:line="480" w:lineRule="auto"/>
        <w:rPr>
          <w:lang w:val="en-GB"/>
        </w:rPr>
      </w:pPr>
      <w:bookmarkStart w:id="89" w:name="_Toc67932868"/>
      <w:bookmarkStart w:id="90" w:name="_Toc68333378"/>
      <w:bookmarkStart w:id="91" w:name="_Toc70238566"/>
      <w:r w:rsidRPr="00545712">
        <w:rPr>
          <w:lang w:val="en-GB"/>
        </w:rPr>
        <w:lastRenderedPageBreak/>
        <w:t>PRE-TREATMENT FINDINGS</w:t>
      </w:r>
      <w:bookmarkEnd w:id="89"/>
      <w:bookmarkEnd w:id="90"/>
      <w:bookmarkEnd w:id="91"/>
    </w:p>
    <w:p w14:paraId="500B7245" w14:textId="262C4170" w:rsidR="00A9561E" w:rsidRPr="00A9561E" w:rsidRDefault="00A9561E" w:rsidP="00CC6FA2">
      <w:pPr>
        <w:pStyle w:val="Kop3"/>
        <w:numPr>
          <w:ilvl w:val="1"/>
          <w:numId w:val="8"/>
        </w:numPr>
        <w:spacing w:line="480" w:lineRule="auto"/>
        <w:rPr>
          <w:lang w:val="en-GB"/>
        </w:rPr>
      </w:pPr>
      <w:bookmarkStart w:id="92" w:name="_Toc68163868"/>
      <w:bookmarkStart w:id="93" w:name="_Toc68333379"/>
      <w:bookmarkStart w:id="94" w:name="_Toc68704053"/>
      <w:bookmarkStart w:id="95" w:name="_Toc70154216"/>
      <w:bookmarkStart w:id="96" w:name="_Toc70238567"/>
      <w:r w:rsidRPr="003B71CF">
        <w:rPr>
          <w:lang w:val="en-GB"/>
        </w:rPr>
        <w:t>Urinary risk factors at baseline</w:t>
      </w:r>
      <w:bookmarkEnd w:id="92"/>
      <w:bookmarkEnd w:id="93"/>
      <w:bookmarkEnd w:id="94"/>
      <w:bookmarkEnd w:id="95"/>
      <w:bookmarkEnd w:id="96"/>
    </w:p>
    <w:p w14:paraId="03A8C3D7" w14:textId="7887E86F" w:rsidR="00A9561E" w:rsidRDefault="00A9561E" w:rsidP="005769F3">
      <w:pPr>
        <w:spacing w:line="480" w:lineRule="auto"/>
        <w:jc w:val="both"/>
        <w:rPr>
          <w:lang w:val="en-GB"/>
        </w:rPr>
      </w:pPr>
      <w:r>
        <w:rPr>
          <w:lang w:val="en-GB"/>
        </w:rPr>
        <w:t>All patients performed initial 24-hour urine analysis.</w:t>
      </w:r>
    </w:p>
    <w:p w14:paraId="188CAE4A" w14:textId="54F3F374" w:rsidR="00A9561E" w:rsidRDefault="00A9561E" w:rsidP="005769F3">
      <w:pPr>
        <w:spacing w:line="480" w:lineRule="auto"/>
        <w:jc w:val="both"/>
        <w:rPr>
          <w:lang w:val="en-GB"/>
        </w:rPr>
      </w:pPr>
      <w:r w:rsidRPr="004677A9">
        <w:rPr>
          <w:lang w:val="en-GB"/>
        </w:rPr>
        <w:t xml:space="preserve">Table </w:t>
      </w:r>
      <w:r w:rsidR="00DD0388">
        <w:rPr>
          <w:lang w:val="en-GB"/>
        </w:rPr>
        <w:t>6</w:t>
      </w:r>
      <w:r w:rsidRPr="004677A9">
        <w:rPr>
          <w:lang w:val="en-GB"/>
        </w:rPr>
        <w:t xml:space="preserve"> demonstrates the</w:t>
      </w:r>
      <w:r w:rsidR="000473C0">
        <w:rPr>
          <w:lang w:val="en-GB"/>
        </w:rPr>
        <w:t xml:space="preserve"> results of the metabolic evaluation and the presence of</w:t>
      </w:r>
      <w:r w:rsidRPr="004677A9">
        <w:rPr>
          <w:lang w:val="en-GB"/>
        </w:rPr>
        <w:t xml:space="preserve"> urinary risk factors found at baseline</w:t>
      </w:r>
      <w:r w:rsidR="000473C0">
        <w:rPr>
          <w:lang w:val="en-GB"/>
        </w:rPr>
        <w:t xml:space="preserve"> evaluation</w:t>
      </w:r>
      <w:r w:rsidR="008272AD">
        <w:rPr>
          <w:lang w:val="en-GB"/>
        </w:rPr>
        <w:t>. On</w:t>
      </w:r>
      <w:r w:rsidRPr="004677A9">
        <w:rPr>
          <w:lang w:val="en-GB"/>
        </w:rPr>
        <w:t>ly 1</w:t>
      </w:r>
      <w:r w:rsidR="009767B7">
        <w:rPr>
          <w:lang w:val="en-GB"/>
        </w:rPr>
        <w:t>3</w:t>
      </w:r>
      <w:r w:rsidRPr="004677A9">
        <w:rPr>
          <w:lang w:val="en-GB"/>
        </w:rPr>
        <w:t xml:space="preserve"> patients (</w:t>
      </w:r>
      <w:r w:rsidR="009767B7">
        <w:rPr>
          <w:lang w:val="en-GB"/>
        </w:rPr>
        <w:t>1</w:t>
      </w:r>
      <w:r w:rsidR="000610BD">
        <w:rPr>
          <w:lang w:val="en-GB"/>
        </w:rPr>
        <w:t>.</w:t>
      </w:r>
      <w:r w:rsidR="009767B7">
        <w:rPr>
          <w:lang w:val="en-GB"/>
        </w:rPr>
        <w:t>6</w:t>
      </w:r>
      <w:r w:rsidRPr="004677A9">
        <w:rPr>
          <w:lang w:val="en-GB"/>
        </w:rPr>
        <w:t>%) had no urinary risk factors</w:t>
      </w:r>
      <w:r w:rsidR="00CE347C" w:rsidRPr="004677A9">
        <w:rPr>
          <w:lang w:val="en-GB"/>
        </w:rPr>
        <w:t>.</w:t>
      </w:r>
      <w:r w:rsidRPr="004677A9">
        <w:rPr>
          <w:lang w:val="en-GB"/>
        </w:rPr>
        <w:t xml:space="preserve"> </w:t>
      </w:r>
    </w:p>
    <w:p w14:paraId="0B52F8D7" w14:textId="549E3A87" w:rsidR="001D0191" w:rsidRPr="004677A9" w:rsidRDefault="001D0191" w:rsidP="005769F3">
      <w:pPr>
        <w:spacing w:line="480" w:lineRule="auto"/>
        <w:jc w:val="both"/>
        <w:rPr>
          <w:lang w:val="en-GB"/>
        </w:rPr>
      </w:pPr>
      <w:r>
        <w:rPr>
          <w:lang w:val="en-GB"/>
        </w:rPr>
        <w:t>The</w:t>
      </w:r>
      <w:r w:rsidR="00416079">
        <w:rPr>
          <w:lang w:val="en-GB"/>
        </w:rPr>
        <w:t xml:space="preserve"> observed</w:t>
      </w:r>
      <w:r>
        <w:rPr>
          <w:lang w:val="en-GB"/>
        </w:rPr>
        <w:t xml:space="preserve"> mean urinary oxalate excretion was 43</w:t>
      </w:r>
      <w:r w:rsidR="000610BD">
        <w:rPr>
          <w:lang w:val="en-GB"/>
        </w:rPr>
        <w:t>.</w:t>
      </w:r>
      <w:r>
        <w:rPr>
          <w:lang w:val="en-GB"/>
        </w:rPr>
        <w:t>0</w:t>
      </w:r>
      <w:r w:rsidR="008E57B3" w:rsidRPr="00492A64">
        <w:rPr>
          <w:lang w:val="en-GB"/>
        </w:rPr>
        <w:sym w:font="Symbol" w:char="F0B1"/>
      </w:r>
      <w:r w:rsidR="008E57B3" w:rsidRPr="00492A64">
        <w:rPr>
          <w:lang w:val="en-GB"/>
        </w:rPr>
        <w:t>18</w:t>
      </w:r>
      <w:r w:rsidR="000610BD">
        <w:rPr>
          <w:lang w:val="en-GB"/>
        </w:rPr>
        <w:t>.</w:t>
      </w:r>
      <w:r w:rsidR="008E57B3" w:rsidRPr="00492A64">
        <w:rPr>
          <w:lang w:val="en-GB"/>
        </w:rPr>
        <w:t>4</w:t>
      </w:r>
      <w:r w:rsidR="008E57B3">
        <w:rPr>
          <w:lang w:val="en-GB"/>
        </w:rPr>
        <w:t xml:space="preserve"> </w:t>
      </w:r>
      <w:r>
        <w:rPr>
          <w:lang w:val="en-GB"/>
        </w:rPr>
        <w:t>mg</w:t>
      </w:r>
      <w:r w:rsidR="00E83820">
        <w:rPr>
          <w:lang w:val="en-GB"/>
        </w:rPr>
        <w:t xml:space="preserve"> per</w:t>
      </w:r>
      <w:r w:rsidR="00DF1697">
        <w:rPr>
          <w:lang w:val="en-GB"/>
        </w:rPr>
        <w:t xml:space="preserve"> </w:t>
      </w:r>
      <w:r>
        <w:rPr>
          <w:lang w:val="en-GB"/>
        </w:rPr>
        <w:t>24 hours</w:t>
      </w:r>
      <w:r w:rsidR="00416079">
        <w:rPr>
          <w:lang w:val="en-GB"/>
        </w:rPr>
        <w:t>,</w:t>
      </w:r>
      <w:r>
        <w:rPr>
          <w:lang w:val="en-GB"/>
        </w:rPr>
        <w:t xml:space="preserve"> the mean urinary calcium excretion </w:t>
      </w:r>
      <w:r w:rsidR="000E1937">
        <w:rPr>
          <w:lang w:val="en-GB"/>
        </w:rPr>
        <w:t>5</w:t>
      </w:r>
      <w:r w:rsidR="000610BD">
        <w:rPr>
          <w:lang w:val="en-GB"/>
        </w:rPr>
        <w:t>.</w:t>
      </w:r>
      <w:r w:rsidR="000E1937">
        <w:rPr>
          <w:lang w:val="en-GB"/>
        </w:rPr>
        <w:t>5</w:t>
      </w:r>
      <w:r w:rsidR="008E57B3" w:rsidRPr="0090583B">
        <w:rPr>
          <w:lang w:val="en-GB"/>
        </w:rPr>
        <w:sym w:font="Symbol" w:char="F0B1"/>
      </w:r>
      <w:r w:rsidR="008E57B3" w:rsidRPr="008E57B3">
        <w:rPr>
          <w:lang w:val="en-GB"/>
        </w:rPr>
        <w:t>5</w:t>
      </w:r>
      <w:r w:rsidR="000610BD">
        <w:rPr>
          <w:lang w:val="en-GB"/>
        </w:rPr>
        <w:t>.</w:t>
      </w:r>
      <w:r w:rsidR="008E57B3">
        <w:rPr>
          <w:lang w:val="en-GB"/>
        </w:rPr>
        <w:t xml:space="preserve">5 </w:t>
      </w:r>
      <w:r>
        <w:rPr>
          <w:lang w:val="en-GB"/>
        </w:rPr>
        <w:t>mmol</w:t>
      </w:r>
      <w:r w:rsidR="00E83820">
        <w:rPr>
          <w:lang w:val="en-GB"/>
        </w:rPr>
        <w:t xml:space="preserve"> per </w:t>
      </w:r>
      <w:r>
        <w:rPr>
          <w:lang w:val="en-GB"/>
        </w:rPr>
        <w:t>24 hours</w:t>
      </w:r>
      <w:r w:rsidR="00416079">
        <w:rPr>
          <w:lang w:val="en-GB"/>
        </w:rPr>
        <w:t xml:space="preserve"> and </w:t>
      </w:r>
      <w:r>
        <w:rPr>
          <w:lang w:val="en-GB"/>
        </w:rPr>
        <w:t>the mean urinary phosphate excretion 31</w:t>
      </w:r>
      <w:r w:rsidR="000610BD">
        <w:rPr>
          <w:lang w:val="en-GB"/>
        </w:rPr>
        <w:t>.</w:t>
      </w:r>
      <w:r>
        <w:rPr>
          <w:lang w:val="en-GB"/>
        </w:rPr>
        <w:t>5</w:t>
      </w:r>
      <w:r w:rsidR="008E57B3" w:rsidRPr="0090583B">
        <w:rPr>
          <w:lang w:val="en-GB"/>
        </w:rPr>
        <w:sym w:font="Symbol" w:char="F0B1"/>
      </w:r>
      <w:r w:rsidR="008E57B3" w:rsidRPr="008E57B3">
        <w:rPr>
          <w:lang w:val="en-GB"/>
        </w:rPr>
        <w:t>67</w:t>
      </w:r>
      <w:r w:rsidR="000610BD">
        <w:rPr>
          <w:lang w:val="en-GB"/>
        </w:rPr>
        <w:t>.</w:t>
      </w:r>
      <w:r w:rsidR="008E57B3" w:rsidRPr="008E57B3">
        <w:rPr>
          <w:lang w:val="en-GB"/>
        </w:rPr>
        <w:t>9</w:t>
      </w:r>
      <w:r w:rsidR="008E57B3">
        <w:rPr>
          <w:lang w:val="en-GB"/>
        </w:rPr>
        <w:t xml:space="preserve"> </w:t>
      </w:r>
      <w:r>
        <w:rPr>
          <w:lang w:val="en-GB"/>
        </w:rPr>
        <w:t>mmol</w:t>
      </w:r>
      <w:r w:rsidR="00E83820">
        <w:rPr>
          <w:lang w:val="en-GB"/>
        </w:rPr>
        <w:t xml:space="preserve"> per </w:t>
      </w:r>
      <w:r>
        <w:rPr>
          <w:lang w:val="en-GB"/>
        </w:rPr>
        <w:t>24 hours</w:t>
      </w:r>
      <w:r w:rsidR="00416079">
        <w:rPr>
          <w:lang w:val="en-GB"/>
        </w:rPr>
        <w:t>. Additionally</w:t>
      </w:r>
      <w:r>
        <w:rPr>
          <w:lang w:val="en-GB"/>
        </w:rPr>
        <w:t xml:space="preserve">, </w:t>
      </w:r>
      <w:r w:rsidR="00416079">
        <w:rPr>
          <w:lang w:val="en-GB"/>
        </w:rPr>
        <w:t>a</w:t>
      </w:r>
      <w:r>
        <w:rPr>
          <w:lang w:val="en-GB"/>
        </w:rPr>
        <w:t xml:space="preserve"> mean urinary uric acid excretion </w:t>
      </w:r>
      <w:r w:rsidR="00416079">
        <w:rPr>
          <w:lang w:val="en-GB"/>
        </w:rPr>
        <w:t xml:space="preserve">of </w:t>
      </w:r>
      <w:r>
        <w:rPr>
          <w:lang w:val="en-GB"/>
        </w:rPr>
        <w:t>646</w:t>
      </w:r>
      <w:r w:rsidR="000610BD">
        <w:rPr>
          <w:lang w:val="en-GB"/>
        </w:rPr>
        <w:t>.</w:t>
      </w:r>
      <w:r w:rsidR="009767B7">
        <w:rPr>
          <w:lang w:val="en-GB"/>
        </w:rPr>
        <w:t>7</w:t>
      </w:r>
      <w:r w:rsidR="008E57B3" w:rsidRPr="0090583B">
        <w:rPr>
          <w:lang w:val="en-GB"/>
        </w:rPr>
        <w:sym w:font="Symbol" w:char="F0B1"/>
      </w:r>
      <w:r w:rsidR="008E57B3" w:rsidRPr="008E57B3">
        <w:rPr>
          <w:lang w:val="en-GB"/>
        </w:rPr>
        <w:t>262</w:t>
      </w:r>
      <w:r w:rsidR="000610BD">
        <w:rPr>
          <w:lang w:val="en-GB"/>
        </w:rPr>
        <w:t>.</w:t>
      </w:r>
      <w:r w:rsidR="008E57B3" w:rsidRPr="008E57B3">
        <w:rPr>
          <w:lang w:val="en-GB"/>
        </w:rPr>
        <w:t>8</w:t>
      </w:r>
      <w:r w:rsidR="000610BD">
        <w:rPr>
          <w:lang w:val="en-GB"/>
        </w:rPr>
        <w:t xml:space="preserve"> </w:t>
      </w:r>
      <w:r>
        <w:rPr>
          <w:lang w:val="en-GB"/>
        </w:rPr>
        <w:t>mg</w:t>
      </w:r>
      <w:r w:rsidR="00E83820">
        <w:rPr>
          <w:lang w:val="en-GB"/>
        </w:rPr>
        <w:t xml:space="preserve"> per </w:t>
      </w:r>
      <w:r>
        <w:rPr>
          <w:lang w:val="en-GB"/>
        </w:rPr>
        <w:t>24 hours</w:t>
      </w:r>
      <w:r w:rsidR="00416079">
        <w:rPr>
          <w:lang w:val="en-GB"/>
        </w:rPr>
        <w:t xml:space="preserve"> and </w:t>
      </w:r>
      <w:r>
        <w:rPr>
          <w:lang w:val="en-GB"/>
        </w:rPr>
        <w:t xml:space="preserve">mean urinary </w:t>
      </w:r>
      <w:r w:rsidR="00DF1697">
        <w:rPr>
          <w:lang w:val="en-GB"/>
        </w:rPr>
        <w:t xml:space="preserve">sodium </w:t>
      </w:r>
      <w:r>
        <w:rPr>
          <w:lang w:val="en-GB"/>
        </w:rPr>
        <w:t xml:space="preserve">excretion </w:t>
      </w:r>
      <w:r w:rsidR="00416079">
        <w:rPr>
          <w:lang w:val="en-GB"/>
        </w:rPr>
        <w:t xml:space="preserve">of </w:t>
      </w:r>
      <w:r>
        <w:rPr>
          <w:lang w:val="en-GB"/>
        </w:rPr>
        <w:t>1</w:t>
      </w:r>
      <w:r w:rsidR="00F43C45">
        <w:rPr>
          <w:lang w:val="en-GB"/>
        </w:rPr>
        <w:t>79</w:t>
      </w:r>
      <w:r w:rsidR="000610BD">
        <w:rPr>
          <w:lang w:val="en-GB"/>
        </w:rPr>
        <w:t>.</w:t>
      </w:r>
      <w:r w:rsidR="009767B7">
        <w:rPr>
          <w:lang w:val="en-GB"/>
        </w:rPr>
        <w:t>5</w:t>
      </w:r>
      <w:r w:rsidR="008E57B3" w:rsidRPr="0090583B">
        <w:rPr>
          <w:lang w:val="en-GB"/>
        </w:rPr>
        <w:sym w:font="Symbol" w:char="F0B1"/>
      </w:r>
      <w:r w:rsidR="008E57B3" w:rsidRPr="008E57B3">
        <w:rPr>
          <w:lang w:val="en-GB"/>
        </w:rPr>
        <w:t>81</w:t>
      </w:r>
      <w:r w:rsidR="000610BD">
        <w:rPr>
          <w:lang w:val="en-GB"/>
        </w:rPr>
        <w:t>.</w:t>
      </w:r>
      <w:r w:rsidR="008E57B3">
        <w:rPr>
          <w:lang w:val="en-GB"/>
        </w:rPr>
        <w:t xml:space="preserve">2 </w:t>
      </w:r>
      <w:r>
        <w:rPr>
          <w:lang w:val="en-GB"/>
        </w:rPr>
        <w:t>mmol</w:t>
      </w:r>
      <w:r w:rsidR="00E83820">
        <w:rPr>
          <w:lang w:val="en-GB"/>
        </w:rPr>
        <w:t xml:space="preserve"> per </w:t>
      </w:r>
      <w:r>
        <w:rPr>
          <w:lang w:val="en-GB"/>
        </w:rPr>
        <w:t>24 hours</w:t>
      </w:r>
      <w:r w:rsidR="00416079">
        <w:rPr>
          <w:lang w:val="en-GB"/>
        </w:rPr>
        <w:t xml:space="preserve"> was determined. T</w:t>
      </w:r>
      <w:r>
        <w:rPr>
          <w:lang w:val="en-GB"/>
        </w:rPr>
        <w:t xml:space="preserve">he mean protein intake </w:t>
      </w:r>
      <w:r w:rsidR="00416079">
        <w:rPr>
          <w:lang w:val="en-GB"/>
        </w:rPr>
        <w:t xml:space="preserve">was </w:t>
      </w:r>
      <w:r>
        <w:rPr>
          <w:lang w:val="en-GB"/>
        </w:rPr>
        <w:t>1</w:t>
      </w:r>
      <w:r w:rsidR="000610BD">
        <w:rPr>
          <w:lang w:val="en-GB"/>
        </w:rPr>
        <w:t>.</w:t>
      </w:r>
      <w:r>
        <w:rPr>
          <w:lang w:val="en-GB"/>
        </w:rPr>
        <w:t>3</w:t>
      </w:r>
      <w:r w:rsidR="008E57B3" w:rsidRPr="0090583B">
        <w:rPr>
          <w:lang w:val="en-GB"/>
        </w:rPr>
        <w:sym w:font="Symbol" w:char="F0B1"/>
      </w:r>
      <w:r w:rsidR="008E57B3">
        <w:rPr>
          <w:lang w:val="en-GB"/>
        </w:rPr>
        <w:t>0</w:t>
      </w:r>
      <w:r w:rsidR="000610BD">
        <w:rPr>
          <w:lang w:val="en-GB"/>
        </w:rPr>
        <w:t>.</w:t>
      </w:r>
      <w:r w:rsidR="008E57B3">
        <w:rPr>
          <w:lang w:val="en-GB"/>
        </w:rPr>
        <w:t>4</w:t>
      </w:r>
      <w:r>
        <w:rPr>
          <w:lang w:val="en-GB"/>
        </w:rPr>
        <w:t xml:space="preserve"> </w:t>
      </w:r>
      <w:r w:rsidR="00DF1697">
        <w:rPr>
          <w:lang w:val="en-GB"/>
        </w:rPr>
        <w:t>g/</w:t>
      </w:r>
      <w:r>
        <w:rPr>
          <w:lang w:val="en-GB"/>
        </w:rPr>
        <w:t xml:space="preserve">kg ideal weight </w:t>
      </w:r>
      <w:r w:rsidR="00E83820">
        <w:rPr>
          <w:lang w:val="en-GB"/>
        </w:rPr>
        <w:t xml:space="preserve">per </w:t>
      </w:r>
      <w:r>
        <w:rPr>
          <w:lang w:val="en-GB"/>
        </w:rPr>
        <w:t>24 hours, the mean urinary volume 1907</w:t>
      </w:r>
      <w:r w:rsidR="000610BD">
        <w:rPr>
          <w:lang w:val="en-GB"/>
        </w:rPr>
        <w:t>.</w:t>
      </w:r>
      <w:r>
        <w:rPr>
          <w:lang w:val="en-GB"/>
        </w:rPr>
        <w:t>2</w:t>
      </w:r>
      <w:r w:rsidR="008E57B3" w:rsidRPr="0090583B">
        <w:rPr>
          <w:lang w:val="en-GB"/>
        </w:rPr>
        <w:sym w:font="Symbol" w:char="F0B1"/>
      </w:r>
      <w:r w:rsidR="008E57B3">
        <w:rPr>
          <w:lang w:val="en-GB"/>
        </w:rPr>
        <w:t>880</w:t>
      </w:r>
      <w:r w:rsidR="000610BD">
        <w:rPr>
          <w:lang w:val="en-GB"/>
        </w:rPr>
        <w:t>.</w:t>
      </w:r>
      <w:r w:rsidR="008E57B3">
        <w:rPr>
          <w:lang w:val="en-GB"/>
        </w:rPr>
        <w:t xml:space="preserve">2 </w:t>
      </w:r>
      <w:r>
        <w:rPr>
          <w:lang w:val="en-GB"/>
        </w:rPr>
        <w:t>mL</w:t>
      </w:r>
      <w:r w:rsidR="00E83820">
        <w:rPr>
          <w:lang w:val="en-GB"/>
        </w:rPr>
        <w:t xml:space="preserve"> per </w:t>
      </w:r>
      <w:r>
        <w:rPr>
          <w:lang w:val="en-GB"/>
        </w:rPr>
        <w:t>24 hours</w:t>
      </w:r>
      <w:r w:rsidR="00416079">
        <w:rPr>
          <w:lang w:val="en-GB"/>
        </w:rPr>
        <w:t xml:space="preserve">. Finally, </w:t>
      </w:r>
      <w:r w:rsidR="008E57B3">
        <w:rPr>
          <w:lang w:val="en-GB"/>
        </w:rPr>
        <w:t>t</w:t>
      </w:r>
      <w:r>
        <w:rPr>
          <w:lang w:val="en-GB"/>
        </w:rPr>
        <w:t>he mean urinary citrate excretion</w:t>
      </w:r>
      <w:r w:rsidR="00416079">
        <w:rPr>
          <w:lang w:val="en-GB"/>
        </w:rPr>
        <w:t xml:space="preserve"> was</w:t>
      </w:r>
      <w:r>
        <w:rPr>
          <w:lang w:val="en-GB"/>
        </w:rPr>
        <w:t xml:space="preserve"> 2931</w:t>
      </w:r>
      <w:r w:rsidR="000610BD">
        <w:rPr>
          <w:lang w:val="en-GB"/>
        </w:rPr>
        <w:t>.</w:t>
      </w:r>
      <w:r>
        <w:rPr>
          <w:lang w:val="en-GB"/>
        </w:rPr>
        <w:t>6</w:t>
      </w:r>
      <w:r w:rsidR="008E57B3" w:rsidRPr="0090583B">
        <w:rPr>
          <w:lang w:val="en-GB"/>
        </w:rPr>
        <w:sym w:font="Symbol" w:char="F0B1"/>
      </w:r>
      <w:r w:rsidR="008E57B3">
        <w:rPr>
          <w:lang w:val="en-GB"/>
        </w:rPr>
        <w:t>1758</w:t>
      </w:r>
      <w:r w:rsidR="000610BD">
        <w:rPr>
          <w:lang w:val="en-GB"/>
        </w:rPr>
        <w:t>.</w:t>
      </w:r>
      <w:r w:rsidR="008E57B3">
        <w:rPr>
          <w:lang w:val="en-GB"/>
        </w:rPr>
        <w:t>0</w:t>
      </w:r>
      <w:r>
        <w:rPr>
          <w:lang w:val="en-GB"/>
        </w:rPr>
        <w:t xml:space="preserve"> µmol</w:t>
      </w:r>
      <w:r w:rsidR="00E83820">
        <w:rPr>
          <w:lang w:val="en-GB"/>
        </w:rPr>
        <w:t xml:space="preserve"> per </w:t>
      </w:r>
      <w:r>
        <w:rPr>
          <w:lang w:val="en-GB"/>
        </w:rPr>
        <w:t>24 hours</w:t>
      </w:r>
      <w:r w:rsidR="008E57B3">
        <w:rPr>
          <w:lang w:val="en-GB"/>
        </w:rPr>
        <w:t xml:space="preserve"> and the mean urinary pH 6</w:t>
      </w:r>
      <w:r w:rsidR="000610BD">
        <w:rPr>
          <w:lang w:val="en-GB"/>
        </w:rPr>
        <w:t>.</w:t>
      </w:r>
      <w:r w:rsidR="008E57B3">
        <w:rPr>
          <w:lang w:val="en-GB"/>
        </w:rPr>
        <w:t>2</w:t>
      </w:r>
      <w:r w:rsidR="008E57B3" w:rsidRPr="00492A64">
        <w:rPr>
          <w:lang w:val="en-GB"/>
        </w:rPr>
        <w:sym w:font="Symbol" w:char="F0B1"/>
      </w:r>
      <w:r w:rsidR="008E57B3" w:rsidRPr="00492A64">
        <w:rPr>
          <w:lang w:val="en-GB"/>
        </w:rPr>
        <w:t>2</w:t>
      </w:r>
      <w:r w:rsidR="000610BD">
        <w:rPr>
          <w:lang w:val="en-GB"/>
        </w:rPr>
        <w:t>.</w:t>
      </w:r>
      <w:r w:rsidR="008E57B3" w:rsidRPr="00492A64">
        <w:rPr>
          <w:lang w:val="en-GB"/>
        </w:rPr>
        <w:t>1</w:t>
      </w:r>
      <w:r w:rsidR="008E57B3">
        <w:rPr>
          <w:lang w:val="en-GB"/>
        </w:rPr>
        <w:t xml:space="preserve">. </w:t>
      </w:r>
    </w:p>
    <w:p w14:paraId="36AA6DB1" w14:textId="45F504B9" w:rsidR="00416079" w:rsidRDefault="001D0191" w:rsidP="005769F3">
      <w:pPr>
        <w:spacing w:line="480" w:lineRule="auto"/>
        <w:jc w:val="both"/>
        <w:rPr>
          <w:lang w:val="en-GB"/>
        </w:rPr>
      </w:pPr>
      <w:r>
        <w:rPr>
          <w:lang w:val="en-GB"/>
        </w:rPr>
        <w:t>In the total study population, t</w:t>
      </w:r>
      <w:r w:rsidR="00A9561E" w:rsidRPr="004677A9">
        <w:rPr>
          <w:lang w:val="en-GB"/>
        </w:rPr>
        <w:t xml:space="preserve">he most frequently found urinary risk factor at baseline </w:t>
      </w:r>
      <w:bookmarkStart w:id="97" w:name="_Hlk68102311"/>
      <w:r w:rsidR="00A9561E" w:rsidRPr="004677A9">
        <w:rPr>
          <w:lang w:val="en-GB"/>
        </w:rPr>
        <w:t>was an increased protein intake, which was foun</w:t>
      </w:r>
      <w:r w:rsidR="005F7112" w:rsidRPr="004677A9">
        <w:rPr>
          <w:lang w:val="en-GB"/>
        </w:rPr>
        <w:t xml:space="preserve">d in </w:t>
      </w:r>
      <w:r w:rsidR="00CC22BC">
        <w:rPr>
          <w:lang w:val="en-GB"/>
        </w:rPr>
        <w:t>77</w:t>
      </w:r>
      <w:r w:rsidR="000610BD">
        <w:rPr>
          <w:lang w:val="en-GB"/>
        </w:rPr>
        <w:t>.</w:t>
      </w:r>
      <w:r>
        <w:rPr>
          <w:lang w:val="en-GB"/>
        </w:rPr>
        <w:t>0</w:t>
      </w:r>
      <w:r w:rsidR="00A9561E" w:rsidRPr="004677A9">
        <w:rPr>
          <w:lang w:val="en-GB"/>
        </w:rPr>
        <w:t>%</w:t>
      </w:r>
      <w:r w:rsidR="005F7112" w:rsidRPr="004677A9">
        <w:rPr>
          <w:lang w:val="en-GB"/>
        </w:rPr>
        <w:t xml:space="preserve"> of the patients. </w:t>
      </w:r>
      <w:r w:rsidR="00A9561E" w:rsidRPr="004677A9">
        <w:rPr>
          <w:lang w:val="en-GB"/>
        </w:rPr>
        <w:t xml:space="preserve"> Other urinary risk factors included </w:t>
      </w:r>
      <w:r w:rsidR="00CC22BC">
        <w:rPr>
          <w:lang w:val="en-GB"/>
        </w:rPr>
        <w:t xml:space="preserve">increased </w:t>
      </w:r>
      <w:r w:rsidR="00CC7174">
        <w:rPr>
          <w:lang w:val="en-GB"/>
        </w:rPr>
        <w:t xml:space="preserve">sodium excretion </w:t>
      </w:r>
      <w:r w:rsidR="00DA4FD8">
        <w:rPr>
          <w:lang w:val="en-GB"/>
        </w:rPr>
        <w:t>which</w:t>
      </w:r>
      <w:r w:rsidR="00DA4FD8" w:rsidRPr="004677A9">
        <w:rPr>
          <w:lang w:val="en-GB"/>
        </w:rPr>
        <w:t xml:space="preserve"> </w:t>
      </w:r>
      <w:r w:rsidR="00A9561E" w:rsidRPr="004677A9">
        <w:rPr>
          <w:lang w:val="en-GB"/>
        </w:rPr>
        <w:t xml:space="preserve">was found in </w:t>
      </w:r>
      <w:r w:rsidR="00CC22BC">
        <w:rPr>
          <w:lang w:val="en-GB"/>
        </w:rPr>
        <w:t>59</w:t>
      </w:r>
      <w:r w:rsidR="000610BD">
        <w:rPr>
          <w:lang w:val="en-GB"/>
        </w:rPr>
        <w:t>.</w:t>
      </w:r>
      <w:r w:rsidR="009767B7">
        <w:rPr>
          <w:lang w:val="en-GB"/>
        </w:rPr>
        <w:t>9</w:t>
      </w:r>
      <w:r w:rsidR="00A9561E" w:rsidRPr="004677A9">
        <w:rPr>
          <w:lang w:val="en-GB"/>
        </w:rPr>
        <w:t>%</w:t>
      </w:r>
      <w:r w:rsidR="005F7112" w:rsidRPr="004677A9">
        <w:rPr>
          <w:lang w:val="en-GB"/>
        </w:rPr>
        <w:t>, f</w:t>
      </w:r>
      <w:r w:rsidR="00A9561E" w:rsidRPr="004677A9">
        <w:rPr>
          <w:lang w:val="en-GB"/>
        </w:rPr>
        <w:t xml:space="preserve">ollowed by </w:t>
      </w:r>
      <w:r w:rsidR="00CE347C" w:rsidRPr="004677A9">
        <w:rPr>
          <w:lang w:val="en-GB"/>
        </w:rPr>
        <w:t>low urinary output</w:t>
      </w:r>
      <w:r w:rsidR="00A9561E" w:rsidRPr="004677A9">
        <w:rPr>
          <w:lang w:val="en-GB"/>
        </w:rPr>
        <w:t xml:space="preserve"> in 5</w:t>
      </w:r>
      <w:r>
        <w:rPr>
          <w:lang w:val="en-GB"/>
        </w:rPr>
        <w:t>9</w:t>
      </w:r>
      <w:r w:rsidR="000610BD">
        <w:rPr>
          <w:lang w:val="en-GB"/>
        </w:rPr>
        <w:t>.</w:t>
      </w:r>
      <w:r>
        <w:rPr>
          <w:lang w:val="en-GB"/>
        </w:rPr>
        <w:t>0</w:t>
      </w:r>
      <w:r w:rsidR="00A9561E" w:rsidRPr="004677A9">
        <w:rPr>
          <w:lang w:val="en-GB"/>
        </w:rPr>
        <w:t>%</w:t>
      </w:r>
      <w:r w:rsidR="005F7112" w:rsidRPr="004677A9">
        <w:rPr>
          <w:lang w:val="en-GB"/>
        </w:rPr>
        <w:t xml:space="preserve">, </w:t>
      </w:r>
      <w:r w:rsidR="00A9561E" w:rsidRPr="004677A9">
        <w:rPr>
          <w:lang w:val="en-GB"/>
        </w:rPr>
        <w:t xml:space="preserve"> hyperoxaluria in 3</w:t>
      </w:r>
      <w:r w:rsidR="00CC22BC">
        <w:rPr>
          <w:lang w:val="en-GB"/>
        </w:rPr>
        <w:t>6</w:t>
      </w:r>
      <w:r w:rsidR="000610BD">
        <w:rPr>
          <w:lang w:val="en-GB"/>
        </w:rPr>
        <w:t>.</w:t>
      </w:r>
      <w:r>
        <w:rPr>
          <w:lang w:val="en-GB"/>
        </w:rPr>
        <w:t>5</w:t>
      </w:r>
      <w:r w:rsidR="00A9561E" w:rsidRPr="004677A9">
        <w:rPr>
          <w:lang w:val="en-GB"/>
        </w:rPr>
        <w:t xml:space="preserve">%, hypercalciuria in </w:t>
      </w:r>
      <w:r w:rsidR="00CC22BC">
        <w:rPr>
          <w:lang w:val="en-GB"/>
        </w:rPr>
        <w:t>27</w:t>
      </w:r>
      <w:r w:rsidR="000610BD">
        <w:rPr>
          <w:lang w:val="en-GB"/>
        </w:rPr>
        <w:t>.</w:t>
      </w:r>
      <w:r w:rsidR="0025042E">
        <w:rPr>
          <w:lang w:val="en-GB"/>
        </w:rPr>
        <w:t>8</w:t>
      </w:r>
      <w:r w:rsidR="00A9561E" w:rsidRPr="004677A9">
        <w:rPr>
          <w:lang w:val="en-GB"/>
        </w:rPr>
        <w:t xml:space="preserve">%, low urinary pH in </w:t>
      </w:r>
      <w:r w:rsidR="00CC22BC">
        <w:rPr>
          <w:lang w:val="en-GB"/>
        </w:rPr>
        <w:t>2</w:t>
      </w:r>
      <w:r>
        <w:rPr>
          <w:lang w:val="en-GB"/>
        </w:rPr>
        <w:t>7</w:t>
      </w:r>
      <w:r w:rsidR="000610BD">
        <w:rPr>
          <w:lang w:val="en-GB"/>
        </w:rPr>
        <w:t>.</w:t>
      </w:r>
      <w:r>
        <w:rPr>
          <w:lang w:val="en-GB"/>
        </w:rPr>
        <w:t>9</w:t>
      </w:r>
      <w:r w:rsidR="00A9561E" w:rsidRPr="004677A9">
        <w:rPr>
          <w:lang w:val="en-GB"/>
        </w:rPr>
        <w:t>%</w:t>
      </w:r>
      <w:r w:rsidR="005F7112" w:rsidRPr="004677A9">
        <w:rPr>
          <w:lang w:val="en-GB"/>
        </w:rPr>
        <w:t>,</w:t>
      </w:r>
      <w:r w:rsidRPr="004677A9">
        <w:rPr>
          <w:lang w:val="en-GB"/>
        </w:rPr>
        <w:t xml:space="preserve"> increased uric acid excretion in </w:t>
      </w:r>
      <w:r>
        <w:rPr>
          <w:lang w:val="en-GB"/>
        </w:rPr>
        <w:t>24</w:t>
      </w:r>
      <w:r w:rsidR="000610BD">
        <w:rPr>
          <w:lang w:val="en-GB"/>
        </w:rPr>
        <w:t>.</w:t>
      </w:r>
      <w:r w:rsidR="0025042E">
        <w:rPr>
          <w:lang w:val="en-GB"/>
        </w:rPr>
        <w:t>2</w:t>
      </w:r>
      <w:r w:rsidRPr="004677A9">
        <w:rPr>
          <w:lang w:val="en-GB"/>
        </w:rPr>
        <w:t>%</w:t>
      </w:r>
      <w:r>
        <w:rPr>
          <w:lang w:val="en-GB"/>
        </w:rPr>
        <w:t xml:space="preserve">, </w:t>
      </w:r>
      <w:r w:rsidR="00A9561E" w:rsidRPr="004677A9">
        <w:rPr>
          <w:lang w:val="en-GB"/>
        </w:rPr>
        <w:t xml:space="preserve">hypocitraturia </w:t>
      </w:r>
      <w:r w:rsidR="00DA4FD8">
        <w:rPr>
          <w:lang w:val="en-GB"/>
        </w:rPr>
        <w:t xml:space="preserve">in </w:t>
      </w:r>
      <w:r w:rsidR="00A9561E" w:rsidRPr="004677A9">
        <w:rPr>
          <w:lang w:val="en-GB"/>
        </w:rPr>
        <w:t>2</w:t>
      </w:r>
      <w:r w:rsidR="00CC22BC">
        <w:rPr>
          <w:lang w:val="en-GB"/>
        </w:rPr>
        <w:t>0</w:t>
      </w:r>
      <w:r w:rsidR="000610BD">
        <w:rPr>
          <w:lang w:val="en-GB"/>
        </w:rPr>
        <w:t>.</w:t>
      </w:r>
      <w:r>
        <w:rPr>
          <w:lang w:val="en-GB"/>
        </w:rPr>
        <w:t>0</w:t>
      </w:r>
      <w:r w:rsidR="00A9561E" w:rsidRPr="004677A9">
        <w:rPr>
          <w:lang w:val="en-GB"/>
        </w:rPr>
        <w:t>%</w:t>
      </w:r>
      <w:r>
        <w:rPr>
          <w:lang w:val="en-GB"/>
        </w:rPr>
        <w:t xml:space="preserve"> and</w:t>
      </w:r>
      <w:r w:rsidR="00A9561E" w:rsidRPr="004677A9">
        <w:rPr>
          <w:lang w:val="en-GB"/>
        </w:rPr>
        <w:t xml:space="preserve"> </w:t>
      </w:r>
      <w:proofErr w:type="spellStart"/>
      <w:r w:rsidR="00A9561E" w:rsidRPr="004677A9">
        <w:rPr>
          <w:lang w:val="en-GB"/>
        </w:rPr>
        <w:t>hyperphosphaturia</w:t>
      </w:r>
      <w:proofErr w:type="spellEnd"/>
      <w:r w:rsidR="00A9561E" w:rsidRPr="004677A9">
        <w:rPr>
          <w:lang w:val="en-GB"/>
        </w:rPr>
        <w:t xml:space="preserve"> in 15</w:t>
      </w:r>
      <w:r w:rsidR="000610BD">
        <w:rPr>
          <w:lang w:val="en-GB"/>
        </w:rPr>
        <w:t>.</w:t>
      </w:r>
      <w:r>
        <w:rPr>
          <w:lang w:val="en-GB"/>
        </w:rPr>
        <w:t>3</w:t>
      </w:r>
      <w:r w:rsidR="00A9561E" w:rsidRPr="004677A9">
        <w:rPr>
          <w:lang w:val="en-GB"/>
        </w:rPr>
        <w:t>%</w:t>
      </w:r>
      <w:r w:rsidR="005F7112" w:rsidRPr="004677A9">
        <w:rPr>
          <w:lang w:val="en-GB"/>
        </w:rPr>
        <w:t>.</w:t>
      </w:r>
      <w:r w:rsidR="004B5A02">
        <w:rPr>
          <w:lang w:val="en-GB"/>
        </w:rPr>
        <w:t xml:space="preserve"> </w:t>
      </w:r>
    </w:p>
    <w:bookmarkEnd w:id="97"/>
    <w:p w14:paraId="7924552E" w14:textId="40F55261" w:rsidR="00416079" w:rsidRPr="004677A9" w:rsidRDefault="00D77BF4" w:rsidP="005769F3">
      <w:pPr>
        <w:spacing w:line="480" w:lineRule="auto"/>
        <w:jc w:val="both"/>
        <w:rPr>
          <w:lang w:val="en-GB"/>
        </w:rPr>
      </w:pPr>
      <w:r w:rsidRPr="004677A9">
        <w:rPr>
          <w:lang w:val="en-GB"/>
        </w:rPr>
        <w:t>The most common urinary risk factors in the subpopulation of calcium oxalate stones was</w:t>
      </w:r>
      <w:r w:rsidRPr="00CC22BC">
        <w:rPr>
          <w:lang w:val="en-GB"/>
        </w:rPr>
        <w:t xml:space="preserve"> </w:t>
      </w:r>
      <w:r w:rsidRPr="004677A9">
        <w:rPr>
          <w:lang w:val="en-GB"/>
        </w:rPr>
        <w:t xml:space="preserve">an increased protein intake in </w:t>
      </w:r>
      <w:r>
        <w:rPr>
          <w:lang w:val="en-GB"/>
        </w:rPr>
        <w:t>78</w:t>
      </w:r>
      <w:r w:rsidR="000610BD">
        <w:rPr>
          <w:lang w:val="en-GB"/>
        </w:rPr>
        <w:t>.</w:t>
      </w:r>
      <w:r>
        <w:rPr>
          <w:lang w:val="en-GB"/>
        </w:rPr>
        <w:t>7</w:t>
      </w:r>
      <w:r w:rsidRPr="004677A9">
        <w:rPr>
          <w:lang w:val="en-GB"/>
        </w:rPr>
        <w:t xml:space="preserve">% </w:t>
      </w:r>
      <w:r>
        <w:rPr>
          <w:lang w:val="en-GB"/>
        </w:rPr>
        <w:t xml:space="preserve">of the patients, followed by </w:t>
      </w:r>
      <w:r w:rsidRPr="004677A9">
        <w:rPr>
          <w:lang w:val="en-GB"/>
        </w:rPr>
        <w:t xml:space="preserve">an increased </w:t>
      </w:r>
      <w:r>
        <w:rPr>
          <w:lang w:val="en-GB"/>
        </w:rPr>
        <w:t>sodium excretion</w:t>
      </w:r>
      <w:r w:rsidRPr="004677A9">
        <w:rPr>
          <w:lang w:val="en-GB"/>
        </w:rPr>
        <w:t xml:space="preserve"> in </w:t>
      </w:r>
      <w:r>
        <w:rPr>
          <w:lang w:val="en-GB"/>
        </w:rPr>
        <w:t>61</w:t>
      </w:r>
      <w:r w:rsidR="000610BD">
        <w:rPr>
          <w:lang w:val="en-GB"/>
        </w:rPr>
        <w:t>.</w:t>
      </w:r>
      <w:r>
        <w:rPr>
          <w:lang w:val="en-GB"/>
        </w:rPr>
        <w:t>9%</w:t>
      </w:r>
      <w:r w:rsidRPr="004677A9">
        <w:rPr>
          <w:lang w:val="en-GB"/>
        </w:rPr>
        <w:t xml:space="preserve"> of the patients</w:t>
      </w:r>
      <w:r>
        <w:rPr>
          <w:lang w:val="en-GB"/>
        </w:rPr>
        <w:t>. H</w:t>
      </w:r>
      <w:r w:rsidRPr="004677A9">
        <w:rPr>
          <w:lang w:val="en-GB"/>
        </w:rPr>
        <w:t>yperoxaluria</w:t>
      </w:r>
      <w:r>
        <w:rPr>
          <w:lang w:val="en-GB"/>
        </w:rPr>
        <w:t xml:space="preserve"> was reported in 39</w:t>
      </w:r>
      <w:r w:rsidR="000610BD">
        <w:rPr>
          <w:lang w:val="en-GB"/>
        </w:rPr>
        <w:t>.</w:t>
      </w:r>
      <w:r>
        <w:rPr>
          <w:lang w:val="en-GB"/>
        </w:rPr>
        <w:t>7</w:t>
      </w:r>
      <w:r w:rsidRPr="004677A9">
        <w:rPr>
          <w:lang w:val="en-GB"/>
        </w:rPr>
        <w:t>%</w:t>
      </w:r>
      <w:r>
        <w:rPr>
          <w:lang w:val="en-GB"/>
        </w:rPr>
        <w:t xml:space="preserve"> of the patients and h</w:t>
      </w:r>
      <w:r w:rsidRPr="004677A9">
        <w:rPr>
          <w:lang w:val="en-GB"/>
        </w:rPr>
        <w:t xml:space="preserve">ypercalciuria in </w:t>
      </w:r>
      <w:r>
        <w:rPr>
          <w:lang w:val="en-GB"/>
        </w:rPr>
        <w:t>27</w:t>
      </w:r>
      <w:r w:rsidR="000610BD">
        <w:rPr>
          <w:lang w:val="en-GB"/>
        </w:rPr>
        <w:t>.</w:t>
      </w:r>
      <w:r>
        <w:rPr>
          <w:lang w:val="en-GB"/>
        </w:rPr>
        <w:t>8</w:t>
      </w:r>
      <w:r w:rsidRPr="004677A9">
        <w:rPr>
          <w:lang w:val="en-GB"/>
        </w:rPr>
        <w:t>%</w:t>
      </w:r>
      <w:r>
        <w:rPr>
          <w:lang w:val="en-GB"/>
        </w:rPr>
        <w:t>.</w:t>
      </w:r>
    </w:p>
    <w:p w14:paraId="383CC7CB" w14:textId="5E2DD6E2" w:rsidR="00D77BF4" w:rsidRPr="004677A9" w:rsidRDefault="00D77BF4" w:rsidP="005769F3">
      <w:pPr>
        <w:spacing w:line="480" w:lineRule="auto"/>
        <w:jc w:val="both"/>
        <w:rPr>
          <w:lang w:val="en-GB"/>
        </w:rPr>
      </w:pPr>
      <w:r w:rsidRPr="004677A9">
        <w:rPr>
          <w:lang w:val="en-GB"/>
        </w:rPr>
        <w:t xml:space="preserve">In the subpopulation of uric acid stones, increased protein intake was found in </w:t>
      </w:r>
      <w:r>
        <w:rPr>
          <w:lang w:val="en-GB"/>
        </w:rPr>
        <w:t>83</w:t>
      </w:r>
      <w:r w:rsidR="000610BD">
        <w:rPr>
          <w:lang w:val="en-GB"/>
        </w:rPr>
        <w:t>.</w:t>
      </w:r>
      <w:r>
        <w:rPr>
          <w:lang w:val="en-GB"/>
        </w:rPr>
        <w:t>8</w:t>
      </w:r>
      <w:r w:rsidRPr="004677A9">
        <w:rPr>
          <w:lang w:val="en-GB"/>
        </w:rPr>
        <w:t>% of the patients. In 7</w:t>
      </w:r>
      <w:r>
        <w:rPr>
          <w:lang w:val="en-GB"/>
        </w:rPr>
        <w:t>0</w:t>
      </w:r>
      <w:r w:rsidR="000610BD">
        <w:rPr>
          <w:lang w:val="en-GB"/>
        </w:rPr>
        <w:t>.</w:t>
      </w:r>
      <w:r>
        <w:rPr>
          <w:lang w:val="en-GB"/>
        </w:rPr>
        <w:t>3</w:t>
      </w:r>
      <w:r w:rsidRPr="004677A9">
        <w:rPr>
          <w:lang w:val="en-GB"/>
        </w:rPr>
        <w:t xml:space="preserve">% an increased </w:t>
      </w:r>
      <w:r>
        <w:rPr>
          <w:lang w:val="en-GB"/>
        </w:rPr>
        <w:t>sodium excretion</w:t>
      </w:r>
      <w:r w:rsidRPr="004677A9">
        <w:rPr>
          <w:lang w:val="en-GB"/>
        </w:rPr>
        <w:t xml:space="preserve"> was reported. A low urinary pH was found in </w:t>
      </w:r>
      <w:r>
        <w:rPr>
          <w:lang w:val="en-GB"/>
        </w:rPr>
        <w:t>56</w:t>
      </w:r>
      <w:r w:rsidR="000610BD">
        <w:rPr>
          <w:lang w:val="en-GB"/>
        </w:rPr>
        <w:t>.</w:t>
      </w:r>
      <w:r>
        <w:rPr>
          <w:lang w:val="en-GB"/>
        </w:rPr>
        <w:t>8</w:t>
      </w:r>
      <w:r w:rsidRPr="004677A9">
        <w:rPr>
          <w:lang w:val="en-GB"/>
        </w:rPr>
        <w:t xml:space="preserve">%, an increased uric acid excretion in </w:t>
      </w:r>
      <w:r>
        <w:rPr>
          <w:lang w:val="en-GB"/>
        </w:rPr>
        <w:t>45</w:t>
      </w:r>
      <w:r w:rsidR="000610BD">
        <w:rPr>
          <w:lang w:val="en-GB"/>
        </w:rPr>
        <w:t>.</w:t>
      </w:r>
      <w:r>
        <w:rPr>
          <w:lang w:val="en-GB"/>
        </w:rPr>
        <w:t>9</w:t>
      </w:r>
      <w:r w:rsidRPr="004677A9">
        <w:rPr>
          <w:lang w:val="en-GB"/>
        </w:rPr>
        <w:t>%</w:t>
      </w:r>
      <w:r>
        <w:rPr>
          <w:lang w:val="en-GB"/>
        </w:rPr>
        <w:t xml:space="preserve"> and </w:t>
      </w:r>
      <w:r w:rsidRPr="004677A9">
        <w:rPr>
          <w:lang w:val="en-GB"/>
        </w:rPr>
        <w:t xml:space="preserve">hyperoxaluria in </w:t>
      </w:r>
      <w:r>
        <w:rPr>
          <w:lang w:val="en-GB"/>
        </w:rPr>
        <w:t>40</w:t>
      </w:r>
      <w:r w:rsidR="000610BD">
        <w:rPr>
          <w:lang w:val="en-GB"/>
        </w:rPr>
        <w:t>.</w:t>
      </w:r>
      <w:r>
        <w:rPr>
          <w:lang w:val="en-GB"/>
        </w:rPr>
        <w:t>5</w:t>
      </w:r>
      <w:r w:rsidRPr="004677A9">
        <w:rPr>
          <w:lang w:val="en-GB"/>
        </w:rPr>
        <w:t>%</w:t>
      </w:r>
      <w:r>
        <w:rPr>
          <w:lang w:val="en-GB"/>
        </w:rPr>
        <w:t xml:space="preserve">. </w:t>
      </w:r>
      <w:r w:rsidRPr="004677A9">
        <w:rPr>
          <w:lang w:val="en-GB"/>
        </w:rPr>
        <w:t xml:space="preserve"> </w:t>
      </w:r>
    </w:p>
    <w:p w14:paraId="6C8ADEA4" w14:textId="6BC2F225" w:rsidR="00D77BF4" w:rsidRPr="004677A9" w:rsidRDefault="00D77BF4" w:rsidP="005769F3">
      <w:pPr>
        <w:spacing w:line="480" w:lineRule="auto"/>
        <w:jc w:val="both"/>
        <w:rPr>
          <w:lang w:val="en-GB"/>
        </w:rPr>
      </w:pPr>
      <w:r w:rsidRPr="004677A9">
        <w:rPr>
          <w:lang w:val="en-GB"/>
        </w:rPr>
        <w:lastRenderedPageBreak/>
        <w:t xml:space="preserve">In the subpopulation of cystine stones, </w:t>
      </w:r>
      <w:r>
        <w:rPr>
          <w:lang w:val="en-GB"/>
        </w:rPr>
        <w:t>increased sodium excretion was found in 61</w:t>
      </w:r>
      <w:r w:rsidR="000610BD">
        <w:rPr>
          <w:lang w:val="en-GB"/>
        </w:rPr>
        <w:t>.</w:t>
      </w:r>
      <w:r>
        <w:rPr>
          <w:lang w:val="en-GB"/>
        </w:rPr>
        <w:t xml:space="preserve">9% and </w:t>
      </w:r>
      <w:r w:rsidRPr="004677A9">
        <w:rPr>
          <w:lang w:val="en-GB"/>
        </w:rPr>
        <w:t>increased protein intake</w:t>
      </w:r>
      <w:r>
        <w:rPr>
          <w:lang w:val="en-GB"/>
        </w:rPr>
        <w:t xml:space="preserve"> was found in 57</w:t>
      </w:r>
      <w:r w:rsidR="000610BD">
        <w:rPr>
          <w:lang w:val="en-GB"/>
        </w:rPr>
        <w:t>.</w:t>
      </w:r>
      <w:r>
        <w:rPr>
          <w:lang w:val="en-GB"/>
        </w:rPr>
        <w:t>1% of the  patients. A l</w:t>
      </w:r>
      <w:r w:rsidRPr="004677A9">
        <w:rPr>
          <w:lang w:val="en-GB"/>
        </w:rPr>
        <w:t xml:space="preserve">ow urinary output </w:t>
      </w:r>
      <w:r>
        <w:rPr>
          <w:lang w:val="en-GB"/>
        </w:rPr>
        <w:t>was reported in 42</w:t>
      </w:r>
      <w:r w:rsidR="000610BD">
        <w:rPr>
          <w:lang w:val="en-GB"/>
        </w:rPr>
        <w:t>.</w:t>
      </w:r>
      <w:r>
        <w:rPr>
          <w:lang w:val="en-GB"/>
        </w:rPr>
        <w:t>9%.</w:t>
      </w:r>
    </w:p>
    <w:p w14:paraId="44652519" w14:textId="711F54CC" w:rsidR="00D064FF" w:rsidRDefault="00D77BF4" w:rsidP="005769F3">
      <w:pPr>
        <w:spacing w:line="480" w:lineRule="auto"/>
        <w:jc w:val="both"/>
        <w:rPr>
          <w:lang w:val="en-GB"/>
        </w:rPr>
      </w:pPr>
      <w:r w:rsidRPr="00570966">
        <w:rPr>
          <w:lang w:val="en-GB"/>
        </w:rPr>
        <w:t xml:space="preserve">The mean urinary parameters at baseline in patients presenting urinary risk factors at baseline can be found in table 7. </w:t>
      </w:r>
      <w:r w:rsidR="004B5A02" w:rsidRPr="00570966">
        <w:rPr>
          <w:lang w:val="en-GB"/>
        </w:rPr>
        <w:t xml:space="preserve">In patients with hyperoxaluria, mean </w:t>
      </w:r>
      <w:r w:rsidR="00DE0C9D" w:rsidRPr="00570966">
        <w:rPr>
          <w:lang w:val="en-GB"/>
        </w:rPr>
        <w:t xml:space="preserve">urinary </w:t>
      </w:r>
      <w:r w:rsidR="004B5A02" w:rsidRPr="00570966">
        <w:rPr>
          <w:lang w:val="en-GB"/>
        </w:rPr>
        <w:t>oxalate excretion</w:t>
      </w:r>
      <w:r w:rsidR="00DE0C9D" w:rsidRPr="00570966">
        <w:rPr>
          <w:lang w:val="en-GB"/>
        </w:rPr>
        <w:t xml:space="preserve"> pre-treatment</w:t>
      </w:r>
      <w:r w:rsidR="004B5A02" w:rsidRPr="00570966">
        <w:rPr>
          <w:lang w:val="en-GB"/>
        </w:rPr>
        <w:t xml:space="preserve"> was</w:t>
      </w:r>
      <w:r w:rsidR="00DE0C9D" w:rsidRPr="00570966">
        <w:rPr>
          <w:lang w:val="en-GB"/>
        </w:rPr>
        <w:t xml:space="preserve"> 61</w:t>
      </w:r>
      <w:r w:rsidR="000610BD">
        <w:rPr>
          <w:lang w:val="en-GB"/>
        </w:rPr>
        <w:t>.</w:t>
      </w:r>
      <w:r w:rsidR="00DE0C9D" w:rsidRPr="00570966">
        <w:rPr>
          <w:lang w:val="en-GB"/>
        </w:rPr>
        <w:t>4</w:t>
      </w:r>
      <w:r w:rsidR="00DE0C9D" w:rsidRPr="00570966">
        <w:rPr>
          <w:rFonts w:ascii="Calibri" w:hAnsi="Calibri"/>
          <w:sz w:val="18"/>
          <w:szCs w:val="18"/>
          <w:lang w:val="en-GB"/>
        </w:rPr>
        <w:sym w:font="Symbol" w:char="F0B1"/>
      </w:r>
      <w:r w:rsidR="00DE0C9D" w:rsidRPr="00570966">
        <w:rPr>
          <w:lang w:val="en-GB"/>
        </w:rPr>
        <w:t>15</w:t>
      </w:r>
      <w:r w:rsidR="000610BD">
        <w:rPr>
          <w:lang w:val="en-GB"/>
        </w:rPr>
        <w:t>.</w:t>
      </w:r>
      <w:r w:rsidR="00DE0C9D" w:rsidRPr="00570966">
        <w:rPr>
          <w:lang w:val="en-GB"/>
        </w:rPr>
        <w:t xml:space="preserve">7mg per 24 hours. </w:t>
      </w:r>
      <w:r w:rsidR="00F06883">
        <w:rPr>
          <w:lang w:val="en-GB"/>
        </w:rPr>
        <w:t>Additionally a</w:t>
      </w:r>
      <w:r w:rsidR="00DE0C9D" w:rsidRPr="00570966">
        <w:rPr>
          <w:lang w:val="en-GB"/>
        </w:rPr>
        <w:t xml:space="preserve"> mean </w:t>
      </w:r>
      <w:r w:rsidR="00F06883">
        <w:rPr>
          <w:lang w:val="en-GB"/>
        </w:rPr>
        <w:t xml:space="preserve">pre-treatment </w:t>
      </w:r>
      <w:r w:rsidR="00DE0C9D" w:rsidRPr="00570966">
        <w:rPr>
          <w:lang w:val="en-GB"/>
        </w:rPr>
        <w:t xml:space="preserve">urinary calcium excretion </w:t>
      </w:r>
      <w:r w:rsidR="00F06883">
        <w:rPr>
          <w:lang w:val="en-GB"/>
        </w:rPr>
        <w:t>of</w:t>
      </w:r>
      <w:r w:rsidR="00DE0C9D" w:rsidRPr="00570966">
        <w:rPr>
          <w:lang w:val="en-GB"/>
        </w:rPr>
        <w:t xml:space="preserve"> 0</w:t>
      </w:r>
      <w:r w:rsidR="000610BD">
        <w:rPr>
          <w:lang w:val="en-GB"/>
        </w:rPr>
        <w:t>.</w:t>
      </w:r>
      <w:r w:rsidR="00DE0C9D" w:rsidRPr="00570966">
        <w:rPr>
          <w:lang w:val="en-GB"/>
        </w:rPr>
        <w:t>2</w:t>
      </w:r>
      <w:r w:rsidR="00DE0C9D" w:rsidRPr="00570966">
        <w:rPr>
          <w:rFonts w:ascii="Calibri" w:hAnsi="Calibri"/>
          <w:sz w:val="18"/>
          <w:szCs w:val="18"/>
          <w:lang w:val="en-GB"/>
        </w:rPr>
        <w:sym w:font="Symbol" w:char="F0B1"/>
      </w:r>
      <w:r w:rsidR="00DE0C9D" w:rsidRPr="00570966">
        <w:rPr>
          <w:lang w:val="en-GB"/>
        </w:rPr>
        <w:t>2</w:t>
      </w:r>
      <w:r w:rsidR="000610BD">
        <w:rPr>
          <w:lang w:val="en-GB"/>
        </w:rPr>
        <w:t>.0</w:t>
      </w:r>
      <w:r w:rsidR="00DE0C9D" w:rsidRPr="00570966">
        <w:rPr>
          <w:lang w:val="en-GB"/>
        </w:rPr>
        <w:t xml:space="preserve"> mmol per 24 hours</w:t>
      </w:r>
      <w:r w:rsidR="00F06883">
        <w:rPr>
          <w:lang w:val="en-GB"/>
        </w:rPr>
        <w:t xml:space="preserve"> was observed in </w:t>
      </w:r>
      <w:r w:rsidR="00F06883" w:rsidRPr="00F06883">
        <w:rPr>
          <w:lang w:val="en-GB"/>
        </w:rPr>
        <w:t>patients with hypercalciuria</w:t>
      </w:r>
      <w:r w:rsidR="00F06883">
        <w:rPr>
          <w:lang w:val="en-GB"/>
        </w:rPr>
        <w:t xml:space="preserve"> and a pre-treatment mean </w:t>
      </w:r>
      <w:r w:rsidR="00DE0C9D" w:rsidRPr="00570966">
        <w:rPr>
          <w:lang w:val="en-GB"/>
        </w:rPr>
        <w:t xml:space="preserve">urinary phosphate excretion </w:t>
      </w:r>
      <w:r w:rsidR="00F06883">
        <w:rPr>
          <w:lang w:val="en-GB"/>
        </w:rPr>
        <w:t>of</w:t>
      </w:r>
      <w:r w:rsidR="00DE0C9D" w:rsidRPr="00570966">
        <w:rPr>
          <w:lang w:val="en-GB"/>
        </w:rPr>
        <w:t xml:space="preserve"> 58</w:t>
      </w:r>
      <w:r w:rsidR="000610BD">
        <w:rPr>
          <w:lang w:val="en-GB"/>
        </w:rPr>
        <w:t>.</w:t>
      </w:r>
      <w:r w:rsidR="00DE0C9D" w:rsidRPr="00570966">
        <w:rPr>
          <w:lang w:val="en-GB"/>
        </w:rPr>
        <w:t>9</w:t>
      </w:r>
      <w:r w:rsidR="00DE0C9D" w:rsidRPr="00570966">
        <w:rPr>
          <w:rFonts w:ascii="Calibri" w:hAnsi="Calibri"/>
          <w:sz w:val="18"/>
          <w:szCs w:val="18"/>
          <w:lang w:val="en-GB"/>
        </w:rPr>
        <w:sym w:font="Symbol" w:char="F0B1"/>
      </w:r>
      <w:r w:rsidR="00DE0C9D" w:rsidRPr="00570966">
        <w:rPr>
          <w:lang w:val="en-GB"/>
        </w:rPr>
        <w:t>77</w:t>
      </w:r>
      <w:r w:rsidR="000610BD">
        <w:rPr>
          <w:lang w:val="en-GB"/>
        </w:rPr>
        <w:t>.</w:t>
      </w:r>
      <w:r w:rsidR="00DE0C9D" w:rsidRPr="00570966">
        <w:rPr>
          <w:lang w:val="en-GB"/>
        </w:rPr>
        <w:t>5 mmol per 24 hours</w:t>
      </w:r>
      <w:r w:rsidR="00F06883">
        <w:rPr>
          <w:lang w:val="en-GB"/>
        </w:rPr>
        <w:t xml:space="preserve"> i</w:t>
      </w:r>
      <w:r w:rsidR="00F06883" w:rsidRPr="00F06883">
        <w:rPr>
          <w:lang w:val="en-GB"/>
        </w:rPr>
        <w:t xml:space="preserve">n patients with </w:t>
      </w:r>
      <w:proofErr w:type="spellStart"/>
      <w:r w:rsidR="00F06883" w:rsidRPr="00F06883">
        <w:rPr>
          <w:lang w:val="en-GB"/>
        </w:rPr>
        <w:t>hyperphosphaturia</w:t>
      </w:r>
      <w:proofErr w:type="spellEnd"/>
      <w:r w:rsidR="00DE0C9D" w:rsidRPr="00570966">
        <w:rPr>
          <w:lang w:val="en-GB"/>
        </w:rPr>
        <w:t>. In patients with increased uric acid excretion, mean urinary uric acid excretion pre-treatment was 1000</w:t>
      </w:r>
      <w:r w:rsidR="000610BD">
        <w:rPr>
          <w:lang w:val="en-GB"/>
        </w:rPr>
        <w:t>.</w:t>
      </w:r>
      <w:r w:rsidR="00DE0C9D" w:rsidRPr="00570966">
        <w:rPr>
          <w:lang w:val="en-GB"/>
        </w:rPr>
        <w:t>3</w:t>
      </w:r>
      <w:r w:rsidR="00DE0C9D" w:rsidRPr="00570966">
        <w:rPr>
          <w:rFonts w:ascii="Calibri" w:hAnsi="Calibri"/>
          <w:sz w:val="18"/>
          <w:szCs w:val="18"/>
          <w:lang w:val="en-GB"/>
        </w:rPr>
        <w:sym w:font="Symbol" w:char="F0B1"/>
      </w:r>
      <w:r w:rsidR="00DE0C9D" w:rsidRPr="00570966">
        <w:rPr>
          <w:lang w:val="en-GB"/>
        </w:rPr>
        <w:t>213</w:t>
      </w:r>
      <w:r w:rsidR="000610BD">
        <w:rPr>
          <w:lang w:val="en-GB"/>
        </w:rPr>
        <w:t>.</w:t>
      </w:r>
      <w:r w:rsidR="00DE0C9D" w:rsidRPr="00570966">
        <w:rPr>
          <w:lang w:val="en-GB"/>
        </w:rPr>
        <w:t>8 mg per 24 hours</w:t>
      </w:r>
      <w:r w:rsidR="00F06883">
        <w:rPr>
          <w:lang w:val="en-GB"/>
        </w:rPr>
        <w:t xml:space="preserve"> and i</w:t>
      </w:r>
      <w:r w:rsidR="00DE0C9D" w:rsidRPr="00570966">
        <w:rPr>
          <w:lang w:val="en-GB"/>
        </w:rPr>
        <w:t xml:space="preserve">n patients with increased urinary sodium excretion, </w:t>
      </w:r>
      <w:r w:rsidR="00F06883">
        <w:rPr>
          <w:lang w:val="en-GB"/>
        </w:rPr>
        <w:t xml:space="preserve">the </w:t>
      </w:r>
      <w:r w:rsidR="00DE0C9D" w:rsidRPr="00570966">
        <w:rPr>
          <w:lang w:val="en-GB"/>
        </w:rPr>
        <w:t>mean urinary sodium excretion pre-treatment was 227</w:t>
      </w:r>
      <w:r w:rsidR="000610BD">
        <w:rPr>
          <w:lang w:val="en-GB"/>
        </w:rPr>
        <w:t>.</w:t>
      </w:r>
      <w:r w:rsidR="00DE0C9D" w:rsidRPr="00570966">
        <w:rPr>
          <w:lang w:val="en-GB"/>
        </w:rPr>
        <w:t>3</w:t>
      </w:r>
      <w:r w:rsidR="00DE0C9D" w:rsidRPr="00570966">
        <w:rPr>
          <w:rFonts w:ascii="Calibri" w:hAnsi="Calibri"/>
          <w:sz w:val="18"/>
          <w:szCs w:val="18"/>
          <w:lang w:val="en-GB"/>
        </w:rPr>
        <w:sym w:font="Symbol" w:char="F0B1"/>
      </w:r>
      <w:r w:rsidR="00DE0C9D" w:rsidRPr="00570966">
        <w:rPr>
          <w:lang w:val="en-GB"/>
        </w:rPr>
        <w:t>68</w:t>
      </w:r>
      <w:r w:rsidR="000610BD">
        <w:rPr>
          <w:lang w:val="en-GB"/>
        </w:rPr>
        <w:t>.</w:t>
      </w:r>
      <w:r w:rsidR="00DE0C9D" w:rsidRPr="00570966">
        <w:rPr>
          <w:lang w:val="en-GB"/>
        </w:rPr>
        <w:t xml:space="preserve">4 mmol per 24 hours. </w:t>
      </w:r>
      <w:r w:rsidR="00F06883">
        <w:rPr>
          <w:lang w:val="en-GB"/>
        </w:rPr>
        <w:t>Furthermore, i</w:t>
      </w:r>
      <w:r w:rsidR="00DE0C9D" w:rsidRPr="00570966">
        <w:rPr>
          <w:lang w:val="en-GB"/>
        </w:rPr>
        <w:t>n patients with increased protein intake, mean protein intake pre-treatment was 1</w:t>
      </w:r>
      <w:r w:rsidR="000610BD">
        <w:rPr>
          <w:lang w:val="en-GB"/>
        </w:rPr>
        <w:t>.</w:t>
      </w:r>
      <w:r w:rsidR="00DE0C9D" w:rsidRPr="00570966">
        <w:rPr>
          <w:lang w:val="en-GB"/>
        </w:rPr>
        <w:t>4</w:t>
      </w:r>
      <w:r w:rsidR="00DE0C9D" w:rsidRPr="00570966">
        <w:rPr>
          <w:rFonts w:ascii="Calibri" w:hAnsi="Calibri"/>
          <w:sz w:val="18"/>
          <w:szCs w:val="18"/>
          <w:lang w:val="en-GB"/>
        </w:rPr>
        <w:sym w:font="Symbol" w:char="F0B1"/>
      </w:r>
      <w:r w:rsidR="00DE0C9D" w:rsidRPr="00570966">
        <w:rPr>
          <w:lang w:val="en-GB"/>
        </w:rPr>
        <w:t>0</w:t>
      </w:r>
      <w:r w:rsidR="000610BD">
        <w:rPr>
          <w:lang w:val="en-GB"/>
        </w:rPr>
        <w:t>.</w:t>
      </w:r>
      <w:r w:rsidR="00DE0C9D" w:rsidRPr="00570966">
        <w:rPr>
          <w:lang w:val="en-GB"/>
        </w:rPr>
        <w:t>4 g/kg ideal weight per 24 hours</w:t>
      </w:r>
      <w:r w:rsidR="00F06883">
        <w:rPr>
          <w:lang w:val="en-GB"/>
        </w:rPr>
        <w:t xml:space="preserve"> and i</w:t>
      </w:r>
      <w:r w:rsidR="00DE0C9D" w:rsidRPr="00570966">
        <w:rPr>
          <w:lang w:val="en-GB"/>
        </w:rPr>
        <w:t>n patients with low urinary output, mean urinary volume was 1318</w:t>
      </w:r>
      <w:r w:rsidR="000610BD">
        <w:rPr>
          <w:lang w:val="en-GB"/>
        </w:rPr>
        <w:t>.</w:t>
      </w:r>
      <w:r w:rsidR="00DE0C9D" w:rsidRPr="00570966">
        <w:rPr>
          <w:lang w:val="en-GB"/>
        </w:rPr>
        <w:t>1</w:t>
      </w:r>
      <w:r w:rsidR="00DE0C9D" w:rsidRPr="00570966">
        <w:rPr>
          <w:rFonts w:ascii="Calibri" w:hAnsi="Calibri"/>
          <w:sz w:val="18"/>
          <w:szCs w:val="18"/>
          <w:lang w:val="en-GB"/>
        </w:rPr>
        <w:sym w:font="Symbol" w:char="F0B1"/>
      </w:r>
      <w:r w:rsidR="00DE0C9D" w:rsidRPr="00570966">
        <w:rPr>
          <w:lang w:val="en-GB"/>
        </w:rPr>
        <w:t>378</w:t>
      </w:r>
      <w:r w:rsidR="000610BD">
        <w:rPr>
          <w:lang w:val="en-GB"/>
        </w:rPr>
        <w:t>.</w:t>
      </w:r>
      <w:r w:rsidR="00DE0C9D" w:rsidRPr="00570966">
        <w:rPr>
          <w:lang w:val="en-GB"/>
        </w:rPr>
        <w:t xml:space="preserve">4 mL per 24 hours. </w:t>
      </w:r>
      <w:r w:rsidR="00F06883">
        <w:rPr>
          <w:lang w:val="en-GB"/>
        </w:rPr>
        <w:t>Finally, i</w:t>
      </w:r>
      <w:r w:rsidR="00DE0C9D" w:rsidRPr="00570966">
        <w:rPr>
          <w:lang w:val="en-GB"/>
        </w:rPr>
        <w:t>n patients with hypocitraturia, mean urinary citrate excretion was 818</w:t>
      </w:r>
      <w:r w:rsidR="000610BD">
        <w:rPr>
          <w:lang w:val="en-GB"/>
        </w:rPr>
        <w:t>.</w:t>
      </w:r>
      <w:r w:rsidR="00DE0C9D" w:rsidRPr="00570966">
        <w:rPr>
          <w:lang w:val="en-GB"/>
        </w:rPr>
        <w:t>4</w:t>
      </w:r>
      <w:r w:rsidR="00DE0C9D" w:rsidRPr="00570966">
        <w:rPr>
          <w:rFonts w:ascii="Calibri" w:hAnsi="Calibri"/>
          <w:sz w:val="18"/>
          <w:szCs w:val="18"/>
          <w:lang w:val="en-GB"/>
        </w:rPr>
        <w:sym w:font="Symbol" w:char="F0B1"/>
      </w:r>
      <w:r w:rsidR="00DE0C9D" w:rsidRPr="00570966">
        <w:rPr>
          <w:lang w:val="en-GB"/>
        </w:rPr>
        <w:t>465</w:t>
      </w:r>
      <w:r w:rsidR="000610BD">
        <w:rPr>
          <w:lang w:val="en-GB"/>
        </w:rPr>
        <w:t>.</w:t>
      </w:r>
      <w:r w:rsidR="00DE0C9D" w:rsidRPr="00570966">
        <w:rPr>
          <w:lang w:val="en-GB"/>
        </w:rPr>
        <w:t>8 µmol per 24 hours</w:t>
      </w:r>
      <w:r w:rsidR="00F06883">
        <w:rPr>
          <w:lang w:val="en-GB"/>
        </w:rPr>
        <w:t xml:space="preserve"> and i</w:t>
      </w:r>
      <w:r w:rsidR="00DE0C9D" w:rsidRPr="00570966">
        <w:rPr>
          <w:lang w:val="en-GB"/>
        </w:rPr>
        <w:t>n patients with low urinary pH, mean urinary pH was 5</w:t>
      </w:r>
      <w:r w:rsidR="000610BD">
        <w:rPr>
          <w:lang w:val="en-GB"/>
        </w:rPr>
        <w:t>.</w:t>
      </w:r>
      <w:r w:rsidR="00DE0C9D" w:rsidRPr="00570966">
        <w:rPr>
          <w:lang w:val="en-GB"/>
        </w:rPr>
        <w:t>1</w:t>
      </w:r>
      <w:r w:rsidR="00DE0C9D" w:rsidRPr="00570966">
        <w:rPr>
          <w:rFonts w:ascii="Calibri" w:hAnsi="Calibri"/>
          <w:sz w:val="18"/>
          <w:szCs w:val="18"/>
          <w:lang w:val="en-GB"/>
        </w:rPr>
        <w:sym w:font="Symbol" w:char="F0B1"/>
      </w:r>
      <w:r w:rsidR="00DE0C9D" w:rsidRPr="00570966">
        <w:rPr>
          <w:lang w:val="en-GB"/>
        </w:rPr>
        <w:t>0</w:t>
      </w:r>
      <w:r w:rsidR="000610BD">
        <w:rPr>
          <w:lang w:val="en-GB"/>
        </w:rPr>
        <w:t>.</w:t>
      </w:r>
      <w:r w:rsidR="00DE0C9D" w:rsidRPr="00570966">
        <w:rPr>
          <w:lang w:val="en-GB"/>
        </w:rPr>
        <w:t>2.</w:t>
      </w:r>
    </w:p>
    <w:p w14:paraId="5A0504DA" w14:textId="11BCFFB4" w:rsidR="0057187E" w:rsidRDefault="0057187E" w:rsidP="005769F3">
      <w:pPr>
        <w:spacing w:line="480" w:lineRule="auto"/>
        <w:jc w:val="both"/>
        <w:rPr>
          <w:lang w:val="en-GB"/>
        </w:rPr>
      </w:pPr>
    </w:p>
    <w:p w14:paraId="1AAA5171" w14:textId="6B22CF31" w:rsidR="0057187E" w:rsidRDefault="0057187E" w:rsidP="005769F3">
      <w:pPr>
        <w:spacing w:line="480" w:lineRule="auto"/>
        <w:jc w:val="both"/>
        <w:rPr>
          <w:lang w:val="en-GB"/>
        </w:rPr>
      </w:pPr>
    </w:p>
    <w:p w14:paraId="31737FC4" w14:textId="2F6A2619" w:rsidR="0057187E" w:rsidRDefault="0057187E" w:rsidP="005769F3">
      <w:pPr>
        <w:spacing w:line="480" w:lineRule="auto"/>
        <w:jc w:val="both"/>
        <w:rPr>
          <w:lang w:val="en-GB"/>
        </w:rPr>
      </w:pPr>
    </w:p>
    <w:p w14:paraId="1644505F" w14:textId="39B5512D" w:rsidR="0057187E" w:rsidRDefault="0057187E" w:rsidP="005769F3">
      <w:pPr>
        <w:spacing w:line="480" w:lineRule="auto"/>
        <w:jc w:val="both"/>
        <w:rPr>
          <w:lang w:val="en-GB"/>
        </w:rPr>
      </w:pPr>
    </w:p>
    <w:p w14:paraId="7BF80F4C" w14:textId="49E400DB" w:rsidR="0057187E" w:rsidRDefault="0057187E" w:rsidP="005769F3">
      <w:pPr>
        <w:spacing w:line="480" w:lineRule="auto"/>
        <w:jc w:val="both"/>
        <w:rPr>
          <w:lang w:val="en-GB"/>
        </w:rPr>
      </w:pPr>
    </w:p>
    <w:p w14:paraId="4B01B776" w14:textId="3B2DB53D" w:rsidR="0057187E" w:rsidRDefault="0057187E" w:rsidP="005769F3">
      <w:pPr>
        <w:spacing w:line="480" w:lineRule="auto"/>
        <w:jc w:val="both"/>
        <w:rPr>
          <w:lang w:val="en-GB"/>
        </w:rPr>
      </w:pPr>
    </w:p>
    <w:p w14:paraId="638EB961" w14:textId="42D3778B" w:rsidR="0057187E" w:rsidRDefault="0057187E" w:rsidP="005769F3">
      <w:pPr>
        <w:spacing w:line="480" w:lineRule="auto"/>
        <w:jc w:val="both"/>
        <w:rPr>
          <w:lang w:val="en-GB"/>
        </w:rPr>
      </w:pPr>
    </w:p>
    <w:p w14:paraId="459DE4C4" w14:textId="2140DDEA" w:rsidR="0057187E" w:rsidRDefault="0057187E" w:rsidP="005769F3">
      <w:pPr>
        <w:spacing w:line="480" w:lineRule="auto"/>
        <w:jc w:val="both"/>
        <w:rPr>
          <w:lang w:val="en-GB"/>
        </w:rPr>
      </w:pPr>
    </w:p>
    <w:p w14:paraId="508E1666" w14:textId="5929A726" w:rsidR="0057187E" w:rsidRDefault="0057187E" w:rsidP="005769F3">
      <w:pPr>
        <w:spacing w:line="480" w:lineRule="auto"/>
        <w:jc w:val="both"/>
        <w:rPr>
          <w:lang w:val="en-GB"/>
        </w:rPr>
      </w:pPr>
    </w:p>
    <w:p w14:paraId="733ECD9C" w14:textId="77777777" w:rsidR="0057187E" w:rsidRDefault="0057187E" w:rsidP="0057187E">
      <w:pPr>
        <w:rPr>
          <w:rFonts w:cstheme="minorHAnsi"/>
          <w:sz w:val="24"/>
          <w:szCs w:val="24"/>
          <w:u w:val="single"/>
          <w:lang w:val="en-GB"/>
        </w:rPr>
        <w:sectPr w:rsidR="0057187E" w:rsidSect="00540A95">
          <w:footerReference w:type="default" r:id="rId13"/>
          <w:type w:val="continuous"/>
          <w:pgSz w:w="11906" w:h="16838"/>
          <w:pgMar w:top="1418" w:right="1418" w:bottom="1418" w:left="1418" w:header="709" w:footer="709" w:gutter="0"/>
          <w:cols w:space="708"/>
          <w:docGrid w:linePitch="360"/>
        </w:sectPr>
      </w:pPr>
    </w:p>
    <w:p w14:paraId="3D78A8EE" w14:textId="0437FF03" w:rsidR="0057187E" w:rsidRPr="00800B07" w:rsidRDefault="0057187E" w:rsidP="0057187E">
      <w:pPr>
        <w:rPr>
          <w:rFonts w:cstheme="minorHAnsi"/>
          <w:sz w:val="24"/>
          <w:szCs w:val="24"/>
          <w:lang w:val="en-GB"/>
        </w:rPr>
      </w:pPr>
      <w:r w:rsidRPr="00800B07">
        <w:rPr>
          <w:rFonts w:cstheme="minorHAnsi"/>
          <w:sz w:val="24"/>
          <w:szCs w:val="24"/>
          <w:u w:val="single"/>
          <w:lang w:val="en-GB"/>
        </w:rPr>
        <w:lastRenderedPageBreak/>
        <w:t xml:space="preserve">Table 6: </w:t>
      </w:r>
      <w:r w:rsidRPr="00800B07">
        <w:rPr>
          <w:rFonts w:cstheme="minorHAnsi"/>
          <w:sz w:val="24"/>
          <w:szCs w:val="24"/>
          <w:lang w:val="en-GB"/>
        </w:rPr>
        <w:t>mean urinary parameters and presence of urinary risk factors at baseline</w:t>
      </w:r>
      <w:r w:rsidRPr="00800B07">
        <w:rPr>
          <w:rFonts w:cstheme="minorHAnsi"/>
          <w:sz w:val="24"/>
          <w:szCs w:val="24"/>
          <w:u w:val="single"/>
          <w:lang w:val="en-GB"/>
        </w:rPr>
        <w:t xml:space="preserve"> </w:t>
      </w:r>
    </w:p>
    <w:tbl>
      <w:tblPr>
        <w:tblW w:w="5569" w:type="pct"/>
        <w:tblInd w:w="-567" w:type="dxa"/>
        <w:tblCellMar>
          <w:left w:w="28" w:type="dxa"/>
          <w:right w:w="28" w:type="dxa"/>
        </w:tblCellMar>
        <w:tblLook w:val="04A0" w:firstRow="1" w:lastRow="0" w:firstColumn="1" w:lastColumn="0" w:noHBand="0" w:noVBand="1"/>
      </w:tblPr>
      <w:tblGrid>
        <w:gridCol w:w="4392"/>
        <w:gridCol w:w="1271"/>
        <w:gridCol w:w="1416"/>
        <w:gridCol w:w="1416"/>
        <w:gridCol w:w="1419"/>
        <w:gridCol w:w="1416"/>
        <w:gridCol w:w="1416"/>
        <w:gridCol w:w="1416"/>
        <w:gridCol w:w="1428"/>
      </w:tblGrid>
      <w:tr w:rsidR="0057187E" w:rsidRPr="00800B07" w14:paraId="43B74F4A" w14:textId="77777777" w:rsidTr="0057187E">
        <w:trPr>
          <w:trHeight w:val="510"/>
        </w:trPr>
        <w:tc>
          <w:tcPr>
            <w:tcW w:w="1409" w:type="pct"/>
            <w:tcBorders>
              <w:top w:val="nil"/>
              <w:bottom w:val="single" w:sz="4" w:space="0" w:color="auto"/>
              <w:right w:val="single" w:sz="4" w:space="0" w:color="auto"/>
            </w:tcBorders>
          </w:tcPr>
          <w:p w14:paraId="58F58FBF" w14:textId="77777777" w:rsidR="0057187E" w:rsidRPr="00800B07" w:rsidRDefault="0057187E" w:rsidP="0057187E">
            <w:pPr>
              <w:spacing w:after="0"/>
              <w:rPr>
                <w:rFonts w:cstheme="minorHAnsi"/>
                <w:b/>
                <w:bCs/>
                <w:lang w:val="en-GB"/>
              </w:rPr>
            </w:pPr>
          </w:p>
        </w:tc>
        <w:tc>
          <w:tcPr>
            <w:tcW w:w="408" w:type="pct"/>
            <w:tcBorders>
              <w:top w:val="single" w:sz="4" w:space="0" w:color="auto"/>
              <w:left w:val="single" w:sz="4" w:space="0" w:color="auto"/>
              <w:bottom w:val="single" w:sz="12" w:space="0" w:color="auto"/>
              <w:right w:val="single" w:sz="12" w:space="0" w:color="auto"/>
            </w:tcBorders>
            <w:shd w:val="clear" w:color="auto" w:fill="000000" w:themeFill="text1"/>
            <w:hideMark/>
          </w:tcPr>
          <w:p w14:paraId="5F9871B2"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Total study population         (n = 835)</w:t>
            </w:r>
          </w:p>
        </w:tc>
        <w:tc>
          <w:tcPr>
            <w:tcW w:w="454" w:type="pct"/>
            <w:tcBorders>
              <w:top w:val="single" w:sz="4" w:space="0" w:color="auto"/>
              <w:left w:val="single" w:sz="12" w:space="0" w:color="auto"/>
              <w:bottom w:val="single" w:sz="4" w:space="0" w:color="auto"/>
              <w:right w:val="single" w:sz="4" w:space="0" w:color="auto"/>
            </w:tcBorders>
            <w:shd w:val="clear" w:color="auto" w:fill="000000" w:themeFill="text1"/>
            <w:hideMark/>
          </w:tcPr>
          <w:p w14:paraId="764E954C" w14:textId="77777777" w:rsidR="0057187E" w:rsidRPr="00800B07" w:rsidRDefault="0057187E" w:rsidP="0057187E">
            <w:pPr>
              <w:spacing w:after="0"/>
              <w:rPr>
                <w:rFonts w:cstheme="minorHAnsi"/>
                <w:b/>
                <w:bCs/>
                <w:sz w:val="18"/>
                <w:szCs w:val="18"/>
                <w:lang w:val="fr-BE"/>
              </w:rPr>
            </w:pPr>
            <w:r w:rsidRPr="00800B07">
              <w:rPr>
                <w:rFonts w:cstheme="minorHAnsi"/>
                <w:sz w:val="18"/>
                <w:szCs w:val="18"/>
                <w:lang w:val="fr-BE"/>
              </w:rPr>
              <w:t>Calcium oxalate stones                    (n = 370)</w:t>
            </w:r>
          </w:p>
        </w:tc>
        <w:tc>
          <w:tcPr>
            <w:tcW w:w="454" w:type="pct"/>
            <w:tcBorders>
              <w:top w:val="single" w:sz="4" w:space="0" w:color="auto"/>
              <w:left w:val="single" w:sz="4" w:space="0" w:color="auto"/>
              <w:bottom w:val="single" w:sz="4" w:space="0" w:color="auto"/>
              <w:right w:val="single" w:sz="4" w:space="0" w:color="auto"/>
            </w:tcBorders>
            <w:shd w:val="clear" w:color="auto" w:fill="000000" w:themeFill="text1"/>
          </w:tcPr>
          <w:p w14:paraId="3FC28A6F" w14:textId="77777777" w:rsidR="0057187E" w:rsidRPr="00800B07" w:rsidRDefault="0057187E" w:rsidP="0057187E">
            <w:pPr>
              <w:spacing w:after="0"/>
              <w:rPr>
                <w:rFonts w:cstheme="minorHAnsi"/>
                <w:sz w:val="18"/>
                <w:szCs w:val="18"/>
                <w:lang w:val="fr-BE"/>
              </w:rPr>
            </w:pPr>
            <w:proofErr w:type="spellStart"/>
            <w:r w:rsidRPr="00800B07">
              <w:rPr>
                <w:rFonts w:cstheme="minorHAnsi"/>
                <w:sz w:val="18"/>
                <w:szCs w:val="18"/>
                <w:lang w:val="fr-BE"/>
              </w:rPr>
              <w:t>Uric</w:t>
            </w:r>
            <w:proofErr w:type="spellEnd"/>
            <w:r w:rsidRPr="00800B07">
              <w:rPr>
                <w:rFonts w:cstheme="minorHAnsi"/>
                <w:sz w:val="18"/>
                <w:szCs w:val="18"/>
                <w:lang w:val="fr-BE"/>
              </w:rPr>
              <w:t xml:space="preserve"> </w:t>
            </w:r>
            <w:proofErr w:type="spellStart"/>
            <w:r w:rsidRPr="00800B07">
              <w:rPr>
                <w:rFonts w:cstheme="minorHAnsi"/>
                <w:sz w:val="18"/>
                <w:szCs w:val="18"/>
                <w:lang w:val="fr-BE"/>
              </w:rPr>
              <w:t>acid</w:t>
            </w:r>
            <w:proofErr w:type="spellEnd"/>
            <w:r w:rsidRPr="00800B07">
              <w:rPr>
                <w:rFonts w:cstheme="minorHAnsi"/>
                <w:sz w:val="18"/>
                <w:szCs w:val="18"/>
                <w:lang w:val="fr-BE"/>
              </w:rPr>
              <w:t xml:space="preserve">  stones    (n = 37)</w:t>
            </w:r>
          </w:p>
        </w:tc>
        <w:tc>
          <w:tcPr>
            <w:tcW w:w="455" w:type="pct"/>
            <w:tcBorders>
              <w:top w:val="single" w:sz="4" w:space="0" w:color="auto"/>
              <w:left w:val="single" w:sz="4" w:space="0" w:color="auto"/>
              <w:bottom w:val="single" w:sz="4" w:space="0" w:color="auto"/>
              <w:right w:val="single" w:sz="4" w:space="0" w:color="auto"/>
            </w:tcBorders>
            <w:shd w:val="clear" w:color="auto" w:fill="000000" w:themeFill="text1"/>
          </w:tcPr>
          <w:p w14:paraId="254587B0"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Cystine stones     (n = 21)</w:t>
            </w:r>
          </w:p>
        </w:tc>
        <w:tc>
          <w:tcPr>
            <w:tcW w:w="454" w:type="pct"/>
            <w:tcBorders>
              <w:top w:val="single" w:sz="4" w:space="0" w:color="auto"/>
              <w:left w:val="single" w:sz="4" w:space="0" w:color="auto"/>
              <w:bottom w:val="single" w:sz="4" w:space="0" w:color="auto"/>
              <w:right w:val="single" w:sz="4" w:space="0" w:color="auto"/>
            </w:tcBorders>
            <w:shd w:val="clear" w:color="auto" w:fill="000000" w:themeFill="text1"/>
          </w:tcPr>
          <w:p w14:paraId="777329B9"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Mixed stones       (n = 19)</w:t>
            </w:r>
          </w:p>
        </w:tc>
        <w:tc>
          <w:tcPr>
            <w:tcW w:w="454"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814A6A7" w14:textId="77777777" w:rsidR="0057187E" w:rsidRPr="00800B07" w:rsidRDefault="0057187E" w:rsidP="0057187E">
            <w:pPr>
              <w:spacing w:after="0"/>
              <w:rPr>
                <w:rFonts w:cstheme="minorHAnsi"/>
                <w:b/>
                <w:bCs/>
                <w:sz w:val="18"/>
                <w:szCs w:val="18"/>
                <w:lang w:val="fr-BE"/>
              </w:rPr>
            </w:pPr>
            <w:r w:rsidRPr="00800B07">
              <w:rPr>
                <w:rFonts w:cstheme="minorHAnsi"/>
                <w:sz w:val="18"/>
                <w:szCs w:val="18"/>
                <w:lang w:val="fr-BE"/>
              </w:rPr>
              <w:t>Calcium phosphate stones  (n = 14)</w:t>
            </w:r>
          </w:p>
        </w:tc>
        <w:tc>
          <w:tcPr>
            <w:tcW w:w="454" w:type="pct"/>
            <w:tcBorders>
              <w:top w:val="single" w:sz="4" w:space="0" w:color="auto"/>
              <w:left w:val="single" w:sz="4" w:space="0" w:color="auto"/>
              <w:bottom w:val="single" w:sz="4" w:space="0" w:color="auto"/>
              <w:right w:val="single" w:sz="4" w:space="0" w:color="auto"/>
            </w:tcBorders>
            <w:shd w:val="clear" w:color="auto" w:fill="000000" w:themeFill="text1"/>
          </w:tcPr>
          <w:p w14:paraId="6B4A25AA"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Struvite stones</w:t>
            </w:r>
          </w:p>
          <w:p w14:paraId="1693D229"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(n = 11)</w:t>
            </w:r>
          </w:p>
        </w:tc>
        <w:tc>
          <w:tcPr>
            <w:tcW w:w="458"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3FF23BD9" w14:textId="77777777" w:rsidR="0057187E" w:rsidRPr="00800B07" w:rsidRDefault="0057187E" w:rsidP="0057187E">
            <w:pPr>
              <w:spacing w:after="0"/>
              <w:rPr>
                <w:rFonts w:cstheme="minorHAnsi"/>
                <w:sz w:val="18"/>
                <w:szCs w:val="18"/>
                <w:lang w:val="fr-BE"/>
              </w:rPr>
            </w:pPr>
            <w:proofErr w:type="spellStart"/>
            <w:r w:rsidRPr="00800B07">
              <w:rPr>
                <w:rFonts w:cstheme="minorHAnsi"/>
                <w:sz w:val="18"/>
                <w:szCs w:val="18"/>
                <w:lang w:val="fr-BE"/>
              </w:rPr>
              <w:t>Brushite</w:t>
            </w:r>
            <w:proofErr w:type="spellEnd"/>
            <w:r w:rsidRPr="00800B07">
              <w:rPr>
                <w:rFonts w:cstheme="minorHAnsi"/>
                <w:sz w:val="18"/>
                <w:szCs w:val="18"/>
                <w:lang w:val="fr-BE"/>
              </w:rPr>
              <w:t xml:space="preserve"> stones</w:t>
            </w:r>
          </w:p>
          <w:p w14:paraId="4AEEBC36" w14:textId="77777777" w:rsidR="0057187E" w:rsidRPr="00800B07" w:rsidRDefault="0057187E" w:rsidP="0057187E">
            <w:pPr>
              <w:spacing w:after="0"/>
              <w:rPr>
                <w:rFonts w:cstheme="minorHAnsi"/>
                <w:b/>
                <w:bCs/>
                <w:sz w:val="18"/>
                <w:szCs w:val="18"/>
                <w:lang w:val="fr-BE"/>
              </w:rPr>
            </w:pPr>
            <w:r w:rsidRPr="00800B07">
              <w:rPr>
                <w:rFonts w:cstheme="minorHAnsi"/>
                <w:sz w:val="18"/>
                <w:szCs w:val="18"/>
                <w:lang w:val="fr-BE"/>
              </w:rPr>
              <w:t xml:space="preserve"> (n = 10)</w:t>
            </w:r>
          </w:p>
        </w:tc>
      </w:tr>
      <w:tr w:rsidR="0057187E" w:rsidRPr="00800B07" w14:paraId="71D4A0B6" w14:textId="77777777" w:rsidTr="0057187E">
        <w:trPr>
          <w:trHeight w:val="279"/>
        </w:trPr>
        <w:tc>
          <w:tcPr>
            <w:tcW w:w="5000" w:type="pct"/>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69A465" w14:textId="77777777" w:rsidR="0057187E" w:rsidRPr="00800B07" w:rsidRDefault="0057187E" w:rsidP="0057187E">
            <w:pPr>
              <w:spacing w:after="0"/>
              <w:rPr>
                <w:rFonts w:cstheme="minorHAnsi"/>
                <w:color w:val="FFFFFF" w:themeColor="background1"/>
                <w:sz w:val="18"/>
                <w:szCs w:val="18"/>
                <w:lang w:val="en-GB"/>
              </w:rPr>
            </w:pPr>
            <w:r w:rsidRPr="00800B07">
              <w:rPr>
                <w:rFonts w:cstheme="minorHAnsi"/>
                <w:color w:val="FFFFFF" w:themeColor="background1"/>
                <w:sz w:val="18"/>
                <w:szCs w:val="18"/>
                <w:lang w:val="en-GB"/>
              </w:rPr>
              <w:t>URINARY PARAMETERS</w:t>
            </w:r>
          </w:p>
        </w:tc>
      </w:tr>
      <w:tr w:rsidR="0057187E" w:rsidRPr="00800B07" w14:paraId="1ED08F8B" w14:textId="77777777" w:rsidTr="0057187E">
        <w:trPr>
          <w:trHeight w:val="407"/>
        </w:trPr>
        <w:tc>
          <w:tcPr>
            <w:tcW w:w="1409" w:type="pct"/>
            <w:tcBorders>
              <w:top w:val="single" w:sz="4" w:space="0" w:color="auto"/>
              <w:left w:val="single" w:sz="4" w:space="0" w:color="auto"/>
              <w:bottom w:val="single" w:sz="4" w:space="0" w:color="auto"/>
              <w:right w:val="single" w:sz="12" w:space="0" w:color="auto"/>
            </w:tcBorders>
          </w:tcPr>
          <w:p w14:paraId="05266726" w14:textId="77777777" w:rsidR="0057187E" w:rsidRPr="00800B07" w:rsidRDefault="0057187E" w:rsidP="0057187E">
            <w:pPr>
              <w:spacing w:after="0"/>
              <w:rPr>
                <w:rFonts w:cstheme="minorHAnsi"/>
                <w:sz w:val="18"/>
                <w:szCs w:val="18"/>
                <w:lang w:val="en-GB"/>
              </w:rPr>
            </w:pPr>
            <w:r w:rsidRPr="00800B07">
              <w:rPr>
                <w:rFonts w:cstheme="minorHAnsi"/>
                <w:b/>
                <w:bCs/>
                <w:sz w:val="18"/>
                <w:szCs w:val="18"/>
                <w:lang w:val="en-GB"/>
              </w:rPr>
              <w:t xml:space="preserve">Urinary oxalate excretion, </w:t>
            </w:r>
            <w:r w:rsidRPr="00800B07">
              <w:rPr>
                <w:rFonts w:cstheme="minorHAnsi"/>
                <w:sz w:val="18"/>
                <w:szCs w:val="18"/>
                <w:lang w:val="en-GB"/>
              </w:rPr>
              <w:t>mean</w:t>
            </w:r>
            <w:r w:rsidRPr="00800B07">
              <w:rPr>
                <w:rFonts w:cstheme="minorHAnsi"/>
                <w:sz w:val="18"/>
                <w:szCs w:val="18"/>
                <w:lang w:val="en-GB"/>
              </w:rPr>
              <w:sym w:font="Symbol" w:char="F0B1"/>
            </w:r>
            <w:r w:rsidRPr="00800B07">
              <w:rPr>
                <w:rFonts w:cstheme="minorHAnsi"/>
                <w:sz w:val="18"/>
                <w:szCs w:val="18"/>
                <w:lang w:val="en-GB"/>
              </w:rPr>
              <w:t xml:space="preserve">SD (mg/24h)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2D4FC831" w14:textId="77777777" w:rsidR="0057187E" w:rsidRPr="00800B07" w:rsidRDefault="0057187E" w:rsidP="0057187E">
            <w:pPr>
              <w:rPr>
                <w:rFonts w:cstheme="minorHAnsi"/>
                <w:sz w:val="18"/>
                <w:szCs w:val="18"/>
                <w:lang w:val="en-GB"/>
              </w:rPr>
            </w:pPr>
            <w:r w:rsidRPr="00800B07">
              <w:rPr>
                <w:rFonts w:cstheme="minorHAnsi"/>
                <w:sz w:val="18"/>
                <w:szCs w:val="18"/>
                <w:lang w:val="en-GB"/>
              </w:rPr>
              <w:t>43</w:t>
            </w:r>
            <w:r>
              <w:rPr>
                <w:rFonts w:cstheme="minorHAnsi"/>
                <w:sz w:val="18"/>
                <w:szCs w:val="18"/>
                <w:lang w:val="en-GB"/>
              </w:rPr>
              <w:t>.</w:t>
            </w:r>
            <w:r w:rsidRPr="00800B07">
              <w:rPr>
                <w:rFonts w:cstheme="minorHAnsi"/>
                <w:sz w:val="18"/>
                <w:szCs w:val="18"/>
                <w:lang w:val="en-GB"/>
              </w:rPr>
              <w:t>0</w:t>
            </w:r>
            <w:r w:rsidRPr="00800B07">
              <w:rPr>
                <w:rFonts w:cstheme="minorHAnsi"/>
                <w:sz w:val="18"/>
                <w:szCs w:val="18"/>
                <w:lang w:val="en-GB"/>
              </w:rPr>
              <w:sym w:font="Symbol" w:char="F0B1"/>
            </w:r>
            <w:r w:rsidRPr="00800B07">
              <w:rPr>
                <w:rFonts w:cstheme="minorHAnsi"/>
                <w:sz w:val="18"/>
                <w:szCs w:val="18"/>
                <w:lang w:val="en-GB"/>
              </w:rPr>
              <w:t>18</w:t>
            </w:r>
            <w:r>
              <w:rPr>
                <w:rFonts w:cstheme="minorHAnsi"/>
                <w:sz w:val="18"/>
                <w:szCs w:val="18"/>
                <w:lang w:val="en-GB"/>
              </w:rPr>
              <w:t>.</w:t>
            </w:r>
            <w:r w:rsidRPr="00800B07">
              <w:rPr>
                <w:rFonts w:cstheme="minorHAnsi"/>
                <w:sz w:val="18"/>
                <w:szCs w:val="18"/>
                <w:lang w:val="en-GB"/>
              </w:rPr>
              <w:t>4</w:t>
            </w:r>
          </w:p>
        </w:tc>
        <w:tc>
          <w:tcPr>
            <w:tcW w:w="454" w:type="pct"/>
            <w:tcBorders>
              <w:top w:val="single" w:sz="4" w:space="0" w:color="auto"/>
              <w:left w:val="single" w:sz="12" w:space="0" w:color="auto"/>
              <w:bottom w:val="single" w:sz="4" w:space="0" w:color="auto"/>
              <w:right w:val="single" w:sz="4" w:space="0" w:color="auto"/>
            </w:tcBorders>
          </w:tcPr>
          <w:p w14:paraId="68BFB9CB" w14:textId="77777777" w:rsidR="0057187E" w:rsidRPr="00800B07" w:rsidRDefault="0057187E" w:rsidP="0057187E">
            <w:pPr>
              <w:rPr>
                <w:rFonts w:cstheme="minorHAnsi"/>
                <w:sz w:val="18"/>
                <w:szCs w:val="18"/>
                <w:lang w:val="en-GB"/>
              </w:rPr>
            </w:pPr>
            <w:r w:rsidRPr="00800B07">
              <w:rPr>
                <w:rFonts w:cstheme="minorHAnsi"/>
                <w:sz w:val="18"/>
                <w:szCs w:val="18"/>
                <w:lang w:val="en-GB"/>
              </w:rPr>
              <w:t>44</w:t>
            </w:r>
            <w:r>
              <w:rPr>
                <w:rFonts w:cstheme="minorHAnsi"/>
                <w:sz w:val="18"/>
                <w:szCs w:val="18"/>
                <w:lang w:val="en-GB"/>
              </w:rPr>
              <w:t>.</w:t>
            </w:r>
            <w:r w:rsidRPr="00800B07">
              <w:rPr>
                <w:rFonts w:cstheme="minorHAnsi"/>
                <w:sz w:val="18"/>
                <w:szCs w:val="18"/>
                <w:lang w:val="en-GB"/>
              </w:rPr>
              <w:t>1</w:t>
            </w:r>
            <w:r w:rsidRPr="00800B07">
              <w:rPr>
                <w:rFonts w:cstheme="minorHAnsi"/>
                <w:sz w:val="18"/>
                <w:szCs w:val="18"/>
                <w:lang w:val="en-GB"/>
              </w:rPr>
              <w:sym w:font="Symbol" w:char="F0B1"/>
            </w:r>
            <w:r w:rsidRPr="00800B07">
              <w:rPr>
                <w:rFonts w:cstheme="minorHAnsi"/>
                <w:sz w:val="18"/>
                <w:szCs w:val="18"/>
                <w:lang w:val="en-GB"/>
              </w:rPr>
              <w:t>18</w:t>
            </w:r>
            <w:r>
              <w:rPr>
                <w:rFonts w:cstheme="minorHAnsi"/>
                <w:sz w:val="18"/>
                <w:szCs w:val="18"/>
                <w:lang w:val="en-GB"/>
              </w:rPr>
              <w:t>.</w:t>
            </w:r>
            <w:r w:rsidRPr="00800B07">
              <w:rPr>
                <w:rFonts w:cstheme="minorHAnsi"/>
                <w:sz w:val="18"/>
                <w:szCs w:val="18"/>
                <w:lang w:val="en-GB"/>
              </w:rPr>
              <w:t>3</w:t>
            </w:r>
          </w:p>
        </w:tc>
        <w:tc>
          <w:tcPr>
            <w:tcW w:w="454" w:type="pct"/>
            <w:tcBorders>
              <w:top w:val="single" w:sz="4" w:space="0" w:color="auto"/>
              <w:left w:val="single" w:sz="4" w:space="0" w:color="auto"/>
              <w:bottom w:val="single" w:sz="4" w:space="0" w:color="auto"/>
              <w:right w:val="single" w:sz="4" w:space="0" w:color="auto"/>
            </w:tcBorders>
          </w:tcPr>
          <w:p w14:paraId="1E479137" w14:textId="77777777" w:rsidR="0057187E" w:rsidRPr="00800B07" w:rsidRDefault="0057187E" w:rsidP="0057187E">
            <w:pPr>
              <w:rPr>
                <w:rFonts w:cstheme="minorHAnsi"/>
                <w:sz w:val="18"/>
                <w:szCs w:val="18"/>
                <w:lang w:val="en-GB"/>
              </w:rPr>
            </w:pPr>
            <w:r w:rsidRPr="00800B07">
              <w:rPr>
                <w:rFonts w:cstheme="minorHAnsi"/>
                <w:sz w:val="18"/>
                <w:szCs w:val="18"/>
                <w:lang w:val="en-GB"/>
              </w:rPr>
              <w:t>47</w:t>
            </w:r>
            <w:r>
              <w:rPr>
                <w:rFonts w:cstheme="minorHAnsi"/>
                <w:sz w:val="18"/>
                <w:szCs w:val="18"/>
                <w:lang w:val="en-GB"/>
              </w:rPr>
              <w:t>.</w:t>
            </w:r>
            <w:r w:rsidRPr="00800B07">
              <w:rPr>
                <w:rFonts w:cstheme="minorHAnsi"/>
                <w:sz w:val="18"/>
                <w:szCs w:val="18"/>
                <w:lang w:val="en-GB"/>
              </w:rPr>
              <w:t>0</w:t>
            </w:r>
            <w:r w:rsidRPr="00800B07">
              <w:rPr>
                <w:rFonts w:cstheme="minorHAnsi"/>
                <w:sz w:val="18"/>
                <w:szCs w:val="18"/>
                <w:lang w:val="en-GB"/>
              </w:rPr>
              <w:sym w:font="Symbol" w:char="F0B1"/>
            </w:r>
            <w:r w:rsidRPr="00800B07">
              <w:rPr>
                <w:rFonts w:cstheme="minorHAnsi"/>
                <w:sz w:val="18"/>
                <w:szCs w:val="18"/>
                <w:lang w:val="en-GB"/>
              </w:rPr>
              <w:t>21</w:t>
            </w:r>
            <w:r>
              <w:rPr>
                <w:rFonts w:cstheme="minorHAnsi"/>
                <w:sz w:val="18"/>
                <w:szCs w:val="18"/>
                <w:lang w:val="en-GB"/>
              </w:rPr>
              <w:t>.</w:t>
            </w:r>
            <w:r w:rsidRPr="00800B07">
              <w:rPr>
                <w:rFonts w:cstheme="minorHAnsi"/>
                <w:sz w:val="18"/>
                <w:szCs w:val="18"/>
                <w:lang w:val="en-GB"/>
              </w:rPr>
              <w:t>7</w:t>
            </w:r>
          </w:p>
        </w:tc>
        <w:tc>
          <w:tcPr>
            <w:tcW w:w="455" w:type="pct"/>
            <w:tcBorders>
              <w:top w:val="single" w:sz="4" w:space="0" w:color="auto"/>
              <w:left w:val="single" w:sz="4" w:space="0" w:color="auto"/>
              <w:bottom w:val="single" w:sz="4" w:space="0" w:color="auto"/>
              <w:right w:val="single" w:sz="4" w:space="0" w:color="auto"/>
            </w:tcBorders>
          </w:tcPr>
          <w:p w14:paraId="3A9AB71C" w14:textId="77777777" w:rsidR="0057187E" w:rsidRPr="00800B07" w:rsidRDefault="0057187E" w:rsidP="0057187E">
            <w:pPr>
              <w:rPr>
                <w:rFonts w:cstheme="minorHAnsi"/>
                <w:sz w:val="18"/>
                <w:szCs w:val="18"/>
                <w:lang w:val="en-GB"/>
              </w:rPr>
            </w:pPr>
            <w:r w:rsidRPr="00800B07">
              <w:rPr>
                <w:rFonts w:cstheme="minorHAnsi"/>
                <w:sz w:val="18"/>
                <w:szCs w:val="18"/>
                <w:lang w:val="en-GB"/>
              </w:rPr>
              <w:t>44</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17</w:t>
            </w:r>
            <w:r>
              <w:rPr>
                <w:rFonts w:cstheme="minorHAnsi"/>
                <w:sz w:val="18"/>
                <w:szCs w:val="18"/>
                <w:lang w:val="en-GB"/>
              </w:rPr>
              <w:t>.</w:t>
            </w:r>
            <w:r w:rsidRPr="00800B07">
              <w:rPr>
                <w:rFonts w:cstheme="minorHAnsi"/>
                <w:sz w:val="18"/>
                <w:szCs w:val="18"/>
                <w:lang w:val="en-GB"/>
              </w:rPr>
              <w:t>5</w:t>
            </w:r>
          </w:p>
        </w:tc>
        <w:tc>
          <w:tcPr>
            <w:tcW w:w="454" w:type="pct"/>
            <w:tcBorders>
              <w:top w:val="single" w:sz="4" w:space="0" w:color="auto"/>
              <w:left w:val="single" w:sz="4" w:space="0" w:color="auto"/>
              <w:bottom w:val="single" w:sz="4" w:space="0" w:color="auto"/>
              <w:right w:val="single" w:sz="4" w:space="0" w:color="auto"/>
            </w:tcBorders>
          </w:tcPr>
          <w:p w14:paraId="5C6F75A0" w14:textId="77777777" w:rsidR="0057187E" w:rsidRPr="00800B07" w:rsidRDefault="0057187E" w:rsidP="0057187E">
            <w:pPr>
              <w:rPr>
                <w:rFonts w:cstheme="minorHAnsi"/>
                <w:sz w:val="18"/>
                <w:szCs w:val="18"/>
                <w:lang w:val="en-GB"/>
              </w:rPr>
            </w:pPr>
            <w:r w:rsidRPr="00800B07">
              <w:rPr>
                <w:rFonts w:cstheme="minorHAnsi"/>
                <w:sz w:val="18"/>
                <w:szCs w:val="18"/>
                <w:lang w:val="en-GB"/>
              </w:rPr>
              <w:t>42</w:t>
            </w:r>
            <w:r>
              <w:rPr>
                <w:rFonts w:cstheme="minorHAnsi"/>
                <w:sz w:val="18"/>
                <w:szCs w:val="18"/>
                <w:lang w:val="en-GB"/>
              </w:rPr>
              <w:t>.</w:t>
            </w:r>
            <w:r w:rsidRPr="00800B07">
              <w:rPr>
                <w:rFonts w:cstheme="minorHAnsi"/>
                <w:sz w:val="18"/>
                <w:szCs w:val="18"/>
                <w:lang w:val="en-GB"/>
              </w:rPr>
              <w:t>3</w:t>
            </w:r>
            <w:r w:rsidRPr="00800B07">
              <w:rPr>
                <w:rFonts w:cstheme="minorHAnsi"/>
                <w:sz w:val="18"/>
                <w:szCs w:val="18"/>
                <w:lang w:val="en-GB"/>
              </w:rPr>
              <w:sym w:font="Symbol" w:char="F0B1"/>
            </w:r>
            <w:r w:rsidRPr="00800B07">
              <w:rPr>
                <w:rFonts w:cstheme="minorHAnsi"/>
                <w:sz w:val="18"/>
                <w:szCs w:val="18"/>
                <w:lang w:val="en-GB"/>
              </w:rPr>
              <w:t>19</w:t>
            </w:r>
            <w:r>
              <w:rPr>
                <w:rFonts w:cstheme="minorHAnsi"/>
                <w:sz w:val="18"/>
                <w:szCs w:val="18"/>
                <w:lang w:val="en-GB"/>
              </w:rPr>
              <w:t>.</w:t>
            </w:r>
            <w:r w:rsidRPr="00800B07">
              <w:rPr>
                <w:rFonts w:cstheme="minorHAnsi"/>
                <w:sz w:val="18"/>
                <w:szCs w:val="18"/>
                <w:lang w:val="en-GB"/>
              </w:rPr>
              <w:t>4</w:t>
            </w:r>
          </w:p>
        </w:tc>
        <w:tc>
          <w:tcPr>
            <w:tcW w:w="454" w:type="pct"/>
            <w:tcBorders>
              <w:top w:val="single" w:sz="4" w:space="0" w:color="auto"/>
              <w:left w:val="single" w:sz="4" w:space="0" w:color="auto"/>
              <w:bottom w:val="single" w:sz="4" w:space="0" w:color="auto"/>
              <w:right w:val="single" w:sz="4" w:space="0" w:color="auto"/>
            </w:tcBorders>
          </w:tcPr>
          <w:p w14:paraId="3B006DC4" w14:textId="77777777" w:rsidR="0057187E" w:rsidRPr="00800B07" w:rsidRDefault="0057187E" w:rsidP="0057187E">
            <w:pPr>
              <w:rPr>
                <w:rFonts w:cstheme="minorHAnsi"/>
                <w:sz w:val="18"/>
                <w:szCs w:val="18"/>
                <w:lang w:val="en-GB"/>
              </w:rPr>
            </w:pPr>
            <w:r w:rsidRPr="00800B07">
              <w:rPr>
                <w:rFonts w:cstheme="minorHAnsi"/>
                <w:sz w:val="18"/>
                <w:szCs w:val="18"/>
                <w:lang w:val="en-GB"/>
              </w:rPr>
              <w:t>40</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14</w:t>
            </w:r>
            <w:r>
              <w:rPr>
                <w:rFonts w:cstheme="minorHAnsi"/>
                <w:sz w:val="18"/>
                <w:szCs w:val="18"/>
                <w:lang w:val="en-GB"/>
              </w:rPr>
              <w:t>.</w:t>
            </w:r>
            <w:r w:rsidRPr="00800B07">
              <w:rPr>
                <w:rFonts w:cstheme="minorHAnsi"/>
                <w:sz w:val="18"/>
                <w:szCs w:val="18"/>
                <w:lang w:val="en-GB"/>
              </w:rPr>
              <w:t>9</w:t>
            </w:r>
          </w:p>
        </w:tc>
        <w:tc>
          <w:tcPr>
            <w:tcW w:w="454" w:type="pct"/>
            <w:tcBorders>
              <w:top w:val="single" w:sz="4" w:space="0" w:color="auto"/>
              <w:left w:val="single" w:sz="4" w:space="0" w:color="auto"/>
              <w:bottom w:val="single" w:sz="4" w:space="0" w:color="auto"/>
              <w:right w:val="single" w:sz="4" w:space="0" w:color="auto"/>
            </w:tcBorders>
          </w:tcPr>
          <w:p w14:paraId="1A7FCE99" w14:textId="77777777" w:rsidR="0057187E" w:rsidRPr="00800B07" w:rsidRDefault="0057187E" w:rsidP="0057187E">
            <w:pPr>
              <w:rPr>
                <w:rFonts w:cstheme="minorHAnsi"/>
                <w:sz w:val="18"/>
                <w:szCs w:val="18"/>
                <w:lang w:val="en-GB"/>
              </w:rPr>
            </w:pPr>
            <w:r w:rsidRPr="00800B07">
              <w:rPr>
                <w:rFonts w:cstheme="minorHAnsi"/>
                <w:sz w:val="18"/>
                <w:szCs w:val="18"/>
                <w:lang w:val="en-GB"/>
              </w:rPr>
              <w:t>35</w:t>
            </w:r>
            <w:r>
              <w:rPr>
                <w:rFonts w:cstheme="minorHAnsi"/>
                <w:sz w:val="18"/>
                <w:szCs w:val="18"/>
                <w:lang w:val="en-GB"/>
              </w:rPr>
              <w:t>.</w:t>
            </w:r>
            <w:r w:rsidRPr="00800B07">
              <w:rPr>
                <w:rFonts w:cstheme="minorHAnsi"/>
                <w:sz w:val="18"/>
                <w:szCs w:val="18"/>
                <w:lang w:val="en-GB"/>
              </w:rPr>
              <w:t>6</w:t>
            </w:r>
            <w:r w:rsidRPr="00800B07">
              <w:rPr>
                <w:rFonts w:cstheme="minorHAnsi"/>
                <w:sz w:val="18"/>
                <w:szCs w:val="18"/>
                <w:lang w:val="en-GB"/>
              </w:rPr>
              <w:sym w:font="Symbol" w:char="F0B1"/>
            </w:r>
            <w:r w:rsidRPr="00800B07">
              <w:rPr>
                <w:rFonts w:cstheme="minorHAnsi"/>
                <w:sz w:val="18"/>
                <w:szCs w:val="18"/>
                <w:lang w:val="en-GB"/>
              </w:rPr>
              <w:t>13</w:t>
            </w:r>
            <w:r>
              <w:rPr>
                <w:rFonts w:cstheme="minorHAnsi"/>
                <w:sz w:val="18"/>
                <w:szCs w:val="18"/>
                <w:lang w:val="en-GB"/>
              </w:rPr>
              <w:t>.</w:t>
            </w:r>
            <w:r w:rsidRPr="00800B07">
              <w:rPr>
                <w:rFonts w:cstheme="minorHAnsi"/>
                <w:sz w:val="18"/>
                <w:szCs w:val="18"/>
                <w:lang w:val="en-GB"/>
              </w:rPr>
              <w:t>8</w:t>
            </w:r>
          </w:p>
        </w:tc>
        <w:tc>
          <w:tcPr>
            <w:tcW w:w="458" w:type="pct"/>
            <w:tcBorders>
              <w:top w:val="single" w:sz="4" w:space="0" w:color="auto"/>
              <w:left w:val="single" w:sz="4" w:space="0" w:color="auto"/>
              <w:bottom w:val="single" w:sz="4" w:space="0" w:color="auto"/>
              <w:right w:val="single" w:sz="4" w:space="0" w:color="auto"/>
            </w:tcBorders>
          </w:tcPr>
          <w:p w14:paraId="3425879E" w14:textId="77777777" w:rsidR="0057187E" w:rsidRPr="00800B07" w:rsidRDefault="0057187E" w:rsidP="0057187E">
            <w:pPr>
              <w:rPr>
                <w:rFonts w:cstheme="minorHAnsi"/>
                <w:sz w:val="18"/>
                <w:szCs w:val="18"/>
                <w:lang w:val="en-GB"/>
              </w:rPr>
            </w:pPr>
            <w:r w:rsidRPr="00800B07">
              <w:rPr>
                <w:rFonts w:cstheme="minorHAnsi"/>
                <w:sz w:val="18"/>
                <w:szCs w:val="18"/>
                <w:lang w:val="en-GB"/>
              </w:rPr>
              <w:t>50</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12</w:t>
            </w:r>
            <w:r>
              <w:rPr>
                <w:rFonts w:cstheme="minorHAnsi"/>
                <w:sz w:val="18"/>
                <w:szCs w:val="18"/>
                <w:lang w:val="en-GB"/>
              </w:rPr>
              <w:t>.</w:t>
            </w:r>
            <w:r w:rsidRPr="00800B07">
              <w:rPr>
                <w:rFonts w:cstheme="minorHAnsi"/>
                <w:sz w:val="18"/>
                <w:szCs w:val="18"/>
                <w:lang w:val="en-GB"/>
              </w:rPr>
              <w:t>8</w:t>
            </w:r>
          </w:p>
        </w:tc>
      </w:tr>
      <w:tr w:rsidR="0057187E" w:rsidRPr="00800B07" w14:paraId="66FEA8A2" w14:textId="77777777" w:rsidTr="0057187E">
        <w:trPr>
          <w:trHeight w:val="407"/>
        </w:trPr>
        <w:tc>
          <w:tcPr>
            <w:tcW w:w="1409" w:type="pct"/>
            <w:tcBorders>
              <w:top w:val="single" w:sz="4" w:space="0" w:color="auto"/>
              <w:left w:val="single" w:sz="4" w:space="0" w:color="auto"/>
              <w:bottom w:val="single" w:sz="4" w:space="0" w:color="auto"/>
              <w:right w:val="single" w:sz="12" w:space="0" w:color="auto"/>
            </w:tcBorders>
          </w:tcPr>
          <w:p w14:paraId="421F847D" w14:textId="77777777" w:rsidR="0057187E" w:rsidRPr="00800B07" w:rsidRDefault="0057187E" w:rsidP="0057187E">
            <w:pPr>
              <w:spacing w:after="0"/>
              <w:rPr>
                <w:rFonts w:cstheme="minorHAnsi"/>
                <w:sz w:val="18"/>
                <w:szCs w:val="18"/>
                <w:lang w:val="en-GB"/>
              </w:rPr>
            </w:pPr>
            <w:r w:rsidRPr="00800B07">
              <w:rPr>
                <w:rFonts w:cstheme="minorHAnsi"/>
                <w:b/>
                <w:bCs/>
                <w:sz w:val="18"/>
                <w:szCs w:val="18"/>
                <w:lang w:val="en-GB"/>
              </w:rPr>
              <w:t xml:space="preserve">Urinary calcium excretion, </w:t>
            </w:r>
            <w:r w:rsidRPr="00800B07">
              <w:rPr>
                <w:rFonts w:cstheme="minorHAnsi"/>
                <w:sz w:val="18"/>
                <w:szCs w:val="18"/>
                <w:lang w:val="en-GB"/>
              </w:rPr>
              <w:t>mean</w:t>
            </w:r>
            <w:r w:rsidRPr="00800B07">
              <w:rPr>
                <w:rFonts w:cstheme="minorHAnsi"/>
                <w:sz w:val="18"/>
                <w:szCs w:val="18"/>
                <w:lang w:val="en-GB"/>
              </w:rPr>
              <w:sym w:font="Symbol" w:char="F0B1"/>
            </w:r>
            <w:r w:rsidRPr="00800B07">
              <w:rPr>
                <w:rFonts w:cstheme="minorHAnsi"/>
                <w:sz w:val="18"/>
                <w:szCs w:val="18"/>
                <w:lang w:val="en-GB"/>
              </w:rPr>
              <w:t>SD ((mmol/24h)</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4E2A83B4"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5</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5</w:t>
            </w:r>
            <w:r>
              <w:rPr>
                <w:rFonts w:cstheme="minorHAnsi"/>
                <w:sz w:val="18"/>
                <w:szCs w:val="18"/>
                <w:lang w:val="en-GB"/>
              </w:rPr>
              <w:t>.</w:t>
            </w:r>
            <w:r w:rsidRPr="00800B07">
              <w:rPr>
                <w:rFonts w:cstheme="minorHAnsi"/>
                <w:sz w:val="18"/>
                <w:szCs w:val="18"/>
                <w:lang w:val="en-GB"/>
              </w:rPr>
              <w:t>5</w:t>
            </w:r>
          </w:p>
        </w:tc>
        <w:tc>
          <w:tcPr>
            <w:tcW w:w="454" w:type="pct"/>
            <w:tcBorders>
              <w:top w:val="single" w:sz="4" w:space="0" w:color="auto"/>
              <w:left w:val="single" w:sz="12" w:space="0" w:color="auto"/>
              <w:bottom w:val="single" w:sz="4" w:space="0" w:color="auto"/>
              <w:right w:val="single" w:sz="4" w:space="0" w:color="auto"/>
            </w:tcBorders>
          </w:tcPr>
          <w:p w14:paraId="500B777E"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5</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3</w:t>
            </w:r>
            <w:r>
              <w:rPr>
                <w:rFonts w:cstheme="minorHAnsi"/>
                <w:sz w:val="18"/>
                <w:szCs w:val="18"/>
                <w:lang w:val="en-GB"/>
              </w:rPr>
              <w:t>.</w:t>
            </w:r>
            <w:r w:rsidRPr="00800B07">
              <w:rPr>
                <w:rFonts w:cstheme="minorHAnsi"/>
                <w:sz w:val="18"/>
                <w:szCs w:val="18"/>
                <w:lang w:val="en-GB"/>
              </w:rPr>
              <w:t>3</w:t>
            </w:r>
          </w:p>
        </w:tc>
        <w:tc>
          <w:tcPr>
            <w:tcW w:w="454" w:type="pct"/>
            <w:tcBorders>
              <w:top w:val="single" w:sz="4" w:space="0" w:color="auto"/>
              <w:left w:val="single" w:sz="4" w:space="0" w:color="auto"/>
              <w:bottom w:val="single" w:sz="4" w:space="0" w:color="auto"/>
              <w:right w:val="single" w:sz="4" w:space="0" w:color="auto"/>
            </w:tcBorders>
          </w:tcPr>
          <w:p w14:paraId="62F3F437"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4</w:t>
            </w:r>
            <w:r>
              <w:rPr>
                <w:rFonts w:cstheme="minorHAnsi"/>
                <w:sz w:val="18"/>
                <w:szCs w:val="18"/>
                <w:lang w:val="en-GB"/>
              </w:rPr>
              <w:t>.</w:t>
            </w:r>
            <w:r w:rsidRPr="00800B07">
              <w:rPr>
                <w:rFonts w:cstheme="minorHAnsi"/>
                <w:sz w:val="18"/>
                <w:szCs w:val="18"/>
                <w:lang w:val="en-GB"/>
              </w:rPr>
              <w:t>1</w:t>
            </w:r>
            <w:r w:rsidRPr="00800B07">
              <w:rPr>
                <w:rFonts w:cstheme="minorHAnsi"/>
                <w:sz w:val="18"/>
                <w:szCs w:val="18"/>
                <w:lang w:val="en-GB"/>
              </w:rPr>
              <w:sym w:font="Symbol" w:char="F0B1"/>
            </w:r>
            <w:r w:rsidRPr="00800B07">
              <w:rPr>
                <w:rFonts w:cstheme="minorHAnsi"/>
                <w:sz w:val="18"/>
                <w:szCs w:val="18"/>
                <w:lang w:val="en-GB"/>
              </w:rPr>
              <w:t>2</w:t>
            </w:r>
            <w:r>
              <w:rPr>
                <w:rFonts w:cstheme="minorHAnsi"/>
                <w:sz w:val="18"/>
                <w:szCs w:val="18"/>
                <w:lang w:val="en-GB"/>
              </w:rPr>
              <w:t>.</w:t>
            </w:r>
            <w:r w:rsidRPr="00800B07">
              <w:rPr>
                <w:rFonts w:cstheme="minorHAnsi"/>
                <w:sz w:val="18"/>
                <w:szCs w:val="18"/>
                <w:lang w:val="en-GB"/>
              </w:rPr>
              <w:t>7</w:t>
            </w:r>
          </w:p>
        </w:tc>
        <w:tc>
          <w:tcPr>
            <w:tcW w:w="455" w:type="pct"/>
            <w:tcBorders>
              <w:top w:val="single" w:sz="4" w:space="0" w:color="auto"/>
              <w:left w:val="single" w:sz="4" w:space="0" w:color="auto"/>
              <w:bottom w:val="single" w:sz="4" w:space="0" w:color="auto"/>
              <w:right w:val="single" w:sz="4" w:space="0" w:color="auto"/>
            </w:tcBorders>
          </w:tcPr>
          <w:p w14:paraId="43ECBAD8"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5</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9</w:t>
            </w:r>
            <w:r>
              <w:rPr>
                <w:rFonts w:cstheme="minorHAnsi"/>
                <w:sz w:val="18"/>
                <w:szCs w:val="18"/>
                <w:lang w:val="en-GB"/>
              </w:rPr>
              <w:t>.</w:t>
            </w:r>
            <w:r w:rsidRPr="00800B07">
              <w:rPr>
                <w:rFonts w:cstheme="minorHAnsi"/>
                <w:sz w:val="18"/>
                <w:szCs w:val="18"/>
                <w:lang w:val="en-GB"/>
              </w:rPr>
              <w:t>5</w:t>
            </w:r>
          </w:p>
        </w:tc>
        <w:tc>
          <w:tcPr>
            <w:tcW w:w="454" w:type="pct"/>
            <w:tcBorders>
              <w:top w:val="single" w:sz="4" w:space="0" w:color="auto"/>
              <w:left w:val="single" w:sz="4" w:space="0" w:color="auto"/>
              <w:bottom w:val="single" w:sz="4" w:space="0" w:color="auto"/>
              <w:right w:val="single" w:sz="4" w:space="0" w:color="auto"/>
            </w:tcBorders>
          </w:tcPr>
          <w:p w14:paraId="6BC8DAA4"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5</w:t>
            </w:r>
            <w:r>
              <w:rPr>
                <w:rFonts w:cstheme="minorHAnsi"/>
                <w:sz w:val="18"/>
                <w:szCs w:val="18"/>
                <w:lang w:val="en-GB"/>
              </w:rPr>
              <w:t>.</w:t>
            </w:r>
            <w:r w:rsidRPr="00800B07">
              <w:rPr>
                <w:rFonts w:cstheme="minorHAnsi"/>
                <w:sz w:val="18"/>
                <w:szCs w:val="18"/>
                <w:lang w:val="en-GB"/>
              </w:rPr>
              <w:t>9</w:t>
            </w:r>
            <w:r w:rsidRPr="00800B07">
              <w:rPr>
                <w:rFonts w:cstheme="minorHAnsi"/>
                <w:sz w:val="18"/>
                <w:szCs w:val="18"/>
                <w:lang w:val="en-GB"/>
              </w:rPr>
              <w:sym w:font="Symbol" w:char="F0B1"/>
            </w:r>
            <w:r w:rsidRPr="00800B07">
              <w:rPr>
                <w:rFonts w:cstheme="minorHAnsi"/>
                <w:sz w:val="18"/>
                <w:szCs w:val="18"/>
                <w:lang w:val="en-GB"/>
              </w:rPr>
              <w:t>3</w:t>
            </w:r>
            <w:r>
              <w:rPr>
                <w:rFonts w:cstheme="minorHAnsi"/>
                <w:sz w:val="18"/>
                <w:szCs w:val="18"/>
                <w:lang w:val="en-GB"/>
              </w:rPr>
              <w:t>.</w:t>
            </w:r>
            <w:r w:rsidRPr="00800B07">
              <w:rPr>
                <w:rFonts w:cstheme="minorHAnsi"/>
                <w:sz w:val="18"/>
                <w:szCs w:val="18"/>
                <w:lang w:val="en-GB"/>
              </w:rPr>
              <w:t>3</w:t>
            </w:r>
          </w:p>
        </w:tc>
        <w:tc>
          <w:tcPr>
            <w:tcW w:w="454" w:type="pct"/>
            <w:tcBorders>
              <w:top w:val="single" w:sz="4" w:space="0" w:color="auto"/>
              <w:left w:val="single" w:sz="4" w:space="0" w:color="auto"/>
              <w:bottom w:val="single" w:sz="4" w:space="0" w:color="auto"/>
              <w:right w:val="single" w:sz="4" w:space="0" w:color="auto"/>
            </w:tcBorders>
          </w:tcPr>
          <w:p w14:paraId="1378AE2E"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6</w:t>
            </w:r>
            <w:r>
              <w:rPr>
                <w:rFonts w:cstheme="minorHAnsi"/>
                <w:sz w:val="18"/>
                <w:szCs w:val="18"/>
                <w:lang w:val="en-GB"/>
              </w:rPr>
              <w:t>.</w:t>
            </w:r>
            <w:r w:rsidRPr="00800B07">
              <w:rPr>
                <w:rFonts w:cstheme="minorHAnsi"/>
                <w:sz w:val="18"/>
                <w:szCs w:val="18"/>
                <w:lang w:val="en-GB"/>
              </w:rPr>
              <w:t>8</w:t>
            </w:r>
            <w:r w:rsidRPr="00800B07">
              <w:rPr>
                <w:rFonts w:cstheme="minorHAnsi"/>
                <w:sz w:val="18"/>
                <w:szCs w:val="18"/>
                <w:lang w:val="en-GB"/>
              </w:rPr>
              <w:sym w:font="Symbol" w:char="F0B1"/>
            </w:r>
            <w:r w:rsidRPr="00800B07">
              <w:rPr>
                <w:rFonts w:cstheme="minorHAnsi"/>
                <w:sz w:val="18"/>
                <w:szCs w:val="18"/>
                <w:lang w:val="en-GB"/>
              </w:rPr>
              <w:t>3</w:t>
            </w:r>
            <w:r>
              <w:rPr>
                <w:rFonts w:cstheme="minorHAnsi"/>
                <w:sz w:val="18"/>
                <w:szCs w:val="18"/>
                <w:lang w:val="en-GB"/>
              </w:rPr>
              <w:t>.</w:t>
            </w:r>
            <w:r w:rsidRPr="00800B07">
              <w:rPr>
                <w:rFonts w:cstheme="minorHAnsi"/>
                <w:sz w:val="18"/>
                <w:szCs w:val="18"/>
                <w:lang w:val="en-GB"/>
              </w:rPr>
              <w:t>6</w:t>
            </w:r>
          </w:p>
        </w:tc>
        <w:tc>
          <w:tcPr>
            <w:tcW w:w="454" w:type="pct"/>
            <w:tcBorders>
              <w:top w:val="single" w:sz="4" w:space="0" w:color="auto"/>
              <w:left w:val="single" w:sz="4" w:space="0" w:color="auto"/>
              <w:bottom w:val="single" w:sz="4" w:space="0" w:color="auto"/>
              <w:right w:val="single" w:sz="4" w:space="0" w:color="auto"/>
            </w:tcBorders>
          </w:tcPr>
          <w:p w14:paraId="17BEE412"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4</w:t>
            </w:r>
            <w:r>
              <w:rPr>
                <w:rFonts w:cstheme="minorHAnsi"/>
                <w:sz w:val="18"/>
                <w:szCs w:val="18"/>
                <w:lang w:val="en-GB"/>
              </w:rPr>
              <w:t>.</w:t>
            </w:r>
            <w:r w:rsidRPr="00800B07">
              <w:rPr>
                <w:rFonts w:cstheme="minorHAnsi"/>
                <w:sz w:val="18"/>
                <w:szCs w:val="18"/>
                <w:lang w:val="en-GB"/>
              </w:rPr>
              <w:t>9</w:t>
            </w:r>
            <w:r w:rsidRPr="00800B07">
              <w:rPr>
                <w:rFonts w:cstheme="minorHAnsi"/>
                <w:sz w:val="18"/>
                <w:szCs w:val="18"/>
                <w:lang w:val="en-GB"/>
              </w:rPr>
              <w:sym w:font="Symbol" w:char="F0B1"/>
            </w:r>
            <w:r w:rsidRPr="00800B07">
              <w:rPr>
                <w:rFonts w:cstheme="minorHAnsi"/>
                <w:sz w:val="18"/>
                <w:szCs w:val="18"/>
                <w:lang w:val="en-GB"/>
              </w:rPr>
              <w:t>3</w:t>
            </w:r>
            <w:r>
              <w:rPr>
                <w:rFonts w:cstheme="minorHAnsi"/>
                <w:sz w:val="18"/>
                <w:szCs w:val="18"/>
                <w:lang w:val="en-GB"/>
              </w:rPr>
              <w:t>.</w:t>
            </w:r>
            <w:r w:rsidRPr="00800B07">
              <w:rPr>
                <w:rFonts w:cstheme="minorHAnsi"/>
                <w:sz w:val="18"/>
                <w:szCs w:val="18"/>
                <w:lang w:val="en-GB"/>
              </w:rPr>
              <w:t>3</w:t>
            </w:r>
          </w:p>
        </w:tc>
        <w:tc>
          <w:tcPr>
            <w:tcW w:w="458" w:type="pct"/>
            <w:tcBorders>
              <w:top w:val="single" w:sz="4" w:space="0" w:color="auto"/>
              <w:left w:val="single" w:sz="4" w:space="0" w:color="auto"/>
              <w:bottom w:val="single" w:sz="4" w:space="0" w:color="auto"/>
              <w:right w:val="single" w:sz="4" w:space="0" w:color="auto"/>
            </w:tcBorders>
          </w:tcPr>
          <w:p w14:paraId="11403359"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10</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4</w:t>
            </w:r>
            <w:r>
              <w:rPr>
                <w:rFonts w:cstheme="minorHAnsi"/>
                <w:sz w:val="18"/>
                <w:szCs w:val="18"/>
                <w:lang w:val="en-GB"/>
              </w:rPr>
              <w:t>.</w:t>
            </w:r>
            <w:r w:rsidRPr="00800B07">
              <w:rPr>
                <w:rFonts w:cstheme="minorHAnsi"/>
                <w:sz w:val="18"/>
                <w:szCs w:val="18"/>
                <w:lang w:val="en-GB"/>
              </w:rPr>
              <w:t>7</w:t>
            </w:r>
          </w:p>
        </w:tc>
      </w:tr>
      <w:tr w:rsidR="0057187E" w:rsidRPr="00800B07" w14:paraId="6431BCB1" w14:textId="77777777" w:rsidTr="0057187E">
        <w:trPr>
          <w:trHeight w:val="407"/>
        </w:trPr>
        <w:tc>
          <w:tcPr>
            <w:tcW w:w="1409" w:type="pct"/>
            <w:tcBorders>
              <w:top w:val="single" w:sz="4" w:space="0" w:color="auto"/>
              <w:left w:val="single" w:sz="4" w:space="0" w:color="auto"/>
              <w:bottom w:val="single" w:sz="4" w:space="0" w:color="auto"/>
              <w:right w:val="single" w:sz="12" w:space="0" w:color="auto"/>
            </w:tcBorders>
          </w:tcPr>
          <w:p w14:paraId="52983DBF" w14:textId="77777777" w:rsidR="0057187E" w:rsidRPr="00800B07" w:rsidRDefault="0057187E" w:rsidP="0057187E">
            <w:pPr>
              <w:spacing w:after="0"/>
              <w:rPr>
                <w:rFonts w:cstheme="minorHAnsi"/>
                <w:sz w:val="18"/>
                <w:szCs w:val="18"/>
                <w:lang w:val="en-GB"/>
              </w:rPr>
            </w:pPr>
            <w:r w:rsidRPr="00800B07">
              <w:rPr>
                <w:rFonts w:cstheme="minorHAnsi"/>
                <w:b/>
                <w:bCs/>
                <w:sz w:val="18"/>
                <w:szCs w:val="18"/>
                <w:lang w:val="en-GB"/>
              </w:rPr>
              <w:t xml:space="preserve">Urinary phosphate excretion, </w:t>
            </w:r>
            <w:r w:rsidRPr="00800B07">
              <w:rPr>
                <w:rFonts w:cstheme="minorHAnsi"/>
                <w:sz w:val="18"/>
                <w:szCs w:val="18"/>
                <w:lang w:val="en-GB"/>
              </w:rPr>
              <w:t>mean</w:t>
            </w:r>
            <w:r w:rsidRPr="00800B07">
              <w:rPr>
                <w:rFonts w:cstheme="minorHAnsi"/>
                <w:sz w:val="18"/>
                <w:szCs w:val="18"/>
                <w:lang w:val="en-GB"/>
              </w:rPr>
              <w:sym w:font="Symbol" w:char="F0B1"/>
            </w:r>
            <w:r w:rsidRPr="00800B07">
              <w:rPr>
                <w:rFonts w:cstheme="minorHAnsi"/>
                <w:sz w:val="18"/>
                <w:szCs w:val="18"/>
                <w:lang w:val="en-GB"/>
              </w:rPr>
              <w:t>SD (mmol/24h)</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35859BA2"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31</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67</w:t>
            </w:r>
            <w:r>
              <w:rPr>
                <w:rFonts w:cstheme="minorHAnsi"/>
                <w:sz w:val="18"/>
                <w:szCs w:val="18"/>
                <w:lang w:val="en-GB"/>
              </w:rPr>
              <w:t>.</w:t>
            </w:r>
            <w:r w:rsidRPr="00800B07">
              <w:rPr>
                <w:rFonts w:cstheme="minorHAnsi"/>
                <w:sz w:val="18"/>
                <w:szCs w:val="18"/>
                <w:lang w:val="en-GB"/>
              </w:rPr>
              <w:t>9</w:t>
            </w:r>
          </w:p>
        </w:tc>
        <w:tc>
          <w:tcPr>
            <w:tcW w:w="454" w:type="pct"/>
            <w:tcBorders>
              <w:top w:val="single" w:sz="4" w:space="0" w:color="auto"/>
              <w:left w:val="single" w:sz="12" w:space="0" w:color="auto"/>
              <w:bottom w:val="single" w:sz="4" w:space="0" w:color="auto"/>
              <w:right w:val="single" w:sz="4" w:space="0" w:color="auto"/>
            </w:tcBorders>
          </w:tcPr>
          <w:p w14:paraId="61B0681F"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31</w:t>
            </w:r>
            <w:r>
              <w:rPr>
                <w:rFonts w:cstheme="minorHAnsi"/>
                <w:sz w:val="18"/>
                <w:szCs w:val="18"/>
                <w:lang w:val="en-GB"/>
              </w:rPr>
              <w:t>.</w:t>
            </w:r>
            <w:r w:rsidRPr="00800B07">
              <w:rPr>
                <w:rFonts w:cstheme="minorHAnsi"/>
                <w:sz w:val="18"/>
                <w:szCs w:val="18"/>
                <w:lang w:val="en-GB"/>
              </w:rPr>
              <w:t>8</w:t>
            </w:r>
            <w:r w:rsidRPr="00800B07">
              <w:rPr>
                <w:rFonts w:cstheme="minorHAnsi"/>
                <w:sz w:val="18"/>
                <w:szCs w:val="18"/>
                <w:lang w:val="en-GB"/>
              </w:rPr>
              <w:sym w:font="Symbol" w:char="F0B1"/>
            </w:r>
            <w:r w:rsidRPr="00800B07">
              <w:rPr>
                <w:rFonts w:cstheme="minorHAnsi"/>
                <w:sz w:val="18"/>
                <w:szCs w:val="18"/>
                <w:lang w:val="en-GB"/>
              </w:rPr>
              <w:t>11</w:t>
            </w:r>
            <w:r>
              <w:rPr>
                <w:rFonts w:cstheme="minorHAnsi"/>
                <w:sz w:val="18"/>
                <w:szCs w:val="18"/>
                <w:lang w:val="en-GB"/>
              </w:rPr>
              <w:t>.</w:t>
            </w:r>
            <w:r w:rsidRPr="00800B07">
              <w:rPr>
                <w:rFonts w:cstheme="minorHAnsi"/>
                <w:sz w:val="18"/>
                <w:szCs w:val="18"/>
                <w:lang w:val="en-GB"/>
              </w:rPr>
              <w:t>9</w:t>
            </w:r>
          </w:p>
        </w:tc>
        <w:tc>
          <w:tcPr>
            <w:tcW w:w="454" w:type="pct"/>
            <w:tcBorders>
              <w:top w:val="single" w:sz="4" w:space="0" w:color="auto"/>
              <w:left w:val="single" w:sz="4" w:space="0" w:color="auto"/>
              <w:bottom w:val="single" w:sz="4" w:space="0" w:color="auto"/>
              <w:right w:val="single" w:sz="4" w:space="0" w:color="auto"/>
            </w:tcBorders>
          </w:tcPr>
          <w:p w14:paraId="47975809"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32</w:t>
            </w:r>
            <w:r>
              <w:rPr>
                <w:rFonts w:cstheme="minorHAnsi"/>
                <w:sz w:val="18"/>
                <w:szCs w:val="18"/>
                <w:lang w:val="en-GB"/>
              </w:rPr>
              <w:t>.</w:t>
            </w:r>
            <w:r w:rsidRPr="00800B07">
              <w:rPr>
                <w:rFonts w:cstheme="minorHAnsi"/>
                <w:sz w:val="18"/>
                <w:szCs w:val="18"/>
                <w:lang w:val="en-GB"/>
              </w:rPr>
              <w:t>0</w:t>
            </w:r>
            <w:r w:rsidRPr="00800B07">
              <w:rPr>
                <w:rFonts w:cstheme="minorHAnsi"/>
                <w:sz w:val="18"/>
                <w:szCs w:val="18"/>
                <w:lang w:val="en-GB"/>
              </w:rPr>
              <w:sym w:font="Symbol" w:char="F0B1"/>
            </w:r>
            <w:r>
              <w:rPr>
                <w:rFonts w:cstheme="minorHAnsi"/>
                <w:sz w:val="18"/>
                <w:szCs w:val="18"/>
                <w:lang w:val="en-GB"/>
              </w:rPr>
              <w:t>1</w:t>
            </w:r>
            <w:r w:rsidRPr="00800B07">
              <w:rPr>
                <w:rFonts w:cstheme="minorHAnsi"/>
                <w:sz w:val="18"/>
                <w:szCs w:val="18"/>
                <w:lang w:val="en-GB"/>
              </w:rPr>
              <w:t>4</w:t>
            </w:r>
            <w:r>
              <w:rPr>
                <w:rFonts w:cstheme="minorHAnsi"/>
                <w:sz w:val="18"/>
                <w:szCs w:val="18"/>
                <w:lang w:val="en-GB"/>
              </w:rPr>
              <w:t>.</w:t>
            </w:r>
            <w:r w:rsidRPr="00800B07">
              <w:rPr>
                <w:rFonts w:cstheme="minorHAnsi"/>
                <w:sz w:val="18"/>
                <w:szCs w:val="18"/>
                <w:lang w:val="en-GB"/>
              </w:rPr>
              <w:t>2</w:t>
            </w:r>
          </w:p>
        </w:tc>
        <w:tc>
          <w:tcPr>
            <w:tcW w:w="455" w:type="pct"/>
            <w:tcBorders>
              <w:top w:val="single" w:sz="4" w:space="0" w:color="auto"/>
              <w:left w:val="single" w:sz="4" w:space="0" w:color="auto"/>
              <w:bottom w:val="single" w:sz="4" w:space="0" w:color="auto"/>
              <w:right w:val="single" w:sz="4" w:space="0" w:color="auto"/>
            </w:tcBorders>
          </w:tcPr>
          <w:p w14:paraId="141924E4"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26</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8</w:t>
            </w:r>
            <w:r>
              <w:rPr>
                <w:rFonts w:cstheme="minorHAnsi"/>
                <w:sz w:val="18"/>
                <w:szCs w:val="18"/>
                <w:lang w:val="en-GB"/>
              </w:rPr>
              <w:t>.</w:t>
            </w:r>
            <w:r w:rsidRPr="00800B07">
              <w:rPr>
                <w:rFonts w:cstheme="minorHAnsi"/>
                <w:sz w:val="18"/>
                <w:szCs w:val="18"/>
                <w:lang w:val="en-GB"/>
              </w:rPr>
              <w:t>9</w:t>
            </w:r>
          </w:p>
        </w:tc>
        <w:tc>
          <w:tcPr>
            <w:tcW w:w="454" w:type="pct"/>
            <w:tcBorders>
              <w:top w:val="single" w:sz="4" w:space="0" w:color="auto"/>
              <w:left w:val="single" w:sz="4" w:space="0" w:color="auto"/>
              <w:bottom w:val="single" w:sz="4" w:space="0" w:color="auto"/>
              <w:right w:val="single" w:sz="4" w:space="0" w:color="auto"/>
            </w:tcBorders>
          </w:tcPr>
          <w:p w14:paraId="23A90D94"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73</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205</w:t>
            </w:r>
            <w:r>
              <w:rPr>
                <w:rFonts w:cstheme="minorHAnsi"/>
                <w:sz w:val="18"/>
                <w:szCs w:val="18"/>
                <w:lang w:val="en-GB"/>
              </w:rPr>
              <w:t>.</w:t>
            </w:r>
            <w:r w:rsidRPr="00800B07">
              <w:rPr>
                <w:rFonts w:cstheme="minorHAnsi"/>
                <w:sz w:val="18"/>
                <w:szCs w:val="18"/>
                <w:lang w:val="en-GB"/>
              </w:rPr>
              <w:t>4</w:t>
            </w:r>
          </w:p>
        </w:tc>
        <w:tc>
          <w:tcPr>
            <w:tcW w:w="454" w:type="pct"/>
            <w:tcBorders>
              <w:top w:val="single" w:sz="4" w:space="0" w:color="auto"/>
              <w:left w:val="single" w:sz="4" w:space="0" w:color="auto"/>
              <w:bottom w:val="single" w:sz="4" w:space="0" w:color="auto"/>
              <w:right w:val="single" w:sz="4" w:space="0" w:color="auto"/>
            </w:tcBorders>
          </w:tcPr>
          <w:p w14:paraId="277ABCEF"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32</w:t>
            </w:r>
            <w:r>
              <w:rPr>
                <w:rFonts w:cstheme="minorHAnsi"/>
                <w:sz w:val="18"/>
                <w:szCs w:val="18"/>
                <w:lang w:val="en-GB"/>
              </w:rPr>
              <w:t>.</w:t>
            </w:r>
            <w:r w:rsidRPr="00800B07">
              <w:rPr>
                <w:rFonts w:cstheme="minorHAnsi"/>
                <w:sz w:val="18"/>
                <w:szCs w:val="18"/>
                <w:lang w:val="en-GB"/>
              </w:rPr>
              <w:t>1</w:t>
            </w:r>
            <w:r w:rsidRPr="00800B07">
              <w:rPr>
                <w:rFonts w:cstheme="minorHAnsi"/>
                <w:sz w:val="18"/>
                <w:szCs w:val="18"/>
                <w:lang w:val="en-GB"/>
              </w:rPr>
              <w:sym w:font="Symbol" w:char="F0B1"/>
            </w:r>
            <w:r w:rsidRPr="00800B07">
              <w:rPr>
                <w:rFonts w:cstheme="minorHAnsi"/>
                <w:sz w:val="18"/>
                <w:szCs w:val="18"/>
                <w:lang w:val="en-GB"/>
              </w:rPr>
              <w:t>13</w:t>
            </w:r>
            <w:r>
              <w:rPr>
                <w:rFonts w:cstheme="minorHAnsi"/>
                <w:sz w:val="18"/>
                <w:szCs w:val="18"/>
                <w:lang w:val="en-GB"/>
              </w:rPr>
              <w:t>.</w:t>
            </w:r>
            <w:r w:rsidRPr="00800B07">
              <w:rPr>
                <w:rFonts w:cstheme="minorHAnsi"/>
                <w:sz w:val="18"/>
                <w:szCs w:val="18"/>
                <w:lang w:val="en-GB"/>
              </w:rPr>
              <w:t>5</w:t>
            </w:r>
          </w:p>
        </w:tc>
        <w:tc>
          <w:tcPr>
            <w:tcW w:w="454" w:type="pct"/>
            <w:tcBorders>
              <w:top w:val="single" w:sz="4" w:space="0" w:color="auto"/>
              <w:left w:val="single" w:sz="4" w:space="0" w:color="auto"/>
              <w:bottom w:val="single" w:sz="4" w:space="0" w:color="auto"/>
              <w:right w:val="single" w:sz="4" w:space="0" w:color="auto"/>
            </w:tcBorders>
          </w:tcPr>
          <w:p w14:paraId="2AAEF252"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27</w:t>
            </w:r>
            <w:r>
              <w:rPr>
                <w:rFonts w:cstheme="minorHAnsi"/>
                <w:sz w:val="18"/>
                <w:szCs w:val="18"/>
                <w:lang w:val="en-GB"/>
              </w:rPr>
              <w:t>.</w:t>
            </w:r>
            <w:r w:rsidRPr="00800B07">
              <w:rPr>
                <w:rFonts w:cstheme="minorHAnsi"/>
                <w:sz w:val="18"/>
                <w:szCs w:val="18"/>
                <w:lang w:val="en-GB"/>
              </w:rPr>
              <w:t>9</w:t>
            </w:r>
            <w:r w:rsidRPr="00800B07">
              <w:rPr>
                <w:rFonts w:cstheme="minorHAnsi"/>
                <w:sz w:val="18"/>
                <w:szCs w:val="18"/>
                <w:lang w:val="en-GB"/>
              </w:rPr>
              <w:sym w:font="Symbol" w:char="F0B1"/>
            </w:r>
            <w:r w:rsidRPr="00800B07">
              <w:rPr>
                <w:rFonts w:cstheme="minorHAnsi"/>
                <w:sz w:val="18"/>
                <w:szCs w:val="18"/>
                <w:lang w:val="en-GB"/>
              </w:rPr>
              <w:t>12</w:t>
            </w:r>
            <w:r>
              <w:rPr>
                <w:rFonts w:cstheme="minorHAnsi"/>
                <w:sz w:val="18"/>
                <w:szCs w:val="18"/>
                <w:lang w:val="en-GB"/>
              </w:rPr>
              <w:t>.</w:t>
            </w:r>
            <w:r w:rsidRPr="00800B07">
              <w:rPr>
                <w:rFonts w:cstheme="minorHAnsi"/>
                <w:sz w:val="18"/>
                <w:szCs w:val="18"/>
                <w:lang w:val="en-GB"/>
              </w:rPr>
              <w:t>2</w:t>
            </w:r>
          </w:p>
        </w:tc>
        <w:tc>
          <w:tcPr>
            <w:tcW w:w="458" w:type="pct"/>
            <w:tcBorders>
              <w:top w:val="single" w:sz="4" w:space="0" w:color="auto"/>
              <w:left w:val="single" w:sz="4" w:space="0" w:color="auto"/>
              <w:bottom w:val="single" w:sz="4" w:space="0" w:color="auto"/>
              <w:right w:val="single" w:sz="4" w:space="0" w:color="auto"/>
            </w:tcBorders>
          </w:tcPr>
          <w:p w14:paraId="1492F0EF"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41</w:t>
            </w:r>
            <w:r>
              <w:rPr>
                <w:rFonts w:cstheme="minorHAnsi"/>
                <w:sz w:val="18"/>
                <w:szCs w:val="18"/>
                <w:lang w:val="en-GB"/>
              </w:rPr>
              <w:t>.</w:t>
            </w:r>
            <w:r w:rsidRPr="00800B07">
              <w:rPr>
                <w:rFonts w:cstheme="minorHAnsi"/>
                <w:sz w:val="18"/>
                <w:szCs w:val="18"/>
                <w:lang w:val="en-GB"/>
              </w:rPr>
              <w:t>8</w:t>
            </w:r>
            <w:r w:rsidRPr="00800B07">
              <w:rPr>
                <w:rFonts w:cstheme="minorHAnsi"/>
                <w:sz w:val="18"/>
                <w:szCs w:val="18"/>
                <w:lang w:val="en-GB"/>
              </w:rPr>
              <w:sym w:font="Symbol" w:char="F0B1"/>
            </w:r>
            <w:r w:rsidRPr="00800B07">
              <w:rPr>
                <w:rFonts w:cstheme="minorHAnsi"/>
                <w:sz w:val="18"/>
                <w:szCs w:val="18"/>
                <w:lang w:val="en-GB"/>
              </w:rPr>
              <w:t>14</w:t>
            </w:r>
            <w:r>
              <w:rPr>
                <w:rFonts w:cstheme="minorHAnsi"/>
                <w:sz w:val="18"/>
                <w:szCs w:val="18"/>
                <w:lang w:val="en-GB"/>
              </w:rPr>
              <w:t>.</w:t>
            </w:r>
            <w:r w:rsidRPr="00800B07">
              <w:rPr>
                <w:rFonts w:cstheme="minorHAnsi"/>
                <w:sz w:val="18"/>
                <w:szCs w:val="18"/>
                <w:lang w:val="en-GB"/>
              </w:rPr>
              <w:t>6</w:t>
            </w:r>
          </w:p>
        </w:tc>
      </w:tr>
      <w:tr w:rsidR="0057187E" w:rsidRPr="00800B07" w14:paraId="625A461B" w14:textId="77777777" w:rsidTr="0057187E">
        <w:trPr>
          <w:trHeight w:val="407"/>
        </w:trPr>
        <w:tc>
          <w:tcPr>
            <w:tcW w:w="1409" w:type="pct"/>
            <w:tcBorders>
              <w:top w:val="single" w:sz="4" w:space="0" w:color="auto"/>
              <w:left w:val="single" w:sz="4" w:space="0" w:color="auto"/>
              <w:bottom w:val="single" w:sz="4" w:space="0" w:color="auto"/>
              <w:right w:val="single" w:sz="12" w:space="0" w:color="auto"/>
            </w:tcBorders>
          </w:tcPr>
          <w:p w14:paraId="6320B128" w14:textId="77777777" w:rsidR="0057187E" w:rsidRPr="00800B07" w:rsidRDefault="0057187E" w:rsidP="0057187E">
            <w:pPr>
              <w:spacing w:after="0"/>
              <w:rPr>
                <w:rFonts w:cstheme="minorHAnsi"/>
                <w:sz w:val="18"/>
                <w:szCs w:val="18"/>
                <w:lang w:val="en-GB"/>
              </w:rPr>
            </w:pPr>
            <w:r w:rsidRPr="00800B07">
              <w:rPr>
                <w:rFonts w:cstheme="minorHAnsi"/>
                <w:b/>
                <w:bCs/>
                <w:sz w:val="18"/>
                <w:szCs w:val="18"/>
                <w:lang w:val="en-GB"/>
              </w:rPr>
              <w:t xml:space="preserve">Urinary uric acid excretion, </w:t>
            </w:r>
            <w:r w:rsidRPr="00800B07">
              <w:rPr>
                <w:rFonts w:cstheme="minorHAnsi"/>
                <w:sz w:val="18"/>
                <w:szCs w:val="18"/>
                <w:lang w:val="en-GB"/>
              </w:rPr>
              <w:t>mean</w:t>
            </w:r>
            <w:r w:rsidRPr="00800B07">
              <w:rPr>
                <w:rFonts w:cstheme="minorHAnsi"/>
                <w:sz w:val="18"/>
                <w:szCs w:val="18"/>
                <w:lang w:val="en-GB"/>
              </w:rPr>
              <w:sym w:font="Symbol" w:char="F0B1"/>
            </w:r>
            <w:r w:rsidRPr="00800B07">
              <w:rPr>
                <w:rFonts w:cstheme="minorHAnsi"/>
                <w:sz w:val="18"/>
                <w:szCs w:val="18"/>
                <w:lang w:val="en-GB"/>
              </w:rPr>
              <w:t>SD (mg/24h)</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78394A15"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646</w:t>
            </w:r>
            <w:r>
              <w:rPr>
                <w:rFonts w:cstheme="minorHAnsi"/>
                <w:sz w:val="18"/>
                <w:szCs w:val="18"/>
                <w:lang w:val="en-GB"/>
              </w:rPr>
              <w:t>.</w:t>
            </w:r>
            <w:r w:rsidRPr="00800B07">
              <w:rPr>
                <w:rFonts w:cstheme="minorHAnsi"/>
                <w:sz w:val="18"/>
                <w:szCs w:val="18"/>
                <w:lang w:val="en-GB"/>
              </w:rPr>
              <w:t>7</w:t>
            </w:r>
            <w:r w:rsidRPr="00800B07">
              <w:rPr>
                <w:rFonts w:cstheme="minorHAnsi"/>
                <w:sz w:val="18"/>
                <w:szCs w:val="18"/>
                <w:lang w:val="en-GB"/>
              </w:rPr>
              <w:sym w:font="Symbol" w:char="F0B1"/>
            </w:r>
            <w:r w:rsidRPr="00800B07">
              <w:rPr>
                <w:rFonts w:cstheme="minorHAnsi"/>
                <w:sz w:val="18"/>
                <w:szCs w:val="18"/>
                <w:lang w:val="en-GB"/>
              </w:rPr>
              <w:t>262</w:t>
            </w:r>
            <w:r>
              <w:rPr>
                <w:rFonts w:cstheme="minorHAnsi"/>
                <w:sz w:val="18"/>
                <w:szCs w:val="18"/>
                <w:lang w:val="en-GB"/>
              </w:rPr>
              <w:t>.</w:t>
            </w:r>
            <w:r w:rsidRPr="00800B07">
              <w:rPr>
                <w:rFonts w:cstheme="minorHAnsi"/>
                <w:sz w:val="18"/>
                <w:szCs w:val="18"/>
                <w:lang w:val="en-GB"/>
              </w:rPr>
              <w:t>8</w:t>
            </w:r>
          </w:p>
        </w:tc>
        <w:tc>
          <w:tcPr>
            <w:tcW w:w="454" w:type="pct"/>
            <w:tcBorders>
              <w:top w:val="single" w:sz="4" w:space="0" w:color="auto"/>
              <w:left w:val="single" w:sz="12" w:space="0" w:color="auto"/>
              <w:bottom w:val="single" w:sz="4" w:space="0" w:color="auto"/>
              <w:right w:val="single" w:sz="4" w:space="0" w:color="auto"/>
            </w:tcBorders>
          </w:tcPr>
          <w:p w14:paraId="48DBFFD0"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669</w:t>
            </w:r>
            <w:r>
              <w:rPr>
                <w:rFonts w:cstheme="minorHAnsi"/>
                <w:sz w:val="18"/>
                <w:szCs w:val="18"/>
                <w:lang w:val="en-GB"/>
              </w:rPr>
              <w:t>.</w:t>
            </w:r>
            <w:r w:rsidRPr="00800B07">
              <w:rPr>
                <w:rFonts w:cstheme="minorHAnsi"/>
                <w:sz w:val="18"/>
                <w:szCs w:val="18"/>
                <w:lang w:val="en-GB"/>
              </w:rPr>
              <w:t>8</w:t>
            </w:r>
            <w:r w:rsidRPr="00800B07">
              <w:rPr>
                <w:rFonts w:cstheme="minorHAnsi"/>
                <w:sz w:val="18"/>
                <w:szCs w:val="18"/>
                <w:lang w:val="en-GB"/>
              </w:rPr>
              <w:sym w:font="Symbol" w:char="F0B1"/>
            </w:r>
            <w:r w:rsidRPr="00800B07">
              <w:rPr>
                <w:rFonts w:cstheme="minorHAnsi"/>
                <w:sz w:val="18"/>
                <w:szCs w:val="18"/>
                <w:lang w:val="en-GB"/>
              </w:rPr>
              <w:t>238</w:t>
            </w:r>
            <w:r>
              <w:rPr>
                <w:rFonts w:cstheme="minorHAnsi"/>
                <w:sz w:val="18"/>
                <w:szCs w:val="18"/>
                <w:lang w:val="en-GB"/>
              </w:rPr>
              <w:t>.</w:t>
            </w:r>
            <w:r w:rsidRPr="00800B07">
              <w:rPr>
                <w:rFonts w:cstheme="minorHAnsi"/>
                <w:sz w:val="18"/>
                <w:szCs w:val="18"/>
                <w:lang w:val="en-GB"/>
              </w:rPr>
              <w:t>6</w:t>
            </w:r>
          </w:p>
        </w:tc>
        <w:tc>
          <w:tcPr>
            <w:tcW w:w="454" w:type="pct"/>
            <w:tcBorders>
              <w:top w:val="single" w:sz="4" w:space="0" w:color="auto"/>
              <w:left w:val="single" w:sz="4" w:space="0" w:color="auto"/>
              <w:bottom w:val="single" w:sz="4" w:space="0" w:color="auto"/>
              <w:right w:val="single" w:sz="4" w:space="0" w:color="auto"/>
            </w:tcBorders>
          </w:tcPr>
          <w:p w14:paraId="3AF1B5E4"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790</w:t>
            </w:r>
            <w:r>
              <w:rPr>
                <w:rFonts w:cstheme="minorHAnsi"/>
                <w:sz w:val="18"/>
                <w:szCs w:val="18"/>
                <w:lang w:val="en-GB"/>
              </w:rPr>
              <w:t>.</w:t>
            </w:r>
            <w:r w:rsidRPr="00800B07">
              <w:rPr>
                <w:rFonts w:cstheme="minorHAnsi"/>
                <w:sz w:val="18"/>
                <w:szCs w:val="18"/>
                <w:lang w:val="en-GB"/>
              </w:rPr>
              <w:t>3</w:t>
            </w:r>
            <w:r w:rsidRPr="00800B07">
              <w:rPr>
                <w:rFonts w:cstheme="minorHAnsi"/>
                <w:sz w:val="18"/>
                <w:szCs w:val="18"/>
                <w:lang w:val="en-GB"/>
              </w:rPr>
              <w:sym w:font="Symbol" w:char="F0B1"/>
            </w:r>
            <w:r w:rsidRPr="00800B07">
              <w:rPr>
                <w:rFonts w:cstheme="minorHAnsi"/>
                <w:sz w:val="18"/>
                <w:szCs w:val="18"/>
                <w:lang w:val="en-GB"/>
              </w:rPr>
              <w:t>416</w:t>
            </w:r>
            <w:r>
              <w:rPr>
                <w:rFonts w:cstheme="minorHAnsi"/>
                <w:sz w:val="18"/>
                <w:szCs w:val="18"/>
                <w:lang w:val="en-GB"/>
              </w:rPr>
              <w:t>.</w:t>
            </w:r>
            <w:r w:rsidRPr="00800B07">
              <w:rPr>
                <w:rFonts w:cstheme="minorHAnsi"/>
                <w:sz w:val="18"/>
                <w:szCs w:val="18"/>
                <w:lang w:val="en-GB"/>
              </w:rPr>
              <w:t>7</w:t>
            </w:r>
          </w:p>
        </w:tc>
        <w:tc>
          <w:tcPr>
            <w:tcW w:w="455" w:type="pct"/>
            <w:tcBorders>
              <w:top w:val="single" w:sz="4" w:space="0" w:color="auto"/>
              <w:left w:val="single" w:sz="4" w:space="0" w:color="auto"/>
              <w:bottom w:val="single" w:sz="4" w:space="0" w:color="auto"/>
              <w:right w:val="single" w:sz="4" w:space="0" w:color="auto"/>
            </w:tcBorders>
          </w:tcPr>
          <w:p w14:paraId="65DBB1CF"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508</w:t>
            </w:r>
            <w:r>
              <w:rPr>
                <w:rFonts w:cstheme="minorHAnsi"/>
                <w:sz w:val="18"/>
                <w:szCs w:val="18"/>
                <w:lang w:val="en-GB"/>
              </w:rPr>
              <w:t>.</w:t>
            </w:r>
            <w:r w:rsidRPr="00800B07">
              <w:rPr>
                <w:rFonts w:cstheme="minorHAnsi"/>
                <w:sz w:val="18"/>
                <w:szCs w:val="18"/>
                <w:lang w:val="en-GB"/>
              </w:rPr>
              <w:t>1</w:t>
            </w:r>
            <w:r w:rsidRPr="00800B07">
              <w:rPr>
                <w:rFonts w:cstheme="minorHAnsi"/>
                <w:sz w:val="18"/>
                <w:szCs w:val="18"/>
                <w:lang w:val="en-GB"/>
              </w:rPr>
              <w:sym w:font="Symbol" w:char="F0B1"/>
            </w:r>
            <w:r w:rsidRPr="00800B07">
              <w:rPr>
                <w:rFonts w:cstheme="minorHAnsi"/>
                <w:sz w:val="18"/>
                <w:szCs w:val="18"/>
                <w:lang w:val="en-GB"/>
              </w:rPr>
              <w:t>170</w:t>
            </w:r>
            <w:r>
              <w:rPr>
                <w:rFonts w:cstheme="minorHAnsi"/>
                <w:sz w:val="18"/>
                <w:szCs w:val="18"/>
                <w:lang w:val="en-GB"/>
              </w:rPr>
              <w:t>.</w:t>
            </w:r>
            <w:r w:rsidRPr="00800B07">
              <w:rPr>
                <w:rFonts w:cstheme="minorHAnsi"/>
                <w:sz w:val="18"/>
                <w:szCs w:val="18"/>
                <w:lang w:val="en-GB"/>
              </w:rPr>
              <w:t>2</w:t>
            </w:r>
          </w:p>
        </w:tc>
        <w:tc>
          <w:tcPr>
            <w:tcW w:w="454" w:type="pct"/>
            <w:tcBorders>
              <w:top w:val="single" w:sz="4" w:space="0" w:color="auto"/>
              <w:left w:val="single" w:sz="4" w:space="0" w:color="auto"/>
              <w:bottom w:val="single" w:sz="4" w:space="0" w:color="auto"/>
              <w:right w:val="single" w:sz="4" w:space="0" w:color="auto"/>
            </w:tcBorders>
          </w:tcPr>
          <w:p w14:paraId="38414511"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572</w:t>
            </w:r>
            <w:r>
              <w:rPr>
                <w:rFonts w:cstheme="minorHAnsi"/>
                <w:sz w:val="18"/>
                <w:szCs w:val="18"/>
                <w:lang w:val="en-GB"/>
              </w:rPr>
              <w:t>.</w:t>
            </w:r>
            <w:r w:rsidRPr="00800B07">
              <w:rPr>
                <w:rFonts w:cstheme="minorHAnsi"/>
                <w:sz w:val="18"/>
                <w:szCs w:val="18"/>
                <w:lang w:val="en-GB"/>
              </w:rPr>
              <w:t>4</w:t>
            </w:r>
            <w:r w:rsidRPr="00800B07">
              <w:rPr>
                <w:rFonts w:cstheme="minorHAnsi"/>
                <w:sz w:val="18"/>
                <w:szCs w:val="18"/>
                <w:lang w:val="en-GB"/>
              </w:rPr>
              <w:sym w:font="Symbol" w:char="F0B1"/>
            </w:r>
            <w:r w:rsidRPr="00800B07">
              <w:rPr>
                <w:rFonts w:cstheme="minorHAnsi"/>
                <w:sz w:val="18"/>
                <w:szCs w:val="18"/>
                <w:lang w:val="en-GB"/>
              </w:rPr>
              <w:t>199</w:t>
            </w:r>
            <w:r>
              <w:rPr>
                <w:rFonts w:cstheme="minorHAnsi"/>
                <w:sz w:val="18"/>
                <w:szCs w:val="18"/>
                <w:lang w:val="en-GB"/>
              </w:rPr>
              <w:t>.</w:t>
            </w:r>
            <w:r w:rsidRPr="00800B07">
              <w:rPr>
                <w:rFonts w:cstheme="minorHAnsi"/>
                <w:sz w:val="18"/>
                <w:szCs w:val="18"/>
                <w:lang w:val="en-GB"/>
              </w:rPr>
              <w:t>9</w:t>
            </w:r>
          </w:p>
        </w:tc>
        <w:tc>
          <w:tcPr>
            <w:tcW w:w="454" w:type="pct"/>
            <w:tcBorders>
              <w:top w:val="single" w:sz="4" w:space="0" w:color="auto"/>
              <w:left w:val="single" w:sz="4" w:space="0" w:color="auto"/>
              <w:bottom w:val="single" w:sz="4" w:space="0" w:color="auto"/>
              <w:right w:val="single" w:sz="4" w:space="0" w:color="auto"/>
            </w:tcBorders>
          </w:tcPr>
          <w:p w14:paraId="3B03621C"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697</w:t>
            </w:r>
            <w:r>
              <w:rPr>
                <w:rFonts w:cstheme="minorHAnsi"/>
                <w:sz w:val="18"/>
                <w:szCs w:val="18"/>
                <w:lang w:val="en-GB"/>
              </w:rPr>
              <w:t>.</w:t>
            </w:r>
            <w:r w:rsidRPr="00800B07">
              <w:rPr>
                <w:rFonts w:cstheme="minorHAnsi"/>
                <w:sz w:val="18"/>
                <w:szCs w:val="18"/>
                <w:lang w:val="en-GB"/>
              </w:rPr>
              <w:t>8</w:t>
            </w:r>
            <w:r w:rsidRPr="00800B07">
              <w:rPr>
                <w:rFonts w:cstheme="minorHAnsi"/>
                <w:sz w:val="18"/>
                <w:szCs w:val="18"/>
                <w:lang w:val="en-GB"/>
              </w:rPr>
              <w:sym w:font="Symbol" w:char="F0B1"/>
            </w:r>
            <w:r w:rsidRPr="00800B07">
              <w:rPr>
                <w:rFonts w:cstheme="minorHAnsi"/>
                <w:sz w:val="18"/>
                <w:szCs w:val="18"/>
                <w:lang w:val="en-GB"/>
              </w:rPr>
              <w:t>196</w:t>
            </w:r>
            <w:r>
              <w:rPr>
                <w:rFonts w:cstheme="minorHAnsi"/>
                <w:sz w:val="18"/>
                <w:szCs w:val="18"/>
                <w:lang w:val="en-GB"/>
              </w:rPr>
              <w:t>.</w:t>
            </w:r>
            <w:r w:rsidRPr="00800B07">
              <w:rPr>
                <w:rFonts w:cstheme="minorHAnsi"/>
                <w:sz w:val="18"/>
                <w:szCs w:val="18"/>
                <w:lang w:val="en-GB"/>
              </w:rPr>
              <w:t>4</w:t>
            </w:r>
          </w:p>
        </w:tc>
        <w:tc>
          <w:tcPr>
            <w:tcW w:w="454" w:type="pct"/>
            <w:tcBorders>
              <w:top w:val="single" w:sz="4" w:space="0" w:color="auto"/>
              <w:left w:val="single" w:sz="4" w:space="0" w:color="auto"/>
              <w:bottom w:val="single" w:sz="4" w:space="0" w:color="auto"/>
              <w:right w:val="single" w:sz="4" w:space="0" w:color="auto"/>
            </w:tcBorders>
          </w:tcPr>
          <w:p w14:paraId="0BD7AA36"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540</w:t>
            </w:r>
            <w:r>
              <w:rPr>
                <w:rFonts w:cstheme="minorHAnsi"/>
                <w:sz w:val="18"/>
                <w:szCs w:val="18"/>
                <w:lang w:val="en-GB"/>
              </w:rPr>
              <w:t>.</w:t>
            </w:r>
            <w:r w:rsidRPr="00800B07">
              <w:rPr>
                <w:rFonts w:cstheme="minorHAnsi"/>
                <w:sz w:val="18"/>
                <w:szCs w:val="18"/>
                <w:lang w:val="en-GB"/>
              </w:rPr>
              <w:t>9</w:t>
            </w:r>
            <w:r w:rsidRPr="00800B07">
              <w:rPr>
                <w:rFonts w:cstheme="minorHAnsi"/>
                <w:sz w:val="18"/>
                <w:szCs w:val="18"/>
                <w:lang w:val="en-GB"/>
              </w:rPr>
              <w:sym w:font="Symbol" w:char="F0B1"/>
            </w:r>
            <w:r w:rsidRPr="00800B07">
              <w:rPr>
                <w:rFonts w:cstheme="minorHAnsi"/>
                <w:sz w:val="18"/>
                <w:szCs w:val="18"/>
                <w:lang w:val="en-GB"/>
              </w:rPr>
              <w:t>117</w:t>
            </w:r>
            <w:r>
              <w:rPr>
                <w:rFonts w:cstheme="minorHAnsi"/>
                <w:sz w:val="18"/>
                <w:szCs w:val="18"/>
                <w:lang w:val="en-GB"/>
              </w:rPr>
              <w:t>.</w:t>
            </w:r>
            <w:r w:rsidRPr="00800B07">
              <w:rPr>
                <w:rFonts w:cstheme="minorHAnsi"/>
                <w:sz w:val="18"/>
                <w:szCs w:val="18"/>
                <w:lang w:val="en-GB"/>
              </w:rPr>
              <w:t>3</w:t>
            </w:r>
          </w:p>
        </w:tc>
        <w:tc>
          <w:tcPr>
            <w:tcW w:w="458" w:type="pct"/>
            <w:tcBorders>
              <w:top w:val="single" w:sz="4" w:space="0" w:color="auto"/>
              <w:left w:val="single" w:sz="4" w:space="0" w:color="auto"/>
              <w:bottom w:val="single" w:sz="4" w:space="0" w:color="auto"/>
              <w:right w:val="single" w:sz="4" w:space="0" w:color="auto"/>
            </w:tcBorders>
          </w:tcPr>
          <w:p w14:paraId="6BA98B84"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639</w:t>
            </w:r>
            <w:r>
              <w:rPr>
                <w:rFonts w:cstheme="minorHAnsi"/>
                <w:sz w:val="18"/>
                <w:szCs w:val="18"/>
                <w:lang w:val="en-GB"/>
              </w:rPr>
              <w:t>.</w:t>
            </w:r>
            <w:r w:rsidRPr="00800B07">
              <w:rPr>
                <w:rFonts w:cstheme="minorHAnsi"/>
                <w:sz w:val="18"/>
                <w:szCs w:val="18"/>
                <w:lang w:val="en-GB"/>
              </w:rPr>
              <w:t>1</w:t>
            </w:r>
            <w:r w:rsidRPr="00800B07">
              <w:rPr>
                <w:rFonts w:cstheme="minorHAnsi"/>
                <w:sz w:val="18"/>
                <w:szCs w:val="18"/>
                <w:lang w:val="en-GB"/>
              </w:rPr>
              <w:sym w:font="Symbol" w:char="F0B1"/>
            </w:r>
            <w:r w:rsidRPr="00800B07">
              <w:rPr>
                <w:rFonts w:cstheme="minorHAnsi"/>
                <w:sz w:val="18"/>
                <w:szCs w:val="18"/>
                <w:lang w:val="en-GB"/>
              </w:rPr>
              <w:t>203</w:t>
            </w:r>
            <w:r>
              <w:rPr>
                <w:rFonts w:cstheme="minorHAnsi"/>
                <w:sz w:val="18"/>
                <w:szCs w:val="18"/>
                <w:lang w:val="en-GB"/>
              </w:rPr>
              <w:t>.</w:t>
            </w:r>
            <w:r w:rsidRPr="00800B07">
              <w:rPr>
                <w:rFonts w:cstheme="minorHAnsi"/>
                <w:sz w:val="18"/>
                <w:szCs w:val="18"/>
                <w:lang w:val="en-GB"/>
              </w:rPr>
              <w:t>3</w:t>
            </w:r>
          </w:p>
        </w:tc>
      </w:tr>
      <w:tr w:rsidR="0057187E" w:rsidRPr="00800B07" w14:paraId="3C0260B5" w14:textId="77777777" w:rsidTr="0057187E">
        <w:trPr>
          <w:trHeight w:val="407"/>
        </w:trPr>
        <w:tc>
          <w:tcPr>
            <w:tcW w:w="1409" w:type="pct"/>
            <w:tcBorders>
              <w:top w:val="single" w:sz="4" w:space="0" w:color="auto"/>
              <w:left w:val="single" w:sz="4" w:space="0" w:color="auto"/>
              <w:bottom w:val="single" w:sz="4" w:space="0" w:color="auto"/>
              <w:right w:val="single" w:sz="12" w:space="0" w:color="auto"/>
            </w:tcBorders>
          </w:tcPr>
          <w:p w14:paraId="3C405D17" w14:textId="77777777" w:rsidR="0057187E" w:rsidRPr="00800B07" w:rsidRDefault="0057187E" w:rsidP="0057187E">
            <w:pPr>
              <w:spacing w:after="0"/>
              <w:rPr>
                <w:rFonts w:cstheme="minorHAnsi"/>
                <w:sz w:val="18"/>
                <w:szCs w:val="18"/>
                <w:lang w:val="en-GB"/>
              </w:rPr>
            </w:pPr>
            <w:r w:rsidRPr="00800B07">
              <w:rPr>
                <w:rFonts w:cstheme="minorHAnsi"/>
                <w:b/>
                <w:bCs/>
                <w:sz w:val="18"/>
                <w:szCs w:val="18"/>
                <w:lang w:val="en-GB"/>
              </w:rPr>
              <w:t xml:space="preserve">Urinary sodium excretion, </w:t>
            </w:r>
            <w:r w:rsidRPr="00800B07">
              <w:rPr>
                <w:rFonts w:cstheme="minorHAnsi"/>
                <w:sz w:val="18"/>
                <w:szCs w:val="18"/>
                <w:lang w:val="en-GB"/>
              </w:rPr>
              <w:t>mean</w:t>
            </w:r>
            <w:r w:rsidRPr="00800B07">
              <w:rPr>
                <w:rFonts w:cstheme="minorHAnsi"/>
                <w:sz w:val="18"/>
                <w:szCs w:val="18"/>
                <w:lang w:val="en-GB"/>
              </w:rPr>
              <w:sym w:font="Symbol" w:char="F0B1"/>
            </w:r>
            <w:r w:rsidRPr="00800B07">
              <w:rPr>
                <w:rFonts w:cstheme="minorHAnsi"/>
                <w:sz w:val="18"/>
                <w:szCs w:val="18"/>
                <w:lang w:val="en-GB"/>
              </w:rPr>
              <w:t>SD (mmol/24h)</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0C4008AF"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179</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81</w:t>
            </w:r>
            <w:r>
              <w:rPr>
                <w:rFonts w:cstheme="minorHAnsi"/>
                <w:sz w:val="18"/>
                <w:szCs w:val="18"/>
                <w:lang w:val="en-GB"/>
              </w:rPr>
              <w:t>.</w:t>
            </w:r>
            <w:r w:rsidRPr="00800B07">
              <w:rPr>
                <w:rFonts w:cstheme="minorHAnsi"/>
                <w:sz w:val="18"/>
                <w:szCs w:val="18"/>
                <w:lang w:val="en-GB"/>
              </w:rPr>
              <w:t>2</w:t>
            </w:r>
          </w:p>
        </w:tc>
        <w:tc>
          <w:tcPr>
            <w:tcW w:w="454" w:type="pct"/>
            <w:tcBorders>
              <w:top w:val="single" w:sz="4" w:space="0" w:color="auto"/>
              <w:left w:val="single" w:sz="12" w:space="0" w:color="auto"/>
              <w:bottom w:val="single" w:sz="4" w:space="0" w:color="auto"/>
              <w:right w:val="single" w:sz="4" w:space="0" w:color="auto"/>
            </w:tcBorders>
          </w:tcPr>
          <w:p w14:paraId="0F99E670"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184</w:t>
            </w:r>
            <w:r>
              <w:rPr>
                <w:rFonts w:cstheme="minorHAnsi"/>
                <w:sz w:val="18"/>
                <w:szCs w:val="18"/>
                <w:lang w:val="en-GB"/>
              </w:rPr>
              <w:t>.</w:t>
            </w:r>
            <w:r w:rsidRPr="00800B07">
              <w:rPr>
                <w:rFonts w:cstheme="minorHAnsi"/>
                <w:sz w:val="18"/>
                <w:szCs w:val="18"/>
                <w:lang w:val="en-GB"/>
              </w:rPr>
              <w:t>4</w:t>
            </w:r>
            <w:r w:rsidRPr="00800B07">
              <w:rPr>
                <w:rFonts w:cstheme="minorHAnsi"/>
                <w:sz w:val="18"/>
                <w:szCs w:val="18"/>
                <w:lang w:val="en-GB"/>
              </w:rPr>
              <w:sym w:font="Symbol" w:char="F0B1"/>
            </w:r>
            <w:r w:rsidRPr="00800B07">
              <w:rPr>
                <w:rFonts w:cstheme="minorHAnsi"/>
                <w:sz w:val="18"/>
                <w:szCs w:val="18"/>
                <w:lang w:val="en-GB"/>
              </w:rPr>
              <w:t>81</w:t>
            </w:r>
            <w:r>
              <w:rPr>
                <w:rFonts w:cstheme="minorHAnsi"/>
                <w:sz w:val="18"/>
                <w:szCs w:val="18"/>
                <w:lang w:val="en-GB"/>
              </w:rPr>
              <w:t>.</w:t>
            </w:r>
            <w:r w:rsidRPr="00800B07">
              <w:rPr>
                <w:rFonts w:cstheme="minorHAnsi"/>
                <w:sz w:val="18"/>
                <w:szCs w:val="18"/>
                <w:lang w:val="en-GB"/>
              </w:rPr>
              <w:t>8</w:t>
            </w:r>
          </w:p>
        </w:tc>
        <w:tc>
          <w:tcPr>
            <w:tcW w:w="454" w:type="pct"/>
            <w:tcBorders>
              <w:top w:val="single" w:sz="4" w:space="0" w:color="auto"/>
              <w:left w:val="single" w:sz="4" w:space="0" w:color="auto"/>
              <w:bottom w:val="single" w:sz="4" w:space="0" w:color="auto"/>
              <w:right w:val="single" w:sz="4" w:space="0" w:color="auto"/>
            </w:tcBorders>
          </w:tcPr>
          <w:p w14:paraId="1E2A0765"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214</w:t>
            </w:r>
            <w:r>
              <w:rPr>
                <w:rFonts w:cstheme="minorHAnsi"/>
                <w:sz w:val="18"/>
                <w:szCs w:val="18"/>
                <w:lang w:val="en-GB"/>
              </w:rPr>
              <w:t>.</w:t>
            </w:r>
            <w:r w:rsidRPr="00800B07">
              <w:rPr>
                <w:rFonts w:cstheme="minorHAnsi"/>
                <w:sz w:val="18"/>
                <w:szCs w:val="18"/>
                <w:lang w:val="en-GB"/>
              </w:rPr>
              <w:t>4</w:t>
            </w:r>
            <w:r w:rsidRPr="00800B07">
              <w:rPr>
                <w:rFonts w:cstheme="minorHAnsi"/>
                <w:sz w:val="18"/>
                <w:szCs w:val="18"/>
                <w:lang w:val="en-GB"/>
              </w:rPr>
              <w:sym w:font="Symbol" w:char="F0B1"/>
            </w:r>
            <w:r w:rsidRPr="00800B07">
              <w:rPr>
                <w:rFonts w:cstheme="minorHAnsi"/>
                <w:sz w:val="18"/>
                <w:szCs w:val="18"/>
                <w:lang w:val="en-GB"/>
              </w:rPr>
              <w:t>109</w:t>
            </w:r>
            <w:r>
              <w:rPr>
                <w:rFonts w:cstheme="minorHAnsi"/>
                <w:sz w:val="18"/>
                <w:szCs w:val="18"/>
                <w:lang w:val="en-GB"/>
              </w:rPr>
              <w:t>.</w:t>
            </w:r>
            <w:r w:rsidRPr="00800B07">
              <w:rPr>
                <w:rFonts w:cstheme="minorHAnsi"/>
                <w:sz w:val="18"/>
                <w:szCs w:val="18"/>
                <w:lang w:val="en-GB"/>
              </w:rPr>
              <w:t>6</w:t>
            </w:r>
          </w:p>
        </w:tc>
        <w:tc>
          <w:tcPr>
            <w:tcW w:w="455" w:type="pct"/>
            <w:tcBorders>
              <w:top w:val="single" w:sz="4" w:space="0" w:color="auto"/>
              <w:left w:val="single" w:sz="4" w:space="0" w:color="auto"/>
              <w:bottom w:val="single" w:sz="4" w:space="0" w:color="auto"/>
              <w:right w:val="single" w:sz="4" w:space="0" w:color="auto"/>
            </w:tcBorders>
          </w:tcPr>
          <w:p w14:paraId="4D6A63B7"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182</w:t>
            </w:r>
            <w:r>
              <w:rPr>
                <w:rFonts w:cstheme="minorHAnsi"/>
                <w:sz w:val="18"/>
                <w:szCs w:val="18"/>
                <w:lang w:val="en-GB"/>
              </w:rPr>
              <w:t>.</w:t>
            </w:r>
            <w:r w:rsidRPr="00800B07">
              <w:rPr>
                <w:rFonts w:cstheme="minorHAnsi"/>
                <w:sz w:val="18"/>
                <w:szCs w:val="18"/>
                <w:lang w:val="en-GB"/>
              </w:rPr>
              <w:t>7</w:t>
            </w:r>
            <w:r w:rsidRPr="00800B07">
              <w:rPr>
                <w:rFonts w:cstheme="minorHAnsi"/>
                <w:sz w:val="18"/>
                <w:szCs w:val="18"/>
                <w:lang w:val="en-GB"/>
              </w:rPr>
              <w:sym w:font="Symbol" w:char="F0B1"/>
            </w:r>
            <w:r w:rsidRPr="00800B07">
              <w:rPr>
                <w:rFonts w:cstheme="minorHAnsi"/>
                <w:sz w:val="18"/>
                <w:szCs w:val="18"/>
                <w:lang w:val="en-GB"/>
              </w:rPr>
              <w:t>66</w:t>
            </w:r>
            <w:r>
              <w:rPr>
                <w:rFonts w:cstheme="minorHAnsi"/>
                <w:sz w:val="18"/>
                <w:szCs w:val="18"/>
                <w:lang w:val="en-GB"/>
              </w:rPr>
              <w:t>.</w:t>
            </w:r>
            <w:r w:rsidRPr="00800B07">
              <w:rPr>
                <w:rFonts w:cstheme="minorHAnsi"/>
                <w:sz w:val="18"/>
                <w:szCs w:val="18"/>
                <w:lang w:val="en-GB"/>
              </w:rPr>
              <w:t>1</w:t>
            </w:r>
          </w:p>
        </w:tc>
        <w:tc>
          <w:tcPr>
            <w:tcW w:w="454" w:type="pct"/>
            <w:tcBorders>
              <w:top w:val="single" w:sz="4" w:space="0" w:color="auto"/>
              <w:left w:val="single" w:sz="4" w:space="0" w:color="auto"/>
              <w:bottom w:val="single" w:sz="4" w:space="0" w:color="auto"/>
              <w:right w:val="single" w:sz="4" w:space="0" w:color="auto"/>
            </w:tcBorders>
          </w:tcPr>
          <w:p w14:paraId="05803BE6"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155</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59</w:t>
            </w:r>
            <w:r>
              <w:rPr>
                <w:rFonts w:cstheme="minorHAnsi"/>
                <w:sz w:val="18"/>
                <w:szCs w:val="18"/>
                <w:lang w:val="en-GB"/>
              </w:rPr>
              <w:t>.</w:t>
            </w:r>
            <w:r w:rsidRPr="00800B07">
              <w:rPr>
                <w:rFonts w:cstheme="minorHAnsi"/>
                <w:sz w:val="18"/>
                <w:szCs w:val="18"/>
                <w:lang w:val="en-GB"/>
              </w:rPr>
              <w:t>7</w:t>
            </w:r>
          </w:p>
        </w:tc>
        <w:tc>
          <w:tcPr>
            <w:tcW w:w="454" w:type="pct"/>
            <w:tcBorders>
              <w:top w:val="single" w:sz="4" w:space="0" w:color="auto"/>
              <w:left w:val="single" w:sz="4" w:space="0" w:color="auto"/>
              <w:bottom w:val="single" w:sz="4" w:space="0" w:color="auto"/>
              <w:right w:val="single" w:sz="4" w:space="0" w:color="auto"/>
            </w:tcBorders>
          </w:tcPr>
          <w:p w14:paraId="2386A6EC"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183</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56</w:t>
            </w:r>
            <w:r>
              <w:rPr>
                <w:rFonts w:cstheme="minorHAnsi"/>
                <w:sz w:val="18"/>
                <w:szCs w:val="18"/>
                <w:lang w:val="en-GB"/>
              </w:rPr>
              <w:t>.</w:t>
            </w:r>
            <w:r w:rsidRPr="00800B07">
              <w:rPr>
                <w:rFonts w:cstheme="minorHAnsi"/>
                <w:sz w:val="18"/>
                <w:szCs w:val="18"/>
                <w:lang w:val="en-GB"/>
              </w:rPr>
              <w:t>6</w:t>
            </w:r>
          </w:p>
        </w:tc>
        <w:tc>
          <w:tcPr>
            <w:tcW w:w="454" w:type="pct"/>
            <w:tcBorders>
              <w:top w:val="single" w:sz="4" w:space="0" w:color="auto"/>
              <w:left w:val="single" w:sz="4" w:space="0" w:color="auto"/>
              <w:bottom w:val="single" w:sz="4" w:space="0" w:color="auto"/>
              <w:right w:val="single" w:sz="4" w:space="0" w:color="auto"/>
            </w:tcBorders>
          </w:tcPr>
          <w:p w14:paraId="7FBE6055"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150</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58</w:t>
            </w:r>
            <w:r>
              <w:rPr>
                <w:rFonts w:cstheme="minorHAnsi"/>
                <w:sz w:val="18"/>
                <w:szCs w:val="18"/>
                <w:lang w:val="en-GB"/>
              </w:rPr>
              <w:t>.</w:t>
            </w:r>
            <w:r w:rsidRPr="00800B07">
              <w:rPr>
                <w:rFonts w:cstheme="minorHAnsi"/>
                <w:sz w:val="18"/>
                <w:szCs w:val="18"/>
                <w:lang w:val="en-GB"/>
              </w:rPr>
              <w:t>5</w:t>
            </w:r>
          </w:p>
        </w:tc>
        <w:tc>
          <w:tcPr>
            <w:tcW w:w="458" w:type="pct"/>
            <w:tcBorders>
              <w:top w:val="single" w:sz="4" w:space="0" w:color="auto"/>
              <w:left w:val="single" w:sz="4" w:space="0" w:color="auto"/>
              <w:bottom w:val="single" w:sz="4" w:space="0" w:color="auto"/>
              <w:right w:val="single" w:sz="4" w:space="0" w:color="auto"/>
            </w:tcBorders>
          </w:tcPr>
          <w:p w14:paraId="45828A59"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212</w:t>
            </w:r>
            <w:r>
              <w:rPr>
                <w:rFonts w:cstheme="minorHAnsi"/>
                <w:sz w:val="18"/>
                <w:szCs w:val="18"/>
                <w:lang w:val="en-GB"/>
              </w:rPr>
              <w:t>.</w:t>
            </w:r>
            <w:r w:rsidRPr="00800B07">
              <w:rPr>
                <w:rFonts w:cstheme="minorHAnsi"/>
                <w:sz w:val="18"/>
                <w:szCs w:val="18"/>
                <w:lang w:val="en-GB"/>
              </w:rPr>
              <w:t>7</w:t>
            </w:r>
            <w:r w:rsidRPr="00800B07">
              <w:rPr>
                <w:rFonts w:cstheme="minorHAnsi"/>
                <w:sz w:val="18"/>
                <w:szCs w:val="18"/>
                <w:lang w:val="en-GB"/>
              </w:rPr>
              <w:sym w:font="Symbol" w:char="F0B1"/>
            </w:r>
            <w:r w:rsidRPr="00800B07">
              <w:rPr>
                <w:rFonts w:cstheme="minorHAnsi"/>
                <w:sz w:val="18"/>
                <w:szCs w:val="18"/>
                <w:lang w:val="en-GB"/>
              </w:rPr>
              <w:t>65</w:t>
            </w:r>
            <w:r>
              <w:rPr>
                <w:rFonts w:cstheme="minorHAnsi"/>
                <w:sz w:val="18"/>
                <w:szCs w:val="18"/>
                <w:lang w:val="en-GB"/>
              </w:rPr>
              <w:t>.</w:t>
            </w:r>
            <w:r w:rsidRPr="00800B07">
              <w:rPr>
                <w:rFonts w:cstheme="minorHAnsi"/>
                <w:sz w:val="18"/>
                <w:szCs w:val="18"/>
                <w:lang w:val="en-GB"/>
              </w:rPr>
              <w:t>5</w:t>
            </w:r>
          </w:p>
        </w:tc>
      </w:tr>
      <w:tr w:rsidR="0057187E" w:rsidRPr="00800B07" w14:paraId="4D57A7F0" w14:textId="77777777" w:rsidTr="0057187E">
        <w:trPr>
          <w:trHeight w:val="407"/>
        </w:trPr>
        <w:tc>
          <w:tcPr>
            <w:tcW w:w="1409" w:type="pct"/>
            <w:tcBorders>
              <w:top w:val="single" w:sz="4" w:space="0" w:color="auto"/>
              <w:left w:val="single" w:sz="4" w:space="0" w:color="auto"/>
              <w:bottom w:val="single" w:sz="4" w:space="0" w:color="auto"/>
              <w:right w:val="single" w:sz="12" w:space="0" w:color="auto"/>
            </w:tcBorders>
          </w:tcPr>
          <w:p w14:paraId="4244DA91" w14:textId="77777777" w:rsidR="0057187E" w:rsidRPr="00800B07" w:rsidRDefault="0057187E" w:rsidP="0057187E">
            <w:pPr>
              <w:spacing w:after="0"/>
              <w:rPr>
                <w:rFonts w:cstheme="minorHAnsi"/>
                <w:sz w:val="18"/>
                <w:szCs w:val="18"/>
                <w:lang w:val="en-GB"/>
              </w:rPr>
            </w:pPr>
            <w:r w:rsidRPr="00800B07">
              <w:rPr>
                <w:rFonts w:cstheme="minorHAnsi"/>
                <w:b/>
                <w:bCs/>
                <w:sz w:val="18"/>
                <w:szCs w:val="18"/>
                <w:lang w:val="en-GB"/>
              </w:rPr>
              <w:t xml:space="preserve">Protein intake, </w:t>
            </w:r>
            <w:r w:rsidRPr="00800B07">
              <w:rPr>
                <w:rFonts w:cstheme="minorHAnsi"/>
                <w:sz w:val="18"/>
                <w:szCs w:val="18"/>
                <w:lang w:val="en-GB"/>
              </w:rPr>
              <w:t>mean</w:t>
            </w:r>
            <w:r w:rsidRPr="00800B07">
              <w:rPr>
                <w:rFonts w:cstheme="minorHAnsi"/>
                <w:sz w:val="18"/>
                <w:szCs w:val="18"/>
                <w:lang w:val="en-GB"/>
              </w:rPr>
              <w:sym w:font="Symbol" w:char="F0B1"/>
            </w:r>
            <w:r w:rsidRPr="00800B07">
              <w:rPr>
                <w:rFonts w:cstheme="minorHAnsi"/>
                <w:sz w:val="18"/>
                <w:szCs w:val="18"/>
                <w:lang w:val="en-GB"/>
              </w:rPr>
              <w:t>SD (g/kg ideal weight per 24h)</w:t>
            </w:r>
            <w:r w:rsidRPr="00800B07">
              <w:rPr>
                <w:rFonts w:cstheme="minorHAnsi"/>
                <w:b/>
                <w:bCs/>
                <w:sz w:val="18"/>
                <w:szCs w:val="18"/>
                <w:lang w:val="en-GB"/>
              </w:rPr>
              <w:t xml:space="preserve">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6681CC35"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3</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w:t>
            </w:r>
          </w:p>
        </w:tc>
        <w:tc>
          <w:tcPr>
            <w:tcW w:w="454" w:type="pct"/>
            <w:tcBorders>
              <w:top w:val="single" w:sz="4" w:space="0" w:color="auto"/>
              <w:left w:val="single" w:sz="12" w:space="0" w:color="auto"/>
              <w:bottom w:val="single" w:sz="4" w:space="0" w:color="auto"/>
              <w:right w:val="single" w:sz="4" w:space="0" w:color="auto"/>
            </w:tcBorders>
          </w:tcPr>
          <w:p w14:paraId="1C83FDCC"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3</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w:t>
            </w:r>
          </w:p>
        </w:tc>
        <w:tc>
          <w:tcPr>
            <w:tcW w:w="454" w:type="pct"/>
            <w:tcBorders>
              <w:top w:val="single" w:sz="4" w:space="0" w:color="auto"/>
              <w:left w:val="single" w:sz="4" w:space="0" w:color="auto"/>
              <w:bottom w:val="single" w:sz="4" w:space="0" w:color="auto"/>
              <w:right w:val="single" w:sz="4" w:space="0" w:color="auto"/>
            </w:tcBorders>
          </w:tcPr>
          <w:p w14:paraId="0EAC4E35"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5</w:t>
            </w:r>
          </w:p>
        </w:tc>
        <w:tc>
          <w:tcPr>
            <w:tcW w:w="455" w:type="pct"/>
            <w:tcBorders>
              <w:top w:val="single" w:sz="4" w:space="0" w:color="auto"/>
              <w:left w:val="single" w:sz="4" w:space="0" w:color="auto"/>
              <w:bottom w:val="single" w:sz="4" w:space="0" w:color="auto"/>
              <w:right w:val="single" w:sz="4" w:space="0" w:color="auto"/>
            </w:tcBorders>
          </w:tcPr>
          <w:p w14:paraId="03410B98"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1</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3</w:t>
            </w:r>
          </w:p>
        </w:tc>
        <w:tc>
          <w:tcPr>
            <w:tcW w:w="454" w:type="pct"/>
            <w:tcBorders>
              <w:top w:val="single" w:sz="4" w:space="0" w:color="auto"/>
              <w:left w:val="single" w:sz="4" w:space="0" w:color="auto"/>
              <w:bottom w:val="single" w:sz="4" w:space="0" w:color="auto"/>
              <w:right w:val="single" w:sz="4" w:space="0" w:color="auto"/>
            </w:tcBorders>
          </w:tcPr>
          <w:p w14:paraId="71666C81"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3</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w:t>
            </w:r>
          </w:p>
        </w:tc>
        <w:tc>
          <w:tcPr>
            <w:tcW w:w="454" w:type="pct"/>
            <w:tcBorders>
              <w:top w:val="single" w:sz="4" w:space="0" w:color="auto"/>
              <w:left w:val="single" w:sz="4" w:space="0" w:color="auto"/>
              <w:bottom w:val="single" w:sz="4" w:space="0" w:color="auto"/>
              <w:right w:val="single" w:sz="4" w:space="0" w:color="auto"/>
            </w:tcBorders>
          </w:tcPr>
          <w:p w14:paraId="015D8A1B"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w:t>
            </w:r>
          </w:p>
        </w:tc>
        <w:tc>
          <w:tcPr>
            <w:tcW w:w="454" w:type="pct"/>
            <w:tcBorders>
              <w:top w:val="single" w:sz="4" w:space="0" w:color="auto"/>
              <w:left w:val="single" w:sz="4" w:space="0" w:color="auto"/>
              <w:bottom w:val="single" w:sz="4" w:space="0" w:color="auto"/>
              <w:right w:val="single" w:sz="4" w:space="0" w:color="auto"/>
            </w:tcBorders>
          </w:tcPr>
          <w:p w14:paraId="7C87CDF3"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w:t>
            </w:r>
          </w:p>
        </w:tc>
        <w:tc>
          <w:tcPr>
            <w:tcW w:w="458" w:type="pct"/>
            <w:tcBorders>
              <w:top w:val="single" w:sz="4" w:space="0" w:color="auto"/>
              <w:left w:val="single" w:sz="4" w:space="0" w:color="auto"/>
              <w:bottom w:val="single" w:sz="4" w:space="0" w:color="auto"/>
              <w:right w:val="single" w:sz="4" w:space="0" w:color="auto"/>
            </w:tcBorders>
          </w:tcPr>
          <w:p w14:paraId="00F4E090"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w:t>
            </w:r>
          </w:p>
        </w:tc>
      </w:tr>
      <w:tr w:rsidR="0057187E" w:rsidRPr="00800B07" w14:paraId="312A5C11" w14:textId="77777777" w:rsidTr="0057187E">
        <w:trPr>
          <w:trHeight w:val="407"/>
        </w:trPr>
        <w:tc>
          <w:tcPr>
            <w:tcW w:w="1409" w:type="pct"/>
            <w:tcBorders>
              <w:top w:val="single" w:sz="4" w:space="0" w:color="auto"/>
              <w:left w:val="single" w:sz="4" w:space="0" w:color="auto"/>
              <w:bottom w:val="single" w:sz="4" w:space="0" w:color="auto"/>
              <w:right w:val="single" w:sz="12" w:space="0" w:color="auto"/>
            </w:tcBorders>
          </w:tcPr>
          <w:p w14:paraId="36D281CC" w14:textId="77777777" w:rsidR="0057187E" w:rsidRPr="00800B07" w:rsidRDefault="0057187E" w:rsidP="0057187E">
            <w:pPr>
              <w:spacing w:after="0"/>
              <w:rPr>
                <w:rFonts w:cstheme="minorHAnsi"/>
                <w:sz w:val="18"/>
                <w:szCs w:val="18"/>
                <w:lang w:val="en-GB"/>
              </w:rPr>
            </w:pPr>
            <w:r w:rsidRPr="00800B07">
              <w:rPr>
                <w:rFonts w:cstheme="minorHAnsi"/>
                <w:b/>
                <w:bCs/>
                <w:sz w:val="18"/>
                <w:szCs w:val="18"/>
                <w:lang w:val="en-GB"/>
              </w:rPr>
              <w:t xml:space="preserve">Urinary volume, </w:t>
            </w:r>
            <w:r w:rsidRPr="00800B07">
              <w:rPr>
                <w:rFonts w:cstheme="minorHAnsi"/>
                <w:sz w:val="18"/>
                <w:szCs w:val="18"/>
                <w:lang w:val="en-GB"/>
              </w:rPr>
              <w:t>mean</w:t>
            </w:r>
            <w:r w:rsidRPr="00800B07">
              <w:rPr>
                <w:rFonts w:cstheme="minorHAnsi"/>
                <w:sz w:val="18"/>
                <w:szCs w:val="18"/>
                <w:lang w:val="en-GB"/>
              </w:rPr>
              <w:sym w:font="Symbol" w:char="F0B1"/>
            </w:r>
            <w:r w:rsidRPr="00800B07">
              <w:rPr>
                <w:rFonts w:cstheme="minorHAnsi"/>
                <w:sz w:val="18"/>
                <w:szCs w:val="18"/>
                <w:lang w:val="en-GB"/>
              </w:rPr>
              <w:t>SD  (mL/24h)</w:t>
            </w:r>
            <w:r w:rsidRPr="00800B07">
              <w:rPr>
                <w:rFonts w:cstheme="minorHAnsi"/>
                <w:b/>
                <w:bCs/>
                <w:sz w:val="18"/>
                <w:szCs w:val="18"/>
                <w:lang w:val="en-GB"/>
              </w:rPr>
              <w:t xml:space="preserve">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44CA4BB9"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1907</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880</w:t>
            </w:r>
            <w:r>
              <w:rPr>
                <w:rFonts w:cstheme="minorHAnsi"/>
                <w:sz w:val="18"/>
                <w:szCs w:val="18"/>
                <w:lang w:val="en-GB"/>
              </w:rPr>
              <w:t>.</w:t>
            </w:r>
            <w:r w:rsidRPr="00800B07">
              <w:rPr>
                <w:rFonts w:cstheme="minorHAnsi"/>
                <w:sz w:val="18"/>
                <w:szCs w:val="18"/>
                <w:lang w:val="en-GB"/>
              </w:rPr>
              <w:t>2</w:t>
            </w:r>
          </w:p>
        </w:tc>
        <w:tc>
          <w:tcPr>
            <w:tcW w:w="454" w:type="pct"/>
            <w:tcBorders>
              <w:top w:val="single" w:sz="4" w:space="0" w:color="auto"/>
              <w:left w:val="single" w:sz="12" w:space="0" w:color="auto"/>
              <w:bottom w:val="single" w:sz="4" w:space="0" w:color="auto"/>
              <w:right w:val="single" w:sz="4" w:space="0" w:color="auto"/>
            </w:tcBorders>
          </w:tcPr>
          <w:p w14:paraId="1FC7BF2B"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1837</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840</w:t>
            </w:r>
            <w:r>
              <w:rPr>
                <w:rFonts w:cstheme="minorHAnsi"/>
                <w:sz w:val="18"/>
                <w:szCs w:val="18"/>
                <w:lang w:val="en-GB"/>
              </w:rPr>
              <w:t>.</w:t>
            </w:r>
            <w:r w:rsidRPr="00800B07">
              <w:rPr>
                <w:rFonts w:cstheme="minorHAnsi"/>
                <w:sz w:val="18"/>
                <w:szCs w:val="18"/>
                <w:lang w:val="en-GB"/>
              </w:rPr>
              <w:t>8</w:t>
            </w:r>
          </w:p>
        </w:tc>
        <w:tc>
          <w:tcPr>
            <w:tcW w:w="454" w:type="pct"/>
            <w:tcBorders>
              <w:top w:val="single" w:sz="4" w:space="0" w:color="auto"/>
              <w:left w:val="single" w:sz="4" w:space="0" w:color="auto"/>
              <w:bottom w:val="single" w:sz="4" w:space="0" w:color="auto"/>
              <w:right w:val="single" w:sz="4" w:space="0" w:color="auto"/>
            </w:tcBorders>
          </w:tcPr>
          <w:p w14:paraId="4CFD889F"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2032</w:t>
            </w:r>
            <w:r>
              <w:rPr>
                <w:rFonts w:cstheme="minorHAnsi"/>
                <w:sz w:val="18"/>
                <w:szCs w:val="18"/>
                <w:lang w:val="en-GB"/>
              </w:rPr>
              <w:t>.</w:t>
            </w:r>
            <w:r w:rsidRPr="00800B07">
              <w:rPr>
                <w:rFonts w:cstheme="minorHAnsi"/>
                <w:sz w:val="18"/>
                <w:szCs w:val="18"/>
                <w:lang w:val="en-GB"/>
              </w:rPr>
              <w:t>3</w:t>
            </w:r>
            <w:r w:rsidRPr="00800B07">
              <w:rPr>
                <w:rFonts w:cstheme="minorHAnsi"/>
                <w:sz w:val="18"/>
                <w:szCs w:val="18"/>
                <w:lang w:val="en-GB"/>
              </w:rPr>
              <w:sym w:font="Symbol" w:char="F0B1"/>
            </w:r>
            <w:r w:rsidRPr="00800B07">
              <w:rPr>
                <w:rFonts w:cstheme="minorHAnsi"/>
                <w:sz w:val="18"/>
                <w:szCs w:val="18"/>
                <w:lang w:val="en-GB"/>
              </w:rPr>
              <w:t>790</w:t>
            </w:r>
            <w:r>
              <w:rPr>
                <w:rFonts w:cstheme="minorHAnsi"/>
                <w:sz w:val="18"/>
                <w:szCs w:val="18"/>
                <w:lang w:val="en-GB"/>
              </w:rPr>
              <w:t>.</w:t>
            </w:r>
            <w:r w:rsidRPr="00800B07">
              <w:rPr>
                <w:rFonts w:cstheme="minorHAnsi"/>
                <w:sz w:val="18"/>
                <w:szCs w:val="18"/>
                <w:lang w:val="en-GB"/>
              </w:rPr>
              <w:t>2</w:t>
            </w:r>
          </w:p>
        </w:tc>
        <w:tc>
          <w:tcPr>
            <w:tcW w:w="455" w:type="pct"/>
            <w:tcBorders>
              <w:top w:val="single" w:sz="4" w:space="0" w:color="auto"/>
              <w:left w:val="single" w:sz="4" w:space="0" w:color="auto"/>
              <w:bottom w:val="single" w:sz="4" w:space="0" w:color="auto"/>
              <w:right w:val="single" w:sz="4" w:space="0" w:color="auto"/>
            </w:tcBorders>
          </w:tcPr>
          <w:p w14:paraId="356F17D9"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2473</w:t>
            </w:r>
            <w:r>
              <w:rPr>
                <w:rFonts w:cstheme="minorHAnsi"/>
                <w:sz w:val="18"/>
                <w:szCs w:val="18"/>
                <w:lang w:val="en-GB"/>
              </w:rPr>
              <w:t>.</w:t>
            </w:r>
            <w:r w:rsidRPr="00800B07">
              <w:rPr>
                <w:rFonts w:cstheme="minorHAnsi"/>
                <w:sz w:val="18"/>
                <w:szCs w:val="18"/>
                <w:lang w:val="en-GB"/>
              </w:rPr>
              <w:t>3</w:t>
            </w:r>
            <w:r w:rsidRPr="00800B07">
              <w:rPr>
                <w:rFonts w:cstheme="minorHAnsi"/>
                <w:sz w:val="18"/>
                <w:szCs w:val="18"/>
                <w:lang w:val="en-GB"/>
              </w:rPr>
              <w:sym w:font="Symbol" w:char="F0B1"/>
            </w:r>
            <w:r w:rsidRPr="00800B07">
              <w:rPr>
                <w:rFonts w:cstheme="minorHAnsi"/>
                <w:sz w:val="18"/>
                <w:szCs w:val="18"/>
                <w:lang w:val="en-GB"/>
              </w:rPr>
              <w:t>1133</w:t>
            </w:r>
            <w:r>
              <w:rPr>
                <w:rFonts w:cstheme="minorHAnsi"/>
                <w:sz w:val="18"/>
                <w:szCs w:val="18"/>
                <w:lang w:val="en-GB"/>
              </w:rPr>
              <w:t>.</w:t>
            </w:r>
            <w:r w:rsidRPr="00800B07">
              <w:rPr>
                <w:rFonts w:cstheme="minorHAnsi"/>
                <w:sz w:val="18"/>
                <w:szCs w:val="18"/>
                <w:lang w:val="en-GB"/>
              </w:rPr>
              <w:t>9</w:t>
            </w:r>
          </w:p>
        </w:tc>
        <w:tc>
          <w:tcPr>
            <w:tcW w:w="454" w:type="pct"/>
            <w:tcBorders>
              <w:top w:val="single" w:sz="4" w:space="0" w:color="auto"/>
              <w:left w:val="single" w:sz="4" w:space="0" w:color="auto"/>
              <w:bottom w:val="single" w:sz="4" w:space="0" w:color="auto"/>
              <w:right w:val="single" w:sz="4" w:space="0" w:color="auto"/>
            </w:tcBorders>
          </w:tcPr>
          <w:p w14:paraId="01F2C2BE"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2294</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915</w:t>
            </w:r>
            <w:r>
              <w:rPr>
                <w:rFonts w:cstheme="minorHAnsi"/>
                <w:sz w:val="18"/>
                <w:szCs w:val="18"/>
                <w:lang w:val="en-GB"/>
              </w:rPr>
              <w:t>.</w:t>
            </w:r>
            <w:r w:rsidRPr="00800B07">
              <w:rPr>
                <w:rFonts w:cstheme="minorHAnsi"/>
                <w:sz w:val="18"/>
                <w:szCs w:val="18"/>
                <w:lang w:val="en-GB"/>
              </w:rPr>
              <w:t>7</w:t>
            </w:r>
          </w:p>
        </w:tc>
        <w:tc>
          <w:tcPr>
            <w:tcW w:w="454" w:type="pct"/>
            <w:tcBorders>
              <w:top w:val="single" w:sz="4" w:space="0" w:color="auto"/>
              <w:left w:val="single" w:sz="4" w:space="0" w:color="auto"/>
              <w:bottom w:val="single" w:sz="4" w:space="0" w:color="auto"/>
              <w:right w:val="single" w:sz="4" w:space="0" w:color="auto"/>
            </w:tcBorders>
          </w:tcPr>
          <w:p w14:paraId="59259D82"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1982</w:t>
            </w:r>
            <w:r>
              <w:rPr>
                <w:rFonts w:cstheme="minorHAnsi"/>
                <w:sz w:val="18"/>
                <w:szCs w:val="18"/>
                <w:lang w:val="en-GB"/>
              </w:rPr>
              <w:t>.</w:t>
            </w:r>
            <w:r w:rsidRPr="00800B07">
              <w:rPr>
                <w:rFonts w:cstheme="minorHAnsi"/>
                <w:sz w:val="18"/>
                <w:szCs w:val="18"/>
                <w:lang w:val="en-GB"/>
              </w:rPr>
              <w:t>1</w:t>
            </w:r>
            <w:r w:rsidRPr="00800B07">
              <w:rPr>
                <w:rFonts w:cstheme="minorHAnsi"/>
                <w:sz w:val="18"/>
                <w:szCs w:val="18"/>
                <w:lang w:val="en-GB"/>
              </w:rPr>
              <w:sym w:font="Symbol" w:char="F0B1"/>
            </w:r>
            <w:r w:rsidRPr="00800B07">
              <w:rPr>
                <w:rFonts w:cstheme="minorHAnsi"/>
                <w:sz w:val="18"/>
                <w:szCs w:val="18"/>
                <w:lang w:val="en-GB"/>
              </w:rPr>
              <w:t>776</w:t>
            </w:r>
            <w:r>
              <w:rPr>
                <w:rFonts w:cstheme="minorHAnsi"/>
                <w:sz w:val="18"/>
                <w:szCs w:val="18"/>
                <w:lang w:val="en-GB"/>
              </w:rPr>
              <w:t>.</w:t>
            </w:r>
            <w:r w:rsidRPr="00800B07">
              <w:rPr>
                <w:rFonts w:cstheme="minorHAnsi"/>
                <w:sz w:val="18"/>
                <w:szCs w:val="18"/>
                <w:lang w:val="en-GB"/>
              </w:rPr>
              <w:t>0</w:t>
            </w:r>
          </w:p>
        </w:tc>
        <w:tc>
          <w:tcPr>
            <w:tcW w:w="454" w:type="pct"/>
            <w:tcBorders>
              <w:top w:val="single" w:sz="4" w:space="0" w:color="auto"/>
              <w:left w:val="single" w:sz="4" w:space="0" w:color="auto"/>
              <w:bottom w:val="single" w:sz="4" w:space="0" w:color="auto"/>
              <w:right w:val="single" w:sz="4" w:space="0" w:color="auto"/>
            </w:tcBorders>
          </w:tcPr>
          <w:p w14:paraId="13185DB2"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2747</w:t>
            </w:r>
            <w:r>
              <w:rPr>
                <w:rFonts w:cstheme="minorHAnsi"/>
                <w:sz w:val="18"/>
                <w:szCs w:val="18"/>
                <w:lang w:val="en-GB"/>
              </w:rPr>
              <w:t>.</w:t>
            </w:r>
            <w:r w:rsidRPr="00800B07">
              <w:rPr>
                <w:rFonts w:cstheme="minorHAnsi"/>
                <w:sz w:val="18"/>
                <w:szCs w:val="18"/>
                <w:lang w:val="en-GB"/>
              </w:rPr>
              <w:t>3</w:t>
            </w:r>
            <w:r w:rsidRPr="00800B07">
              <w:rPr>
                <w:rFonts w:cstheme="minorHAnsi"/>
                <w:sz w:val="18"/>
                <w:szCs w:val="18"/>
                <w:lang w:val="en-GB"/>
              </w:rPr>
              <w:sym w:font="Symbol" w:char="F0B1"/>
            </w:r>
            <w:r w:rsidRPr="00800B07">
              <w:rPr>
                <w:rFonts w:cstheme="minorHAnsi"/>
                <w:sz w:val="18"/>
                <w:szCs w:val="18"/>
                <w:lang w:val="en-GB"/>
              </w:rPr>
              <w:t>1475</w:t>
            </w:r>
            <w:r>
              <w:rPr>
                <w:rFonts w:cstheme="minorHAnsi"/>
                <w:sz w:val="18"/>
                <w:szCs w:val="18"/>
                <w:lang w:val="en-GB"/>
              </w:rPr>
              <w:t>.</w:t>
            </w:r>
            <w:r w:rsidRPr="00800B07">
              <w:rPr>
                <w:rFonts w:cstheme="minorHAnsi"/>
                <w:sz w:val="18"/>
                <w:szCs w:val="18"/>
                <w:lang w:val="en-GB"/>
              </w:rPr>
              <w:t>1</w:t>
            </w:r>
          </w:p>
        </w:tc>
        <w:tc>
          <w:tcPr>
            <w:tcW w:w="458" w:type="pct"/>
            <w:tcBorders>
              <w:top w:val="single" w:sz="4" w:space="0" w:color="auto"/>
              <w:left w:val="single" w:sz="4" w:space="0" w:color="auto"/>
              <w:bottom w:val="single" w:sz="4" w:space="0" w:color="auto"/>
              <w:right w:val="single" w:sz="4" w:space="0" w:color="auto"/>
            </w:tcBorders>
          </w:tcPr>
          <w:p w14:paraId="28CF3B80"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2820</w:t>
            </w:r>
            <w:r>
              <w:rPr>
                <w:rFonts w:cstheme="minorHAnsi"/>
                <w:sz w:val="18"/>
                <w:szCs w:val="18"/>
                <w:lang w:val="en-GB"/>
              </w:rPr>
              <w:t>.</w:t>
            </w:r>
            <w:r w:rsidRPr="00800B07">
              <w:rPr>
                <w:rFonts w:cstheme="minorHAnsi"/>
                <w:sz w:val="18"/>
                <w:szCs w:val="18"/>
                <w:lang w:val="en-GB"/>
              </w:rPr>
              <w:t>0</w:t>
            </w:r>
            <w:r w:rsidRPr="00800B07">
              <w:rPr>
                <w:rFonts w:cstheme="minorHAnsi"/>
                <w:sz w:val="18"/>
                <w:szCs w:val="18"/>
                <w:lang w:val="en-GB"/>
              </w:rPr>
              <w:sym w:font="Symbol" w:char="F0B1"/>
            </w:r>
            <w:r w:rsidRPr="00800B07">
              <w:rPr>
                <w:rFonts w:cstheme="minorHAnsi"/>
                <w:sz w:val="18"/>
                <w:szCs w:val="18"/>
                <w:lang w:val="en-GB"/>
              </w:rPr>
              <w:t>1484</w:t>
            </w:r>
            <w:r>
              <w:rPr>
                <w:rFonts w:cstheme="minorHAnsi"/>
                <w:sz w:val="18"/>
                <w:szCs w:val="18"/>
                <w:lang w:val="en-GB"/>
              </w:rPr>
              <w:t>.</w:t>
            </w:r>
            <w:r w:rsidRPr="00800B07">
              <w:rPr>
                <w:rFonts w:cstheme="minorHAnsi"/>
                <w:sz w:val="18"/>
                <w:szCs w:val="18"/>
                <w:lang w:val="en-GB"/>
              </w:rPr>
              <w:t>9</w:t>
            </w:r>
          </w:p>
        </w:tc>
      </w:tr>
      <w:tr w:rsidR="0057187E" w:rsidRPr="00800B07" w14:paraId="25FB4449" w14:textId="77777777" w:rsidTr="0057187E">
        <w:trPr>
          <w:trHeight w:val="407"/>
        </w:trPr>
        <w:tc>
          <w:tcPr>
            <w:tcW w:w="1409" w:type="pct"/>
            <w:tcBorders>
              <w:top w:val="single" w:sz="4" w:space="0" w:color="auto"/>
              <w:left w:val="single" w:sz="4" w:space="0" w:color="auto"/>
              <w:bottom w:val="single" w:sz="4" w:space="0" w:color="auto"/>
              <w:right w:val="single" w:sz="12" w:space="0" w:color="auto"/>
            </w:tcBorders>
          </w:tcPr>
          <w:p w14:paraId="411AC55A" w14:textId="77777777" w:rsidR="0057187E" w:rsidRPr="00800B07" w:rsidRDefault="0057187E" w:rsidP="0057187E">
            <w:pPr>
              <w:spacing w:after="0"/>
              <w:rPr>
                <w:rFonts w:cstheme="minorHAnsi"/>
                <w:sz w:val="18"/>
                <w:szCs w:val="18"/>
                <w:lang w:val="en-GB"/>
              </w:rPr>
            </w:pPr>
            <w:r w:rsidRPr="00800B07">
              <w:rPr>
                <w:rFonts w:cstheme="minorHAnsi"/>
                <w:b/>
                <w:bCs/>
                <w:sz w:val="18"/>
                <w:szCs w:val="18"/>
                <w:lang w:val="en-GB"/>
              </w:rPr>
              <w:t xml:space="preserve">Urinary citrate excretion, </w:t>
            </w:r>
            <w:r w:rsidRPr="00800B07">
              <w:rPr>
                <w:rFonts w:cstheme="minorHAnsi"/>
                <w:sz w:val="18"/>
                <w:szCs w:val="18"/>
                <w:lang w:val="en-GB"/>
              </w:rPr>
              <w:t>mean</w:t>
            </w:r>
            <w:r w:rsidRPr="00800B07">
              <w:rPr>
                <w:rFonts w:cstheme="minorHAnsi"/>
                <w:sz w:val="18"/>
                <w:szCs w:val="18"/>
                <w:lang w:val="en-GB"/>
              </w:rPr>
              <w:sym w:font="Symbol" w:char="F0B1"/>
            </w:r>
            <w:r w:rsidRPr="00800B07">
              <w:rPr>
                <w:rFonts w:cstheme="minorHAnsi"/>
                <w:sz w:val="18"/>
                <w:szCs w:val="18"/>
                <w:lang w:val="en-GB"/>
              </w:rPr>
              <w:t xml:space="preserve">SD (µmol/24h)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3B11EAFB"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2931</w:t>
            </w:r>
            <w:r>
              <w:rPr>
                <w:rFonts w:cstheme="minorHAnsi"/>
                <w:sz w:val="18"/>
                <w:szCs w:val="18"/>
                <w:lang w:val="en-GB"/>
              </w:rPr>
              <w:t>.</w:t>
            </w:r>
            <w:r w:rsidRPr="00800B07">
              <w:rPr>
                <w:rFonts w:cstheme="minorHAnsi"/>
                <w:sz w:val="18"/>
                <w:szCs w:val="18"/>
                <w:lang w:val="en-GB"/>
              </w:rPr>
              <w:t>6</w:t>
            </w:r>
            <w:r w:rsidRPr="00800B07">
              <w:rPr>
                <w:rFonts w:cstheme="minorHAnsi"/>
                <w:sz w:val="18"/>
                <w:szCs w:val="18"/>
                <w:lang w:val="en-GB"/>
              </w:rPr>
              <w:sym w:font="Symbol" w:char="F0B1"/>
            </w:r>
            <w:r w:rsidRPr="00800B07">
              <w:rPr>
                <w:rFonts w:cstheme="minorHAnsi"/>
                <w:sz w:val="18"/>
                <w:szCs w:val="18"/>
                <w:lang w:val="en-GB"/>
              </w:rPr>
              <w:t>1758</w:t>
            </w:r>
            <w:r>
              <w:rPr>
                <w:rFonts w:cstheme="minorHAnsi"/>
                <w:sz w:val="18"/>
                <w:szCs w:val="18"/>
                <w:lang w:val="en-GB"/>
              </w:rPr>
              <w:t>.</w:t>
            </w:r>
            <w:r w:rsidRPr="00800B07">
              <w:rPr>
                <w:rFonts w:cstheme="minorHAnsi"/>
                <w:sz w:val="18"/>
                <w:szCs w:val="18"/>
                <w:lang w:val="en-GB"/>
              </w:rPr>
              <w:t>0</w:t>
            </w:r>
          </w:p>
        </w:tc>
        <w:tc>
          <w:tcPr>
            <w:tcW w:w="454" w:type="pct"/>
            <w:tcBorders>
              <w:top w:val="single" w:sz="4" w:space="0" w:color="auto"/>
              <w:left w:val="single" w:sz="12" w:space="0" w:color="auto"/>
              <w:bottom w:val="single" w:sz="4" w:space="0" w:color="auto"/>
              <w:right w:val="single" w:sz="4" w:space="0" w:color="auto"/>
            </w:tcBorders>
          </w:tcPr>
          <w:p w14:paraId="39707E7E"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3021</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1750</w:t>
            </w:r>
            <w:r>
              <w:rPr>
                <w:rFonts w:cstheme="minorHAnsi"/>
                <w:sz w:val="18"/>
                <w:szCs w:val="18"/>
                <w:lang w:val="en-GB"/>
              </w:rPr>
              <w:t>.</w:t>
            </w:r>
            <w:r w:rsidRPr="00800B07">
              <w:rPr>
                <w:rFonts w:cstheme="minorHAnsi"/>
                <w:sz w:val="18"/>
                <w:szCs w:val="18"/>
                <w:lang w:val="en-GB"/>
              </w:rPr>
              <w:t>4</w:t>
            </w:r>
          </w:p>
        </w:tc>
        <w:tc>
          <w:tcPr>
            <w:tcW w:w="454" w:type="pct"/>
            <w:tcBorders>
              <w:top w:val="single" w:sz="4" w:space="0" w:color="auto"/>
              <w:left w:val="single" w:sz="4" w:space="0" w:color="auto"/>
              <w:bottom w:val="single" w:sz="4" w:space="0" w:color="auto"/>
              <w:right w:val="single" w:sz="4" w:space="0" w:color="auto"/>
            </w:tcBorders>
          </w:tcPr>
          <w:p w14:paraId="2BB1836A"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3187</w:t>
            </w:r>
            <w:r>
              <w:rPr>
                <w:rFonts w:cstheme="minorHAnsi"/>
                <w:sz w:val="18"/>
                <w:szCs w:val="18"/>
                <w:lang w:val="en-GB"/>
              </w:rPr>
              <w:t>.</w:t>
            </w:r>
            <w:r w:rsidRPr="00800B07">
              <w:rPr>
                <w:rFonts w:cstheme="minorHAnsi"/>
                <w:sz w:val="18"/>
                <w:szCs w:val="18"/>
                <w:lang w:val="en-GB"/>
              </w:rPr>
              <w:t>6</w:t>
            </w:r>
            <w:r w:rsidRPr="00800B07">
              <w:rPr>
                <w:rFonts w:cstheme="minorHAnsi"/>
                <w:sz w:val="18"/>
                <w:szCs w:val="18"/>
                <w:lang w:val="en-GB"/>
              </w:rPr>
              <w:sym w:font="Symbol" w:char="F0B1"/>
            </w:r>
            <w:r w:rsidRPr="00800B07">
              <w:rPr>
                <w:rFonts w:cstheme="minorHAnsi"/>
                <w:sz w:val="18"/>
                <w:szCs w:val="18"/>
                <w:lang w:val="en-GB"/>
              </w:rPr>
              <w:t>2136</w:t>
            </w:r>
            <w:r>
              <w:rPr>
                <w:rFonts w:cstheme="minorHAnsi"/>
                <w:sz w:val="18"/>
                <w:szCs w:val="18"/>
                <w:lang w:val="en-GB"/>
              </w:rPr>
              <w:t>.</w:t>
            </w:r>
            <w:r w:rsidRPr="00800B07">
              <w:rPr>
                <w:rFonts w:cstheme="minorHAnsi"/>
                <w:sz w:val="18"/>
                <w:szCs w:val="18"/>
                <w:lang w:val="en-GB"/>
              </w:rPr>
              <w:t>9</w:t>
            </w:r>
          </w:p>
        </w:tc>
        <w:tc>
          <w:tcPr>
            <w:tcW w:w="455" w:type="pct"/>
            <w:tcBorders>
              <w:top w:val="single" w:sz="4" w:space="0" w:color="auto"/>
              <w:left w:val="single" w:sz="4" w:space="0" w:color="auto"/>
              <w:bottom w:val="single" w:sz="4" w:space="0" w:color="auto"/>
              <w:right w:val="single" w:sz="4" w:space="0" w:color="auto"/>
            </w:tcBorders>
          </w:tcPr>
          <w:p w14:paraId="540B329A"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3414</w:t>
            </w:r>
            <w:r>
              <w:rPr>
                <w:rFonts w:cstheme="minorHAnsi"/>
                <w:sz w:val="18"/>
                <w:szCs w:val="18"/>
                <w:lang w:val="en-GB"/>
              </w:rPr>
              <w:t>.</w:t>
            </w:r>
            <w:r w:rsidRPr="00800B07">
              <w:rPr>
                <w:rFonts w:cstheme="minorHAnsi"/>
                <w:sz w:val="18"/>
                <w:szCs w:val="18"/>
                <w:lang w:val="en-GB"/>
              </w:rPr>
              <w:t>8</w:t>
            </w:r>
            <w:r w:rsidRPr="00800B07">
              <w:rPr>
                <w:rFonts w:cstheme="minorHAnsi"/>
                <w:sz w:val="18"/>
                <w:szCs w:val="18"/>
                <w:lang w:val="en-GB"/>
              </w:rPr>
              <w:sym w:font="Symbol" w:char="F0B1"/>
            </w:r>
            <w:r w:rsidRPr="00800B07">
              <w:rPr>
                <w:rFonts w:cstheme="minorHAnsi"/>
                <w:sz w:val="18"/>
                <w:szCs w:val="18"/>
                <w:lang w:val="en-GB"/>
              </w:rPr>
              <w:t>1345</w:t>
            </w:r>
            <w:r>
              <w:rPr>
                <w:rFonts w:cstheme="minorHAnsi"/>
                <w:sz w:val="18"/>
                <w:szCs w:val="18"/>
                <w:lang w:val="en-GB"/>
              </w:rPr>
              <w:t>.</w:t>
            </w:r>
            <w:r w:rsidRPr="00800B07">
              <w:rPr>
                <w:rFonts w:cstheme="minorHAnsi"/>
                <w:sz w:val="18"/>
                <w:szCs w:val="18"/>
                <w:lang w:val="en-GB"/>
              </w:rPr>
              <w:t>9</w:t>
            </w:r>
          </w:p>
        </w:tc>
        <w:tc>
          <w:tcPr>
            <w:tcW w:w="454" w:type="pct"/>
            <w:tcBorders>
              <w:top w:val="single" w:sz="4" w:space="0" w:color="auto"/>
              <w:left w:val="single" w:sz="4" w:space="0" w:color="auto"/>
              <w:bottom w:val="single" w:sz="4" w:space="0" w:color="auto"/>
              <w:right w:val="single" w:sz="4" w:space="0" w:color="auto"/>
            </w:tcBorders>
          </w:tcPr>
          <w:p w14:paraId="4CA12785"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2744</w:t>
            </w:r>
            <w:r>
              <w:rPr>
                <w:rFonts w:cstheme="minorHAnsi"/>
                <w:sz w:val="18"/>
                <w:szCs w:val="18"/>
                <w:lang w:val="en-GB"/>
              </w:rPr>
              <w:t>.</w:t>
            </w:r>
            <w:r w:rsidRPr="00800B07">
              <w:rPr>
                <w:rFonts w:cstheme="minorHAnsi"/>
                <w:sz w:val="18"/>
                <w:szCs w:val="18"/>
                <w:lang w:val="en-GB"/>
              </w:rPr>
              <w:t>1</w:t>
            </w:r>
            <w:r w:rsidRPr="00800B07">
              <w:rPr>
                <w:rFonts w:cstheme="minorHAnsi"/>
                <w:sz w:val="18"/>
                <w:szCs w:val="18"/>
                <w:lang w:val="en-GB"/>
              </w:rPr>
              <w:sym w:font="Symbol" w:char="F0B1"/>
            </w:r>
            <w:r w:rsidRPr="00800B07">
              <w:rPr>
                <w:rFonts w:cstheme="minorHAnsi"/>
                <w:sz w:val="18"/>
                <w:szCs w:val="18"/>
                <w:lang w:val="en-GB"/>
              </w:rPr>
              <w:t>1529</w:t>
            </w:r>
            <w:r>
              <w:rPr>
                <w:rFonts w:cstheme="minorHAnsi"/>
                <w:sz w:val="18"/>
                <w:szCs w:val="18"/>
                <w:lang w:val="en-GB"/>
              </w:rPr>
              <w:t>.</w:t>
            </w:r>
            <w:r w:rsidRPr="00800B07">
              <w:rPr>
                <w:rFonts w:cstheme="minorHAnsi"/>
                <w:sz w:val="18"/>
                <w:szCs w:val="18"/>
                <w:lang w:val="en-GB"/>
              </w:rPr>
              <w:t>9</w:t>
            </w:r>
          </w:p>
        </w:tc>
        <w:tc>
          <w:tcPr>
            <w:tcW w:w="454" w:type="pct"/>
            <w:tcBorders>
              <w:top w:val="single" w:sz="4" w:space="0" w:color="auto"/>
              <w:left w:val="single" w:sz="4" w:space="0" w:color="auto"/>
              <w:bottom w:val="single" w:sz="4" w:space="0" w:color="auto"/>
              <w:right w:val="single" w:sz="4" w:space="0" w:color="auto"/>
            </w:tcBorders>
          </w:tcPr>
          <w:p w14:paraId="5D75F088"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1984</w:t>
            </w:r>
            <w:r>
              <w:rPr>
                <w:rFonts w:cstheme="minorHAnsi"/>
                <w:sz w:val="18"/>
                <w:szCs w:val="18"/>
                <w:lang w:val="en-GB"/>
              </w:rPr>
              <w:t>.</w:t>
            </w:r>
            <w:r w:rsidRPr="00800B07">
              <w:rPr>
                <w:rFonts w:cstheme="minorHAnsi"/>
                <w:sz w:val="18"/>
                <w:szCs w:val="18"/>
                <w:lang w:val="en-GB"/>
              </w:rPr>
              <w:t>3</w:t>
            </w:r>
            <w:r w:rsidRPr="00800B07">
              <w:rPr>
                <w:rFonts w:cstheme="minorHAnsi"/>
                <w:sz w:val="18"/>
                <w:szCs w:val="18"/>
                <w:lang w:val="en-GB"/>
              </w:rPr>
              <w:sym w:font="Symbol" w:char="F0B1"/>
            </w:r>
            <w:r w:rsidRPr="00800B07">
              <w:rPr>
                <w:rFonts w:cstheme="minorHAnsi"/>
                <w:sz w:val="18"/>
                <w:szCs w:val="18"/>
                <w:lang w:val="en-GB"/>
              </w:rPr>
              <w:t>1388</w:t>
            </w:r>
            <w:r>
              <w:rPr>
                <w:rFonts w:cstheme="minorHAnsi"/>
                <w:sz w:val="18"/>
                <w:szCs w:val="18"/>
                <w:lang w:val="en-GB"/>
              </w:rPr>
              <w:t>.</w:t>
            </w:r>
            <w:r w:rsidRPr="00800B07">
              <w:rPr>
                <w:rFonts w:cstheme="minorHAnsi"/>
                <w:sz w:val="18"/>
                <w:szCs w:val="18"/>
                <w:lang w:val="en-GB"/>
              </w:rPr>
              <w:t>1</w:t>
            </w:r>
          </w:p>
        </w:tc>
        <w:tc>
          <w:tcPr>
            <w:tcW w:w="454" w:type="pct"/>
            <w:tcBorders>
              <w:top w:val="single" w:sz="4" w:space="0" w:color="auto"/>
              <w:left w:val="single" w:sz="4" w:space="0" w:color="auto"/>
              <w:bottom w:val="single" w:sz="4" w:space="0" w:color="auto"/>
              <w:right w:val="single" w:sz="4" w:space="0" w:color="auto"/>
            </w:tcBorders>
          </w:tcPr>
          <w:p w14:paraId="10997BBC"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1326</w:t>
            </w:r>
            <w:r>
              <w:rPr>
                <w:rFonts w:cstheme="minorHAnsi"/>
                <w:sz w:val="18"/>
                <w:szCs w:val="18"/>
                <w:lang w:val="en-GB"/>
              </w:rPr>
              <w:t>.</w:t>
            </w:r>
            <w:r w:rsidRPr="00800B07">
              <w:rPr>
                <w:rFonts w:cstheme="minorHAnsi"/>
                <w:sz w:val="18"/>
                <w:szCs w:val="18"/>
                <w:lang w:val="en-GB"/>
              </w:rPr>
              <w:t>4</w:t>
            </w:r>
            <w:r w:rsidRPr="00800B07">
              <w:rPr>
                <w:rFonts w:cstheme="minorHAnsi"/>
                <w:sz w:val="18"/>
                <w:szCs w:val="18"/>
                <w:lang w:val="en-GB"/>
              </w:rPr>
              <w:sym w:font="Symbol" w:char="F0B1"/>
            </w:r>
            <w:r w:rsidRPr="00800B07">
              <w:rPr>
                <w:rFonts w:cstheme="minorHAnsi"/>
                <w:sz w:val="18"/>
                <w:szCs w:val="18"/>
                <w:lang w:val="en-GB"/>
              </w:rPr>
              <w:t>1088</w:t>
            </w:r>
            <w:r>
              <w:rPr>
                <w:rFonts w:cstheme="minorHAnsi"/>
                <w:sz w:val="18"/>
                <w:szCs w:val="18"/>
                <w:lang w:val="en-GB"/>
              </w:rPr>
              <w:t>.</w:t>
            </w:r>
            <w:r w:rsidRPr="00800B07">
              <w:rPr>
                <w:rFonts w:cstheme="minorHAnsi"/>
                <w:sz w:val="18"/>
                <w:szCs w:val="18"/>
                <w:lang w:val="en-GB"/>
              </w:rPr>
              <w:t>9</w:t>
            </w:r>
          </w:p>
        </w:tc>
        <w:tc>
          <w:tcPr>
            <w:tcW w:w="458" w:type="pct"/>
            <w:tcBorders>
              <w:top w:val="single" w:sz="4" w:space="0" w:color="auto"/>
              <w:left w:val="single" w:sz="4" w:space="0" w:color="auto"/>
              <w:bottom w:val="single" w:sz="4" w:space="0" w:color="auto"/>
              <w:right w:val="single" w:sz="4" w:space="0" w:color="auto"/>
            </w:tcBorders>
          </w:tcPr>
          <w:p w14:paraId="6B2C851B"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2421</w:t>
            </w:r>
            <w:r>
              <w:rPr>
                <w:rFonts w:cstheme="minorHAnsi"/>
                <w:sz w:val="18"/>
                <w:szCs w:val="18"/>
                <w:lang w:val="en-GB"/>
              </w:rPr>
              <w:t>.</w:t>
            </w:r>
            <w:r w:rsidRPr="00800B07">
              <w:rPr>
                <w:rFonts w:cstheme="minorHAnsi"/>
                <w:sz w:val="18"/>
                <w:szCs w:val="18"/>
                <w:lang w:val="en-GB"/>
              </w:rPr>
              <w:t>7</w:t>
            </w:r>
            <w:r w:rsidRPr="00800B07">
              <w:rPr>
                <w:rFonts w:cstheme="minorHAnsi"/>
                <w:sz w:val="18"/>
                <w:szCs w:val="18"/>
                <w:lang w:val="en-GB"/>
              </w:rPr>
              <w:sym w:font="Symbol" w:char="F0B1"/>
            </w:r>
            <w:r w:rsidRPr="00800B07">
              <w:rPr>
                <w:rFonts w:cstheme="minorHAnsi"/>
                <w:sz w:val="18"/>
                <w:szCs w:val="18"/>
                <w:lang w:val="en-GB"/>
              </w:rPr>
              <w:t>1213</w:t>
            </w:r>
            <w:r>
              <w:rPr>
                <w:rFonts w:cstheme="minorHAnsi"/>
                <w:sz w:val="18"/>
                <w:szCs w:val="18"/>
                <w:lang w:val="en-GB"/>
              </w:rPr>
              <w:t>.</w:t>
            </w:r>
            <w:r w:rsidRPr="00800B07">
              <w:rPr>
                <w:rFonts w:cstheme="minorHAnsi"/>
                <w:sz w:val="18"/>
                <w:szCs w:val="18"/>
                <w:lang w:val="en-GB"/>
              </w:rPr>
              <w:t>2</w:t>
            </w:r>
          </w:p>
        </w:tc>
      </w:tr>
      <w:tr w:rsidR="0057187E" w:rsidRPr="00800B07" w14:paraId="038C4A39" w14:textId="77777777" w:rsidTr="0057187E">
        <w:trPr>
          <w:trHeight w:val="407"/>
        </w:trPr>
        <w:tc>
          <w:tcPr>
            <w:tcW w:w="1409" w:type="pct"/>
            <w:tcBorders>
              <w:top w:val="single" w:sz="4" w:space="0" w:color="auto"/>
              <w:left w:val="single" w:sz="4" w:space="0" w:color="auto"/>
              <w:bottom w:val="single" w:sz="4" w:space="0" w:color="auto"/>
              <w:right w:val="single" w:sz="12" w:space="0" w:color="auto"/>
            </w:tcBorders>
          </w:tcPr>
          <w:p w14:paraId="33777884" w14:textId="77777777" w:rsidR="0057187E" w:rsidRPr="00800B07" w:rsidRDefault="0057187E" w:rsidP="0057187E">
            <w:pPr>
              <w:spacing w:after="0"/>
              <w:rPr>
                <w:rFonts w:cstheme="minorHAnsi"/>
                <w:sz w:val="18"/>
                <w:szCs w:val="18"/>
                <w:lang w:val="en-GB"/>
              </w:rPr>
            </w:pPr>
            <w:r w:rsidRPr="00800B07">
              <w:rPr>
                <w:rFonts w:cstheme="minorHAnsi"/>
                <w:b/>
                <w:bCs/>
                <w:sz w:val="18"/>
                <w:szCs w:val="18"/>
                <w:lang w:val="en-GB"/>
              </w:rPr>
              <w:t xml:space="preserve">Urinary pH, </w:t>
            </w:r>
            <w:r w:rsidRPr="00800B07">
              <w:rPr>
                <w:rFonts w:cstheme="minorHAnsi"/>
                <w:sz w:val="18"/>
                <w:szCs w:val="18"/>
                <w:lang w:val="en-GB"/>
              </w:rPr>
              <w:t>mean</w:t>
            </w:r>
            <w:r w:rsidRPr="00800B07">
              <w:rPr>
                <w:rFonts w:cstheme="minorHAnsi"/>
                <w:sz w:val="18"/>
                <w:szCs w:val="18"/>
                <w:lang w:val="en-GB"/>
              </w:rPr>
              <w:sym w:font="Symbol" w:char="F0B1"/>
            </w:r>
            <w:r w:rsidRPr="00800B07">
              <w:rPr>
                <w:rFonts w:cstheme="minorHAnsi"/>
                <w:sz w:val="18"/>
                <w:szCs w:val="18"/>
                <w:lang w:val="en-GB"/>
              </w:rPr>
              <w:t xml:space="preserve">SD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09572B2F"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6</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2</w:t>
            </w:r>
            <w:r>
              <w:rPr>
                <w:rFonts w:cstheme="minorHAnsi"/>
                <w:sz w:val="18"/>
                <w:szCs w:val="18"/>
                <w:lang w:val="en-GB"/>
              </w:rPr>
              <w:t>.</w:t>
            </w:r>
            <w:r w:rsidRPr="00800B07">
              <w:rPr>
                <w:rFonts w:cstheme="minorHAnsi"/>
                <w:sz w:val="18"/>
                <w:szCs w:val="18"/>
                <w:lang w:val="en-GB"/>
              </w:rPr>
              <w:t>1</w:t>
            </w:r>
          </w:p>
        </w:tc>
        <w:tc>
          <w:tcPr>
            <w:tcW w:w="454" w:type="pct"/>
            <w:tcBorders>
              <w:top w:val="single" w:sz="4" w:space="0" w:color="auto"/>
              <w:left w:val="single" w:sz="12" w:space="0" w:color="auto"/>
              <w:bottom w:val="single" w:sz="4" w:space="0" w:color="auto"/>
              <w:right w:val="single" w:sz="4" w:space="0" w:color="auto"/>
            </w:tcBorders>
          </w:tcPr>
          <w:p w14:paraId="70206BA2"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6</w:t>
            </w:r>
            <w:r>
              <w:rPr>
                <w:rFonts w:cstheme="minorHAnsi"/>
                <w:sz w:val="18"/>
                <w:szCs w:val="18"/>
                <w:lang w:val="en-GB"/>
              </w:rPr>
              <w:t>.</w:t>
            </w:r>
            <w:r w:rsidRPr="00800B07">
              <w:rPr>
                <w:rFonts w:cstheme="minorHAnsi"/>
                <w:sz w:val="18"/>
                <w:szCs w:val="18"/>
                <w:lang w:val="en-GB"/>
              </w:rPr>
              <w:t>1</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8</w:t>
            </w:r>
          </w:p>
        </w:tc>
        <w:tc>
          <w:tcPr>
            <w:tcW w:w="454" w:type="pct"/>
            <w:tcBorders>
              <w:top w:val="single" w:sz="4" w:space="0" w:color="auto"/>
              <w:left w:val="single" w:sz="4" w:space="0" w:color="auto"/>
              <w:bottom w:val="single" w:sz="4" w:space="0" w:color="auto"/>
              <w:right w:val="single" w:sz="4" w:space="0" w:color="auto"/>
            </w:tcBorders>
          </w:tcPr>
          <w:p w14:paraId="26CE2395"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5</w:t>
            </w:r>
            <w:r>
              <w:rPr>
                <w:rFonts w:cstheme="minorHAnsi"/>
                <w:sz w:val="18"/>
                <w:szCs w:val="18"/>
                <w:lang w:val="en-GB"/>
              </w:rPr>
              <w:t>.</w:t>
            </w:r>
            <w:r w:rsidRPr="00800B07">
              <w:rPr>
                <w:rFonts w:cstheme="minorHAnsi"/>
                <w:sz w:val="18"/>
                <w:szCs w:val="18"/>
                <w:lang w:val="en-GB"/>
              </w:rPr>
              <w:t>7</w:t>
            </w:r>
            <w:r w:rsidRPr="00800B07">
              <w:rPr>
                <w:rFonts w:cstheme="minorHAnsi"/>
                <w:sz w:val="18"/>
                <w:szCs w:val="18"/>
                <w:lang w:val="en-GB"/>
              </w:rPr>
              <w:sym w:font="Symbol" w:char="F0B1"/>
            </w: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0</w:t>
            </w:r>
          </w:p>
        </w:tc>
        <w:tc>
          <w:tcPr>
            <w:tcW w:w="455" w:type="pct"/>
            <w:tcBorders>
              <w:top w:val="single" w:sz="4" w:space="0" w:color="auto"/>
              <w:left w:val="single" w:sz="4" w:space="0" w:color="auto"/>
              <w:bottom w:val="single" w:sz="4" w:space="0" w:color="auto"/>
              <w:right w:val="single" w:sz="4" w:space="0" w:color="auto"/>
            </w:tcBorders>
          </w:tcPr>
          <w:p w14:paraId="4D37DD2D"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7</w:t>
            </w:r>
            <w:r>
              <w:rPr>
                <w:rFonts w:cstheme="minorHAnsi"/>
                <w:sz w:val="18"/>
                <w:szCs w:val="18"/>
                <w:lang w:val="en-GB"/>
              </w:rPr>
              <w:t>.</w:t>
            </w:r>
            <w:r w:rsidRPr="00800B07">
              <w:rPr>
                <w:rFonts w:cstheme="minorHAnsi"/>
                <w:sz w:val="18"/>
                <w:szCs w:val="18"/>
                <w:lang w:val="en-GB"/>
              </w:rPr>
              <w:t>4</w:t>
            </w:r>
            <w:r w:rsidRPr="00800B07">
              <w:rPr>
                <w:rFonts w:cstheme="minorHAnsi"/>
                <w:sz w:val="18"/>
                <w:szCs w:val="18"/>
                <w:lang w:val="en-GB"/>
              </w:rPr>
              <w:sym w:font="Symbol" w:char="F0B1"/>
            </w: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0</w:t>
            </w:r>
          </w:p>
        </w:tc>
        <w:tc>
          <w:tcPr>
            <w:tcW w:w="454" w:type="pct"/>
            <w:tcBorders>
              <w:top w:val="single" w:sz="4" w:space="0" w:color="auto"/>
              <w:left w:val="single" w:sz="4" w:space="0" w:color="auto"/>
              <w:bottom w:val="single" w:sz="4" w:space="0" w:color="auto"/>
              <w:right w:val="single" w:sz="4" w:space="0" w:color="auto"/>
            </w:tcBorders>
          </w:tcPr>
          <w:p w14:paraId="732CDD36"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6</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8</w:t>
            </w:r>
          </w:p>
        </w:tc>
        <w:tc>
          <w:tcPr>
            <w:tcW w:w="454" w:type="pct"/>
            <w:tcBorders>
              <w:top w:val="single" w:sz="4" w:space="0" w:color="auto"/>
              <w:left w:val="single" w:sz="4" w:space="0" w:color="auto"/>
              <w:bottom w:val="single" w:sz="4" w:space="0" w:color="auto"/>
              <w:right w:val="single" w:sz="4" w:space="0" w:color="auto"/>
            </w:tcBorders>
          </w:tcPr>
          <w:p w14:paraId="1B2F66F7"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6</w:t>
            </w:r>
            <w:r>
              <w:rPr>
                <w:rFonts w:cstheme="minorHAnsi"/>
                <w:sz w:val="18"/>
                <w:szCs w:val="18"/>
                <w:lang w:val="en-GB"/>
              </w:rPr>
              <w:t>.</w:t>
            </w:r>
            <w:r w:rsidRPr="00800B07">
              <w:rPr>
                <w:rFonts w:cstheme="minorHAnsi"/>
                <w:sz w:val="18"/>
                <w:szCs w:val="18"/>
                <w:lang w:val="en-GB"/>
              </w:rPr>
              <w:t>7</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w:t>
            </w:r>
          </w:p>
        </w:tc>
        <w:tc>
          <w:tcPr>
            <w:tcW w:w="454" w:type="pct"/>
            <w:tcBorders>
              <w:top w:val="single" w:sz="4" w:space="0" w:color="auto"/>
              <w:left w:val="single" w:sz="4" w:space="0" w:color="auto"/>
              <w:bottom w:val="single" w:sz="4" w:space="0" w:color="auto"/>
              <w:right w:val="single" w:sz="4" w:space="0" w:color="auto"/>
            </w:tcBorders>
          </w:tcPr>
          <w:p w14:paraId="048DDF6F"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7</w:t>
            </w:r>
            <w:r>
              <w:rPr>
                <w:rFonts w:cstheme="minorHAnsi"/>
                <w:sz w:val="18"/>
                <w:szCs w:val="18"/>
                <w:lang w:val="en-GB"/>
              </w:rPr>
              <w:t>.</w:t>
            </w:r>
            <w:r w:rsidRPr="00800B07">
              <w:rPr>
                <w:rFonts w:cstheme="minorHAnsi"/>
                <w:sz w:val="18"/>
                <w:szCs w:val="18"/>
                <w:lang w:val="en-GB"/>
              </w:rPr>
              <w:t>1</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5</w:t>
            </w:r>
          </w:p>
        </w:tc>
        <w:tc>
          <w:tcPr>
            <w:tcW w:w="458" w:type="pct"/>
            <w:tcBorders>
              <w:top w:val="single" w:sz="4" w:space="0" w:color="auto"/>
              <w:left w:val="single" w:sz="4" w:space="0" w:color="auto"/>
              <w:bottom w:val="single" w:sz="4" w:space="0" w:color="auto"/>
              <w:right w:val="single" w:sz="4" w:space="0" w:color="auto"/>
            </w:tcBorders>
          </w:tcPr>
          <w:p w14:paraId="51C166A9"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6</w:t>
            </w:r>
            <w:r>
              <w:rPr>
                <w:rFonts w:cstheme="minorHAnsi"/>
                <w:sz w:val="18"/>
                <w:szCs w:val="18"/>
                <w:lang w:val="en-GB"/>
              </w:rPr>
              <w:t>.</w:t>
            </w:r>
            <w:r w:rsidRPr="00800B07">
              <w:rPr>
                <w:rFonts w:cstheme="minorHAnsi"/>
                <w:sz w:val="18"/>
                <w:szCs w:val="18"/>
                <w:lang w:val="en-GB"/>
              </w:rPr>
              <w:t>2</w:t>
            </w:r>
            <w:r w:rsidRPr="00800B07">
              <w:rPr>
                <w:rFonts w:cstheme="minorHAnsi"/>
                <w:sz w:val="18"/>
                <w:szCs w:val="18"/>
                <w:lang w:val="en-GB"/>
              </w:rPr>
              <w:sym w:font="Symbol" w:char="F0B1"/>
            </w: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7</w:t>
            </w:r>
          </w:p>
        </w:tc>
      </w:tr>
      <w:tr w:rsidR="0057187E" w:rsidRPr="00800B07" w14:paraId="2B71151E" w14:textId="77777777" w:rsidTr="0057187E">
        <w:trPr>
          <w:trHeight w:val="176"/>
        </w:trPr>
        <w:tc>
          <w:tcPr>
            <w:tcW w:w="5000" w:type="pct"/>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808249B" w14:textId="77777777" w:rsidR="0057187E" w:rsidRPr="00800B07" w:rsidRDefault="0057187E" w:rsidP="0057187E">
            <w:pPr>
              <w:spacing w:after="0"/>
              <w:rPr>
                <w:rFonts w:cstheme="minorHAnsi"/>
                <w:sz w:val="18"/>
                <w:szCs w:val="18"/>
                <w:lang w:val="en-GB"/>
              </w:rPr>
            </w:pPr>
            <w:r w:rsidRPr="00800B07">
              <w:rPr>
                <w:rFonts w:cstheme="minorHAnsi"/>
                <w:color w:val="FFFFFF" w:themeColor="background1"/>
                <w:sz w:val="18"/>
                <w:szCs w:val="18"/>
                <w:lang w:val="en-GB"/>
              </w:rPr>
              <w:t>URINARY RISK FACTORS</w:t>
            </w:r>
          </w:p>
        </w:tc>
      </w:tr>
      <w:tr w:rsidR="0057187E" w:rsidRPr="00800B07" w14:paraId="32C684DD" w14:textId="77777777" w:rsidTr="0057187E">
        <w:trPr>
          <w:trHeight w:val="20"/>
        </w:trPr>
        <w:tc>
          <w:tcPr>
            <w:tcW w:w="1409" w:type="pct"/>
            <w:tcBorders>
              <w:top w:val="single" w:sz="4" w:space="0" w:color="auto"/>
              <w:left w:val="single" w:sz="4" w:space="0" w:color="auto"/>
              <w:bottom w:val="single" w:sz="4" w:space="0" w:color="auto"/>
              <w:right w:val="single" w:sz="12" w:space="0" w:color="auto"/>
            </w:tcBorders>
            <w:hideMark/>
          </w:tcPr>
          <w:p w14:paraId="2C43EC54"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Hyperoxaluria, n(%)</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44CE107B"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305 (36</w:t>
            </w:r>
            <w:r>
              <w:rPr>
                <w:rFonts w:cstheme="minorHAnsi"/>
                <w:sz w:val="18"/>
                <w:szCs w:val="18"/>
                <w:lang w:val="fr-BE"/>
              </w:rPr>
              <w:t>.</w:t>
            </w:r>
            <w:r w:rsidRPr="00800B07">
              <w:rPr>
                <w:rFonts w:cstheme="minorHAnsi"/>
                <w:sz w:val="18"/>
                <w:szCs w:val="18"/>
                <w:lang w:val="fr-BE"/>
              </w:rPr>
              <w:t>5%)</w:t>
            </w:r>
          </w:p>
        </w:tc>
        <w:tc>
          <w:tcPr>
            <w:tcW w:w="454" w:type="pct"/>
            <w:tcBorders>
              <w:top w:val="single" w:sz="4" w:space="0" w:color="auto"/>
              <w:left w:val="single" w:sz="12" w:space="0" w:color="auto"/>
              <w:bottom w:val="single" w:sz="4" w:space="0" w:color="auto"/>
              <w:right w:val="single" w:sz="4" w:space="0" w:color="auto"/>
            </w:tcBorders>
          </w:tcPr>
          <w:p w14:paraId="305B20D7"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147 (39</w:t>
            </w:r>
            <w:r>
              <w:rPr>
                <w:rFonts w:cstheme="minorHAnsi"/>
                <w:sz w:val="18"/>
                <w:szCs w:val="18"/>
                <w:lang w:val="fr-BE"/>
              </w:rPr>
              <w:t>.</w:t>
            </w:r>
            <w:r w:rsidRPr="00800B07">
              <w:rPr>
                <w:rFonts w:cstheme="minorHAnsi"/>
                <w:sz w:val="18"/>
                <w:szCs w:val="18"/>
                <w:lang w:val="fr-BE"/>
              </w:rPr>
              <w:t>7%)</w:t>
            </w:r>
          </w:p>
        </w:tc>
        <w:tc>
          <w:tcPr>
            <w:tcW w:w="454" w:type="pct"/>
            <w:tcBorders>
              <w:top w:val="single" w:sz="4" w:space="0" w:color="auto"/>
              <w:left w:val="single" w:sz="4" w:space="0" w:color="auto"/>
              <w:bottom w:val="single" w:sz="4" w:space="0" w:color="auto"/>
              <w:right w:val="single" w:sz="4" w:space="0" w:color="auto"/>
            </w:tcBorders>
          </w:tcPr>
          <w:p w14:paraId="3307AFFF"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15 (40</w:t>
            </w:r>
            <w:r>
              <w:rPr>
                <w:rFonts w:cstheme="minorHAnsi"/>
                <w:sz w:val="18"/>
                <w:szCs w:val="18"/>
                <w:lang w:val="fr-BE"/>
              </w:rPr>
              <w:t>.</w:t>
            </w:r>
            <w:r w:rsidRPr="00800B07">
              <w:rPr>
                <w:rFonts w:cstheme="minorHAnsi"/>
                <w:sz w:val="18"/>
                <w:szCs w:val="18"/>
                <w:lang w:val="fr-BE"/>
              </w:rPr>
              <w:t>5%)</w:t>
            </w:r>
          </w:p>
        </w:tc>
        <w:tc>
          <w:tcPr>
            <w:tcW w:w="455" w:type="pct"/>
            <w:tcBorders>
              <w:top w:val="single" w:sz="4" w:space="0" w:color="auto"/>
              <w:left w:val="single" w:sz="4" w:space="0" w:color="auto"/>
              <w:bottom w:val="single" w:sz="4" w:space="0" w:color="auto"/>
              <w:right w:val="single" w:sz="4" w:space="0" w:color="auto"/>
            </w:tcBorders>
          </w:tcPr>
          <w:p w14:paraId="48F7A5F3"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8 (38</w:t>
            </w:r>
            <w:r>
              <w:rPr>
                <w:rFonts w:cstheme="minorHAnsi"/>
                <w:sz w:val="18"/>
                <w:szCs w:val="18"/>
                <w:lang w:val="fr-BE"/>
              </w:rPr>
              <w:t>.</w:t>
            </w:r>
            <w:r w:rsidRPr="00800B07">
              <w:rPr>
                <w:rFonts w:cstheme="minorHAnsi"/>
                <w:sz w:val="18"/>
                <w:szCs w:val="18"/>
                <w:lang w:val="fr-BE"/>
              </w:rPr>
              <w:t>1%)</w:t>
            </w:r>
          </w:p>
        </w:tc>
        <w:tc>
          <w:tcPr>
            <w:tcW w:w="454" w:type="pct"/>
            <w:tcBorders>
              <w:top w:val="single" w:sz="4" w:space="0" w:color="auto"/>
              <w:left w:val="single" w:sz="4" w:space="0" w:color="auto"/>
              <w:bottom w:val="single" w:sz="4" w:space="0" w:color="auto"/>
              <w:right w:val="single" w:sz="4" w:space="0" w:color="auto"/>
            </w:tcBorders>
          </w:tcPr>
          <w:p w14:paraId="5FA62CB9"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5 (26</w:t>
            </w:r>
            <w:r>
              <w:rPr>
                <w:rFonts w:cstheme="minorHAnsi"/>
                <w:sz w:val="18"/>
                <w:szCs w:val="18"/>
                <w:lang w:val="fr-BE"/>
              </w:rPr>
              <w:t>.</w:t>
            </w:r>
            <w:r w:rsidRPr="00800B07">
              <w:rPr>
                <w:rFonts w:cstheme="minorHAnsi"/>
                <w:sz w:val="18"/>
                <w:szCs w:val="18"/>
                <w:lang w:val="fr-BE"/>
              </w:rPr>
              <w:t>3%)</w:t>
            </w:r>
          </w:p>
        </w:tc>
        <w:tc>
          <w:tcPr>
            <w:tcW w:w="454" w:type="pct"/>
            <w:tcBorders>
              <w:top w:val="single" w:sz="4" w:space="0" w:color="auto"/>
              <w:left w:val="single" w:sz="4" w:space="0" w:color="auto"/>
              <w:bottom w:val="single" w:sz="4" w:space="0" w:color="auto"/>
              <w:right w:val="single" w:sz="4" w:space="0" w:color="auto"/>
            </w:tcBorders>
          </w:tcPr>
          <w:p w14:paraId="050EA00F"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5 (35</w:t>
            </w:r>
            <w:r>
              <w:rPr>
                <w:rFonts w:cstheme="minorHAnsi"/>
                <w:sz w:val="18"/>
                <w:szCs w:val="18"/>
                <w:lang w:val="fr-BE"/>
              </w:rPr>
              <w:t>.</w:t>
            </w:r>
            <w:r w:rsidRPr="00800B07">
              <w:rPr>
                <w:rFonts w:cstheme="minorHAnsi"/>
                <w:sz w:val="18"/>
                <w:szCs w:val="18"/>
                <w:lang w:val="fr-BE"/>
              </w:rPr>
              <w:t>7%)</w:t>
            </w:r>
          </w:p>
        </w:tc>
        <w:tc>
          <w:tcPr>
            <w:tcW w:w="454" w:type="pct"/>
            <w:tcBorders>
              <w:top w:val="single" w:sz="4" w:space="0" w:color="auto"/>
              <w:left w:val="single" w:sz="4" w:space="0" w:color="auto"/>
              <w:bottom w:val="single" w:sz="4" w:space="0" w:color="auto"/>
              <w:right w:val="single" w:sz="4" w:space="0" w:color="auto"/>
            </w:tcBorders>
          </w:tcPr>
          <w:p w14:paraId="1D1F13AD"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4 (36</w:t>
            </w:r>
            <w:r>
              <w:rPr>
                <w:rFonts w:cstheme="minorHAnsi"/>
                <w:sz w:val="18"/>
                <w:szCs w:val="18"/>
                <w:lang w:val="fr-BE"/>
              </w:rPr>
              <w:t>.</w:t>
            </w:r>
            <w:r w:rsidRPr="00800B07">
              <w:rPr>
                <w:rFonts w:cstheme="minorHAnsi"/>
                <w:sz w:val="18"/>
                <w:szCs w:val="18"/>
                <w:lang w:val="fr-BE"/>
              </w:rPr>
              <w:t>4%)</w:t>
            </w:r>
          </w:p>
        </w:tc>
        <w:tc>
          <w:tcPr>
            <w:tcW w:w="458" w:type="pct"/>
            <w:tcBorders>
              <w:top w:val="single" w:sz="4" w:space="0" w:color="auto"/>
              <w:left w:val="single" w:sz="4" w:space="0" w:color="auto"/>
              <w:bottom w:val="single" w:sz="4" w:space="0" w:color="auto"/>
              <w:right w:val="single" w:sz="4" w:space="0" w:color="auto"/>
            </w:tcBorders>
          </w:tcPr>
          <w:p w14:paraId="4C429E7A"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6 (60</w:t>
            </w:r>
            <w:r>
              <w:rPr>
                <w:rFonts w:cstheme="minorHAnsi"/>
                <w:sz w:val="18"/>
                <w:szCs w:val="18"/>
                <w:lang w:val="fr-BE"/>
              </w:rPr>
              <w:t>.</w:t>
            </w:r>
            <w:r w:rsidRPr="00800B07">
              <w:rPr>
                <w:rFonts w:cstheme="minorHAnsi"/>
                <w:sz w:val="18"/>
                <w:szCs w:val="18"/>
                <w:lang w:val="fr-BE"/>
              </w:rPr>
              <w:t>0%)</w:t>
            </w:r>
          </w:p>
        </w:tc>
      </w:tr>
      <w:tr w:rsidR="0057187E" w:rsidRPr="00800B07" w14:paraId="00B708AB" w14:textId="77777777" w:rsidTr="0057187E">
        <w:trPr>
          <w:trHeight w:val="20"/>
        </w:trPr>
        <w:tc>
          <w:tcPr>
            <w:tcW w:w="1409" w:type="pct"/>
            <w:tcBorders>
              <w:top w:val="single" w:sz="4" w:space="0" w:color="auto"/>
              <w:left w:val="single" w:sz="4" w:space="0" w:color="auto"/>
              <w:bottom w:val="single" w:sz="4" w:space="0" w:color="auto"/>
              <w:right w:val="single" w:sz="12" w:space="0" w:color="auto"/>
            </w:tcBorders>
            <w:hideMark/>
          </w:tcPr>
          <w:p w14:paraId="04E3E443"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 xml:space="preserve">Hypercalciuria, n(%)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35B886E1"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236 (27</w:t>
            </w:r>
            <w:r>
              <w:rPr>
                <w:rFonts w:cstheme="minorHAnsi"/>
                <w:sz w:val="18"/>
                <w:szCs w:val="18"/>
                <w:lang w:val="fr-BE"/>
              </w:rPr>
              <w:t>.</w:t>
            </w:r>
            <w:r w:rsidRPr="00800B07">
              <w:rPr>
                <w:rFonts w:cstheme="minorHAnsi"/>
                <w:sz w:val="18"/>
                <w:szCs w:val="18"/>
                <w:lang w:val="fr-BE"/>
              </w:rPr>
              <w:t>8%)</w:t>
            </w:r>
          </w:p>
        </w:tc>
        <w:tc>
          <w:tcPr>
            <w:tcW w:w="454" w:type="pct"/>
            <w:tcBorders>
              <w:top w:val="single" w:sz="4" w:space="0" w:color="auto"/>
              <w:left w:val="single" w:sz="12" w:space="0" w:color="auto"/>
              <w:bottom w:val="single" w:sz="4" w:space="0" w:color="auto"/>
              <w:right w:val="single" w:sz="4" w:space="0" w:color="auto"/>
            </w:tcBorders>
          </w:tcPr>
          <w:p w14:paraId="031B237C"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103 (27</w:t>
            </w:r>
            <w:r>
              <w:rPr>
                <w:rFonts w:cstheme="minorHAnsi"/>
                <w:sz w:val="18"/>
                <w:szCs w:val="18"/>
                <w:lang w:val="fr-BE"/>
              </w:rPr>
              <w:t>.</w:t>
            </w:r>
            <w:r w:rsidRPr="00800B07">
              <w:rPr>
                <w:rFonts w:cstheme="minorHAnsi"/>
                <w:sz w:val="18"/>
                <w:szCs w:val="18"/>
                <w:lang w:val="fr-BE"/>
              </w:rPr>
              <w:t>8%)</w:t>
            </w:r>
          </w:p>
        </w:tc>
        <w:tc>
          <w:tcPr>
            <w:tcW w:w="454" w:type="pct"/>
            <w:tcBorders>
              <w:top w:val="single" w:sz="4" w:space="0" w:color="auto"/>
              <w:left w:val="single" w:sz="4" w:space="0" w:color="auto"/>
              <w:bottom w:val="single" w:sz="4" w:space="0" w:color="auto"/>
              <w:right w:val="single" w:sz="4" w:space="0" w:color="auto"/>
            </w:tcBorders>
          </w:tcPr>
          <w:p w14:paraId="432CF2EF"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7 (18</w:t>
            </w:r>
            <w:r>
              <w:rPr>
                <w:rFonts w:cstheme="minorHAnsi"/>
                <w:sz w:val="18"/>
                <w:szCs w:val="18"/>
                <w:lang w:val="fr-BE"/>
              </w:rPr>
              <w:t>.</w:t>
            </w:r>
            <w:r w:rsidRPr="00800B07">
              <w:rPr>
                <w:rFonts w:cstheme="minorHAnsi"/>
                <w:sz w:val="18"/>
                <w:szCs w:val="18"/>
                <w:lang w:val="fr-BE"/>
              </w:rPr>
              <w:t>9%)</w:t>
            </w:r>
          </w:p>
        </w:tc>
        <w:tc>
          <w:tcPr>
            <w:tcW w:w="455" w:type="pct"/>
            <w:tcBorders>
              <w:top w:val="single" w:sz="4" w:space="0" w:color="auto"/>
              <w:left w:val="single" w:sz="4" w:space="0" w:color="auto"/>
              <w:bottom w:val="single" w:sz="4" w:space="0" w:color="auto"/>
              <w:right w:val="single" w:sz="4" w:space="0" w:color="auto"/>
            </w:tcBorders>
          </w:tcPr>
          <w:p w14:paraId="2E709F15"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5 (23</w:t>
            </w:r>
            <w:r>
              <w:rPr>
                <w:rFonts w:cstheme="minorHAnsi"/>
                <w:sz w:val="18"/>
                <w:szCs w:val="18"/>
                <w:lang w:val="fr-BE"/>
              </w:rPr>
              <w:t>.</w:t>
            </w:r>
            <w:r w:rsidRPr="00800B07">
              <w:rPr>
                <w:rFonts w:cstheme="minorHAnsi"/>
                <w:sz w:val="18"/>
                <w:szCs w:val="18"/>
                <w:lang w:val="fr-BE"/>
              </w:rPr>
              <w:t>8%)</w:t>
            </w:r>
          </w:p>
        </w:tc>
        <w:tc>
          <w:tcPr>
            <w:tcW w:w="454" w:type="pct"/>
            <w:tcBorders>
              <w:top w:val="single" w:sz="4" w:space="0" w:color="auto"/>
              <w:left w:val="single" w:sz="4" w:space="0" w:color="auto"/>
              <w:bottom w:val="single" w:sz="4" w:space="0" w:color="auto"/>
              <w:right w:val="single" w:sz="4" w:space="0" w:color="auto"/>
            </w:tcBorders>
          </w:tcPr>
          <w:p w14:paraId="3193B475"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7 (36</w:t>
            </w:r>
            <w:r>
              <w:rPr>
                <w:rFonts w:cstheme="minorHAnsi"/>
                <w:sz w:val="18"/>
                <w:szCs w:val="18"/>
                <w:lang w:val="fr-BE"/>
              </w:rPr>
              <w:t>.</w:t>
            </w:r>
            <w:r w:rsidRPr="00800B07">
              <w:rPr>
                <w:rFonts w:cstheme="minorHAnsi"/>
                <w:sz w:val="18"/>
                <w:szCs w:val="18"/>
                <w:lang w:val="fr-BE"/>
              </w:rPr>
              <w:t>8%)</w:t>
            </w:r>
          </w:p>
        </w:tc>
        <w:tc>
          <w:tcPr>
            <w:tcW w:w="454" w:type="pct"/>
            <w:tcBorders>
              <w:top w:val="single" w:sz="4" w:space="0" w:color="auto"/>
              <w:left w:val="single" w:sz="4" w:space="0" w:color="auto"/>
              <w:bottom w:val="single" w:sz="4" w:space="0" w:color="auto"/>
              <w:right w:val="single" w:sz="4" w:space="0" w:color="auto"/>
            </w:tcBorders>
          </w:tcPr>
          <w:p w14:paraId="0A7EBF74"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9 (64</w:t>
            </w:r>
            <w:r>
              <w:rPr>
                <w:rFonts w:cstheme="minorHAnsi"/>
                <w:sz w:val="18"/>
                <w:szCs w:val="18"/>
                <w:lang w:val="fr-BE"/>
              </w:rPr>
              <w:t>.</w:t>
            </w:r>
            <w:r w:rsidRPr="00800B07">
              <w:rPr>
                <w:rFonts w:cstheme="minorHAnsi"/>
                <w:sz w:val="18"/>
                <w:szCs w:val="18"/>
                <w:lang w:val="fr-BE"/>
              </w:rPr>
              <w:t>3%)</w:t>
            </w:r>
          </w:p>
        </w:tc>
        <w:tc>
          <w:tcPr>
            <w:tcW w:w="454" w:type="pct"/>
            <w:tcBorders>
              <w:top w:val="single" w:sz="4" w:space="0" w:color="auto"/>
              <w:left w:val="single" w:sz="4" w:space="0" w:color="auto"/>
              <w:bottom w:val="single" w:sz="4" w:space="0" w:color="auto"/>
              <w:right w:val="single" w:sz="4" w:space="0" w:color="auto"/>
            </w:tcBorders>
          </w:tcPr>
          <w:p w14:paraId="3B837B8A"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4 (36</w:t>
            </w:r>
            <w:r>
              <w:rPr>
                <w:rFonts w:cstheme="minorHAnsi"/>
                <w:sz w:val="18"/>
                <w:szCs w:val="18"/>
                <w:lang w:val="fr-BE"/>
              </w:rPr>
              <w:t>.</w:t>
            </w:r>
            <w:r w:rsidRPr="00800B07">
              <w:rPr>
                <w:rFonts w:cstheme="minorHAnsi"/>
                <w:sz w:val="18"/>
                <w:szCs w:val="18"/>
                <w:lang w:val="fr-BE"/>
              </w:rPr>
              <w:t>4%)</w:t>
            </w:r>
          </w:p>
        </w:tc>
        <w:tc>
          <w:tcPr>
            <w:tcW w:w="458" w:type="pct"/>
            <w:tcBorders>
              <w:top w:val="single" w:sz="4" w:space="0" w:color="auto"/>
              <w:left w:val="single" w:sz="4" w:space="0" w:color="auto"/>
              <w:bottom w:val="single" w:sz="4" w:space="0" w:color="auto"/>
              <w:right w:val="single" w:sz="4" w:space="0" w:color="auto"/>
            </w:tcBorders>
          </w:tcPr>
          <w:p w14:paraId="3E273207"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7 (70</w:t>
            </w:r>
            <w:r>
              <w:rPr>
                <w:rFonts w:cstheme="minorHAnsi"/>
                <w:sz w:val="18"/>
                <w:szCs w:val="18"/>
                <w:lang w:val="fr-BE"/>
              </w:rPr>
              <w:t>.</w:t>
            </w:r>
            <w:r w:rsidRPr="00800B07">
              <w:rPr>
                <w:rFonts w:cstheme="minorHAnsi"/>
                <w:sz w:val="18"/>
                <w:szCs w:val="18"/>
                <w:lang w:val="fr-BE"/>
              </w:rPr>
              <w:t>0%)</w:t>
            </w:r>
          </w:p>
        </w:tc>
      </w:tr>
      <w:tr w:rsidR="0057187E" w:rsidRPr="00800B07" w14:paraId="7848E1DF" w14:textId="77777777" w:rsidTr="0057187E">
        <w:trPr>
          <w:trHeight w:val="20"/>
        </w:trPr>
        <w:tc>
          <w:tcPr>
            <w:tcW w:w="1409" w:type="pct"/>
            <w:tcBorders>
              <w:top w:val="single" w:sz="4" w:space="0" w:color="auto"/>
              <w:left w:val="single" w:sz="4" w:space="0" w:color="auto"/>
              <w:bottom w:val="single" w:sz="4" w:space="0" w:color="auto"/>
              <w:right w:val="single" w:sz="12" w:space="0" w:color="auto"/>
            </w:tcBorders>
            <w:hideMark/>
          </w:tcPr>
          <w:p w14:paraId="08D43E99" w14:textId="77777777" w:rsidR="0057187E" w:rsidRPr="00800B07" w:rsidRDefault="0057187E" w:rsidP="0057187E">
            <w:pPr>
              <w:spacing w:after="0"/>
              <w:rPr>
                <w:rFonts w:cstheme="minorHAnsi"/>
                <w:sz w:val="18"/>
                <w:szCs w:val="18"/>
                <w:lang w:val="en-GB"/>
              </w:rPr>
            </w:pPr>
            <w:proofErr w:type="spellStart"/>
            <w:r w:rsidRPr="00800B07">
              <w:rPr>
                <w:rFonts w:cstheme="minorHAnsi"/>
                <w:sz w:val="18"/>
                <w:szCs w:val="18"/>
                <w:lang w:val="en-GB"/>
              </w:rPr>
              <w:t>Hyperphosphaturia</w:t>
            </w:r>
            <w:proofErr w:type="spellEnd"/>
            <w:r w:rsidRPr="00800B07">
              <w:rPr>
                <w:rFonts w:cstheme="minorHAnsi"/>
                <w:sz w:val="18"/>
                <w:szCs w:val="18"/>
                <w:lang w:val="en-GB"/>
              </w:rPr>
              <w:t xml:space="preserve">, n(%)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51722915"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128 (15</w:t>
            </w:r>
            <w:r>
              <w:rPr>
                <w:rFonts w:cstheme="minorHAnsi"/>
                <w:sz w:val="18"/>
                <w:szCs w:val="18"/>
                <w:lang w:val="fr-BE"/>
              </w:rPr>
              <w:t>.</w:t>
            </w:r>
            <w:r w:rsidRPr="00800B07">
              <w:rPr>
                <w:rFonts w:cstheme="minorHAnsi"/>
                <w:sz w:val="18"/>
                <w:szCs w:val="18"/>
                <w:lang w:val="fr-BE"/>
              </w:rPr>
              <w:t>3%)</w:t>
            </w:r>
          </w:p>
        </w:tc>
        <w:tc>
          <w:tcPr>
            <w:tcW w:w="454" w:type="pct"/>
            <w:tcBorders>
              <w:top w:val="single" w:sz="4" w:space="0" w:color="auto"/>
              <w:left w:val="single" w:sz="12" w:space="0" w:color="auto"/>
              <w:bottom w:val="single" w:sz="4" w:space="0" w:color="auto"/>
              <w:right w:val="single" w:sz="4" w:space="0" w:color="auto"/>
            </w:tcBorders>
          </w:tcPr>
          <w:p w14:paraId="239EE422"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67 (18</w:t>
            </w:r>
            <w:r>
              <w:rPr>
                <w:rFonts w:cstheme="minorHAnsi"/>
                <w:sz w:val="18"/>
                <w:szCs w:val="18"/>
                <w:lang w:val="fr-BE"/>
              </w:rPr>
              <w:t>.</w:t>
            </w:r>
            <w:r w:rsidRPr="00800B07">
              <w:rPr>
                <w:rFonts w:cstheme="minorHAnsi"/>
                <w:sz w:val="18"/>
                <w:szCs w:val="18"/>
                <w:lang w:val="fr-BE"/>
              </w:rPr>
              <w:t>1%)</w:t>
            </w:r>
          </w:p>
        </w:tc>
        <w:tc>
          <w:tcPr>
            <w:tcW w:w="454" w:type="pct"/>
            <w:tcBorders>
              <w:top w:val="single" w:sz="4" w:space="0" w:color="auto"/>
              <w:left w:val="single" w:sz="4" w:space="0" w:color="auto"/>
              <w:bottom w:val="single" w:sz="4" w:space="0" w:color="auto"/>
              <w:right w:val="single" w:sz="4" w:space="0" w:color="auto"/>
            </w:tcBorders>
          </w:tcPr>
          <w:p w14:paraId="21A2B1E3"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8 (21</w:t>
            </w:r>
            <w:r>
              <w:rPr>
                <w:rFonts w:cstheme="minorHAnsi"/>
                <w:sz w:val="18"/>
                <w:szCs w:val="18"/>
                <w:lang w:val="fr-BE"/>
              </w:rPr>
              <w:t>.</w:t>
            </w:r>
            <w:r w:rsidRPr="00800B07">
              <w:rPr>
                <w:rFonts w:cstheme="minorHAnsi"/>
                <w:sz w:val="18"/>
                <w:szCs w:val="18"/>
                <w:lang w:val="fr-BE"/>
              </w:rPr>
              <w:t>6%)</w:t>
            </w:r>
          </w:p>
        </w:tc>
        <w:tc>
          <w:tcPr>
            <w:tcW w:w="455" w:type="pct"/>
            <w:tcBorders>
              <w:top w:val="single" w:sz="4" w:space="0" w:color="auto"/>
              <w:left w:val="single" w:sz="4" w:space="0" w:color="auto"/>
              <w:bottom w:val="single" w:sz="4" w:space="0" w:color="auto"/>
              <w:right w:val="single" w:sz="4" w:space="0" w:color="auto"/>
            </w:tcBorders>
          </w:tcPr>
          <w:p w14:paraId="798F1A84"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 xml:space="preserve">0 </w:t>
            </w:r>
          </w:p>
        </w:tc>
        <w:tc>
          <w:tcPr>
            <w:tcW w:w="454" w:type="pct"/>
            <w:tcBorders>
              <w:top w:val="single" w:sz="4" w:space="0" w:color="auto"/>
              <w:left w:val="single" w:sz="4" w:space="0" w:color="auto"/>
              <w:bottom w:val="single" w:sz="4" w:space="0" w:color="auto"/>
              <w:right w:val="single" w:sz="4" w:space="0" w:color="auto"/>
            </w:tcBorders>
          </w:tcPr>
          <w:p w14:paraId="01F93DFB"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2 (10</w:t>
            </w:r>
            <w:r>
              <w:rPr>
                <w:rFonts w:cstheme="minorHAnsi"/>
                <w:sz w:val="18"/>
                <w:szCs w:val="18"/>
                <w:lang w:val="fr-BE"/>
              </w:rPr>
              <w:t>.</w:t>
            </w:r>
            <w:r w:rsidRPr="00800B07">
              <w:rPr>
                <w:rFonts w:cstheme="minorHAnsi"/>
                <w:sz w:val="18"/>
                <w:szCs w:val="18"/>
                <w:lang w:val="fr-BE"/>
              </w:rPr>
              <w:t>5%)</w:t>
            </w:r>
          </w:p>
        </w:tc>
        <w:tc>
          <w:tcPr>
            <w:tcW w:w="454" w:type="pct"/>
            <w:tcBorders>
              <w:top w:val="single" w:sz="4" w:space="0" w:color="auto"/>
              <w:left w:val="single" w:sz="4" w:space="0" w:color="auto"/>
              <w:bottom w:val="single" w:sz="4" w:space="0" w:color="auto"/>
              <w:right w:val="single" w:sz="4" w:space="0" w:color="auto"/>
            </w:tcBorders>
          </w:tcPr>
          <w:p w14:paraId="51CB7BC2"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1 (7</w:t>
            </w:r>
            <w:r>
              <w:rPr>
                <w:rFonts w:cstheme="minorHAnsi"/>
                <w:sz w:val="18"/>
                <w:szCs w:val="18"/>
                <w:lang w:val="fr-BE"/>
              </w:rPr>
              <w:t>.</w:t>
            </w:r>
            <w:r w:rsidRPr="00800B07">
              <w:rPr>
                <w:rFonts w:cstheme="minorHAnsi"/>
                <w:sz w:val="18"/>
                <w:szCs w:val="18"/>
                <w:lang w:val="fr-BE"/>
              </w:rPr>
              <w:t>1%)</w:t>
            </w:r>
          </w:p>
        </w:tc>
        <w:tc>
          <w:tcPr>
            <w:tcW w:w="454" w:type="pct"/>
            <w:tcBorders>
              <w:top w:val="single" w:sz="4" w:space="0" w:color="auto"/>
              <w:left w:val="single" w:sz="4" w:space="0" w:color="auto"/>
              <w:bottom w:val="single" w:sz="4" w:space="0" w:color="auto"/>
              <w:right w:val="single" w:sz="4" w:space="0" w:color="auto"/>
            </w:tcBorders>
          </w:tcPr>
          <w:p w14:paraId="06579674"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1  (9</w:t>
            </w:r>
            <w:r>
              <w:rPr>
                <w:rFonts w:cstheme="minorHAnsi"/>
                <w:sz w:val="18"/>
                <w:szCs w:val="18"/>
                <w:lang w:val="fr-BE"/>
              </w:rPr>
              <w:t>.</w:t>
            </w:r>
            <w:r w:rsidRPr="00800B07">
              <w:rPr>
                <w:rFonts w:cstheme="minorHAnsi"/>
                <w:sz w:val="18"/>
                <w:szCs w:val="18"/>
                <w:lang w:val="fr-BE"/>
              </w:rPr>
              <w:t xml:space="preserve">1%) </w:t>
            </w:r>
          </w:p>
        </w:tc>
        <w:tc>
          <w:tcPr>
            <w:tcW w:w="458" w:type="pct"/>
            <w:tcBorders>
              <w:top w:val="single" w:sz="4" w:space="0" w:color="auto"/>
              <w:left w:val="single" w:sz="4" w:space="0" w:color="auto"/>
              <w:bottom w:val="single" w:sz="4" w:space="0" w:color="auto"/>
              <w:right w:val="single" w:sz="4" w:space="0" w:color="auto"/>
            </w:tcBorders>
          </w:tcPr>
          <w:p w14:paraId="69338381"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4 (40</w:t>
            </w:r>
            <w:r>
              <w:rPr>
                <w:rFonts w:cstheme="minorHAnsi"/>
                <w:sz w:val="18"/>
                <w:szCs w:val="18"/>
                <w:lang w:val="fr-BE"/>
              </w:rPr>
              <w:t>.</w:t>
            </w:r>
            <w:r w:rsidRPr="00800B07">
              <w:rPr>
                <w:rFonts w:cstheme="minorHAnsi"/>
                <w:sz w:val="18"/>
                <w:szCs w:val="18"/>
                <w:lang w:val="fr-BE"/>
              </w:rPr>
              <w:t>0%)</w:t>
            </w:r>
          </w:p>
        </w:tc>
      </w:tr>
      <w:tr w:rsidR="0057187E" w:rsidRPr="00800B07" w14:paraId="0F5443E2" w14:textId="77777777" w:rsidTr="0057187E">
        <w:trPr>
          <w:trHeight w:val="20"/>
        </w:trPr>
        <w:tc>
          <w:tcPr>
            <w:tcW w:w="1409" w:type="pct"/>
            <w:tcBorders>
              <w:top w:val="single" w:sz="4" w:space="0" w:color="auto"/>
              <w:left w:val="single" w:sz="4" w:space="0" w:color="auto"/>
              <w:bottom w:val="single" w:sz="4" w:space="0" w:color="auto"/>
              <w:right w:val="single" w:sz="12" w:space="0" w:color="auto"/>
            </w:tcBorders>
            <w:hideMark/>
          </w:tcPr>
          <w:p w14:paraId="1F0E2B70"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 xml:space="preserve">Increased uric acid excretion, n(%)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7DA5323D" w14:textId="77777777" w:rsidR="0057187E" w:rsidRPr="00800B07" w:rsidRDefault="0057187E" w:rsidP="0057187E">
            <w:pPr>
              <w:spacing w:after="0"/>
              <w:rPr>
                <w:rFonts w:cstheme="minorHAnsi"/>
                <w:sz w:val="18"/>
                <w:szCs w:val="18"/>
              </w:rPr>
            </w:pPr>
            <w:r w:rsidRPr="00800B07">
              <w:rPr>
                <w:rFonts w:cstheme="minorHAnsi"/>
                <w:sz w:val="18"/>
                <w:szCs w:val="18"/>
              </w:rPr>
              <w:t>202 (24</w:t>
            </w:r>
            <w:r>
              <w:rPr>
                <w:rFonts w:cstheme="minorHAnsi"/>
                <w:sz w:val="18"/>
                <w:szCs w:val="18"/>
              </w:rPr>
              <w:t>.</w:t>
            </w:r>
            <w:r w:rsidRPr="00800B07">
              <w:rPr>
                <w:rFonts w:cstheme="minorHAnsi"/>
                <w:sz w:val="18"/>
                <w:szCs w:val="18"/>
              </w:rPr>
              <w:t>2%)</w:t>
            </w:r>
          </w:p>
        </w:tc>
        <w:tc>
          <w:tcPr>
            <w:tcW w:w="454" w:type="pct"/>
            <w:tcBorders>
              <w:top w:val="single" w:sz="4" w:space="0" w:color="auto"/>
              <w:left w:val="single" w:sz="12" w:space="0" w:color="auto"/>
              <w:bottom w:val="single" w:sz="4" w:space="0" w:color="auto"/>
              <w:right w:val="single" w:sz="4" w:space="0" w:color="auto"/>
            </w:tcBorders>
          </w:tcPr>
          <w:p w14:paraId="45854419" w14:textId="77777777" w:rsidR="0057187E" w:rsidRPr="00800B07" w:rsidRDefault="0057187E" w:rsidP="0057187E">
            <w:pPr>
              <w:spacing w:after="0"/>
              <w:rPr>
                <w:rFonts w:cstheme="minorHAnsi"/>
                <w:sz w:val="18"/>
                <w:szCs w:val="18"/>
              </w:rPr>
            </w:pPr>
            <w:r w:rsidRPr="00800B07">
              <w:rPr>
                <w:rFonts w:cstheme="minorHAnsi"/>
                <w:sz w:val="18"/>
                <w:szCs w:val="18"/>
                <w:lang w:val="fr-BE"/>
              </w:rPr>
              <w:t>101 (27</w:t>
            </w:r>
            <w:r>
              <w:rPr>
                <w:rFonts w:cstheme="minorHAnsi"/>
                <w:sz w:val="18"/>
                <w:szCs w:val="18"/>
                <w:lang w:val="fr-BE"/>
              </w:rPr>
              <w:t>.</w:t>
            </w:r>
            <w:r w:rsidRPr="00800B07">
              <w:rPr>
                <w:rFonts w:cstheme="minorHAnsi"/>
                <w:sz w:val="18"/>
                <w:szCs w:val="18"/>
                <w:lang w:val="fr-BE"/>
              </w:rPr>
              <w:t>3%)</w:t>
            </w:r>
          </w:p>
        </w:tc>
        <w:tc>
          <w:tcPr>
            <w:tcW w:w="454" w:type="pct"/>
            <w:tcBorders>
              <w:top w:val="single" w:sz="4" w:space="0" w:color="auto"/>
              <w:left w:val="single" w:sz="4" w:space="0" w:color="auto"/>
              <w:bottom w:val="single" w:sz="4" w:space="0" w:color="auto"/>
              <w:right w:val="single" w:sz="4" w:space="0" w:color="auto"/>
            </w:tcBorders>
          </w:tcPr>
          <w:p w14:paraId="24924954"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17 (46</w:t>
            </w:r>
            <w:r>
              <w:rPr>
                <w:rFonts w:cstheme="minorHAnsi"/>
                <w:sz w:val="18"/>
                <w:szCs w:val="18"/>
                <w:lang w:val="fr-BE"/>
              </w:rPr>
              <w:t>.</w:t>
            </w:r>
            <w:r w:rsidRPr="00800B07">
              <w:rPr>
                <w:rFonts w:cstheme="minorHAnsi"/>
                <w:sz w:val="18"/>
                <w:szCs w:val="18"/>
                <w:lang w:val="fr-BE"/>
              </w:rPr>
              <w:t>0%)</w:t>
            </w:r>
          </w:p>
        </w:tc>
        <w:tc>
          <w:tcPr>
            <w:tcW w:w="455" w:type="pct"/>
            <w:tcBorders>
              <w:top w:val="single" w:sz="4" w:space="0" w:color="auto"/>
              <w:left w:val="single" w:sz="4" w:space="0" w:color="auto"/>
              <w:bottom w:val="single" w:sz="4" w:space="0" w:color="auto"/>
              <w:right w:val="single" w:sz="4" w:space="0" w:color="auto"/>
            </w:tcBorders>
          </w:tcPr>
          <w:p w14:paraId="1B13D19E" w14:textId="77777777" w:rsidR="0057187E" w:rsidRPr="00800B07" w:rsidRDefault="0057187E" w:rsidP="0057187E">
            <w:pPr>
              <w:spacing w:after="0"/>
              <w:rPr>
                <w:rFonts w:cstheme="minorHAnsi"/>
                <w:sz w:val="18"/>
                <w:szCs w:val="18"/>
                <w:lang w:val="fr-BE"/>
              </w:rPr>
            </w:pPr>
            <w:r w:rsidRPr="00800B07">
              <w:rPr>
                <w:rFonts w:cstheme="minorHAnsi"/>
                <w:sz w:val="18"/>
                <w:szCs w:val="18"/>
              </w:rPr>
              <w:t>0</w:t>
            </w:r>
          </w:p>
        </w:tc>
        <w:tc>
          <w:tcPr>
            <w:tcW w:w="454" w:type="pct"/>
            <w:tcBorders>
              <w:top w:val="single" w:sz="4" w:space="0" w:color="auto"/>
              <w:left w:val="single" w:sz="4" w:space="0" w:color="auto"/>
              <w:bottom w:val="single" w:sz="4" w:space="0" w:color="auto"/>
              <w:right w:val="single" w:sz="4" w:space="0" w:color="auto"/>
            </w:tcBorders>
          </w:tcPr>
          <w:p w14:paraId="625D536B"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3 (15</w:t>
            </w:r>
            <w:r>
              <w:rPr>
                <w:rFonts w:cstheme="minorHAnsi"/>
                <w:sz w:val="18"/>
                <w:szCs w:val="18"/>
                <w:lang w:val="fr-BE"/>
              </w:rPr>
              <w:t>.</w:t>
            </w:r>
            <w:r w:rsidRPr="00800B07">
              <w:rPr>
                <w:rFonts w:cstheme="minorHAnsi"/>
                <w:sz w:val="18"/>
                <w:szCs w:val="18"/>
                <w:lang w:val="fr-BE"/>
              </w:rPr>
              <w:t>8%)</w:t>
            </w:r>
          </w:p>
        </w:tc>
        <w:tc>
          <w:tcPr>
            <w:tcW w:w="454" w:type="pct"/>
            <w:tcBorders>
              <w:top w:val="single" w:sz="4" w:space="0" w:color="auto"/>
              <w:left w:val="single" w:sz="4" w:space="0" w:color="auto"/>
              <w:bottom w:val="single" w:sz="4" w:space="0" w:color="auto"/>
              <w:right w:val="single" w:sz="4" w:space="0" w:color="auto"/>
            </w:tcBorders>
            <w:hideMark/>
          </w:tcPr>
          <w:p w14:paraId="3156127A"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6 (42</w:t>
            </w:r>
            <w:r>
              <w:rPr>
                <w:rFonts w:cstheme="minorHAnsi"/>
                <w:sz w:val="18"/>
                <w:szCs w:val="18"/>
                <w:lang w:val="fr-BE"/>
              </w:rPr>
              <w:t>.</w:t>
            </w:r>
            <w:r w:rsidRPr="00800B07">
              <w:rPr>
                <w:rFonts w:cstheme="minorHAnsi"/>
                <w:sz w:val="18"/>
                <w:szCs w:val="18"/>
                <w:lang w:val="fr-BE"/>
              </w:rPr>
              <w:t>9%)</w:t>
            </w:r>
          </w:p>
        </w:tc>
        <w:tc>
          <w:tcPr>
            <w:tcW w:w="454" w:type="pct"/>
            <w:tcBorders>
              <w:top w:val="single" w:sz="4" w:space="0" w:color="auto"/>
              <w:left w:val="single" w:sz="4" w:space="0" w:color="auto"/>
              <w:bottom w:val="single" w:sz="4" w:space="0" w:color="auto"/>
              <w:right w:val="single" w:sz="4" w:space="0" w:color="auto"/>
            </w:tcBorders>
          </w:tcPr>
          <w:p w14:paraId="4E0FADA8" w14:textId="77777777" w:rsidR="0057187E" w:rsidRPr="00800B07" w:rsidRDefault="0057187E" w:rsidP="0057187E">
            <w:pPr>
              <w:spacing w:after="0"/>
              <w:rPr>
                <w:rFonts w:cstheme="minorHAnsi"/>
                <w:sz w:val="18"/>
                <w:szCs w:val="18"/>
                <w:lang w:val="fr-BE"/>
              </w:rPr>
            </w:pPr>
            <w:r w:rsidRPr="00800B07">
              <w:rPr>
                <w:rFonts w:cstheme="minorHAnsi"/>
                <w:sz w:val="18"/>
                <w:szCs w:val="18"/>
              </w:rPr>
              <w:t>1 (9</w:t>
            </w:r>
            <w:r>
              <w:rPr>
                <w:rFonts w:cstheme="minorHAnsi"/>
                <w:sz w:val="18"/>
                <w:szCs w:val="18"/>
              </w:rPr>
              <w:t>.</w:t>
            </w:r>
            <w:r w:rsidRPr="00800B07">
              <w:rPr>
                <w:rFonts w:cstheme="minorHAnsi"/>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A85EFFB"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2 (20</w:t>
            </w:r>
            <w:r>
              <w:rPr>
                <w:rFonts w:cstheme="minorHAnsi"/>
                <w:sz w:val="18"/>
                <w:szCs w:val="18"/>
                <w:lang w:val="fr-BE"/>
              </w:rPr>
              <w:t>.</w:t>
            </w:r>
            <w:r w:rsidRPr="00800B07">
              <w:rPr>
                <w:rFonts w:cstheme="minorHAnsi"/>
                <w:sz w:val="18"/>
                <w:szCs w:val="18"/>
                <w:lang w:val="fr-BE"/>
              </w:rPr>
              <w:t>0%)</w:t>
            </w:r>
          </w:p>
        </w:tc>
      </w:tr>
      <w:tr w:rsidR="0057187E" w:rsidRPr="00800B07" w14:paraId="3423AA94" w14:textId="77777777" w:rsidTr="0057187E">
        <w:trPr>
          <w:trHeight w:val="20"/>
        </w:trPr>
        <w:tc>
          <w:tcPr>
            <w:tcW w:w="1409" w:type="pct"/>
            <w:tcBorders>
              <w:top w:val="single" w:sz="4" w:space="0" w:color="auto"/>
              <w:left w:val="single" w:sz="4" w:space="0" w:color="auto"/>
              <w:bottom w:val="single" w:sz="4" w:space="0" w:color="auto"/>
              <w:right w:val="single" w:sz="12" w:space="0" w:color="auto"/>
            </w:tcBorders>
            <w:hideMark/>
          </w:tcPr>
          <w:p w14:paraId="2EBCE475"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 xml:space="preserve">Increased sodium excretion, n(%)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1F952E8D"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500 (59</w:t>
            </w:r>
            <w:r>
              <w:rPr>
                <w:rFonts w:cstheme="minorHAnsi"/>
                <w:sz w:val="18"/>
                <w:szCs w:val="18"/>
                <w:lang w:val="fr-BE"/>
              </w:rPr>
              <w:t>.</w:t>
            </w:r>
            <w:r w:rsidRPr="00800B07">
              <w:rPr>
                <w:rFonts w:cstheme="minorHAnsi"/>
                <w:sz w:val="18"/>
                <w:szCs w:val="18"/>
                <w:lang w:val="fr-BE"/>
              </w:rPr>
              <w:t>9%)</w:t>
            </w:r>
          </w:p>
        </w:tc>
        <w:tc>
          <w:tcPr>
            <w:tcW w:w="454" w:type="pct"/>
            <w:tcBorders>
              <w:top w:val="single" w:sz="4" w:space="0" w:color="auto"/>
              <w:left w:val="single" w:sz="12" w:space="0" w:color="auto"/>
              <w:bottom w:val="single" w:sz="4" w:space="0" w:color="auto"/>
              <w:right w:val="single" w:sz="4" w:space="0" w:color="auto"/>
            </w:tcBorders>
          </w:tcPr>
          <w:p w14:paraId="3927AD17" w14:textId="77777777" w:rsidR="0057187E" w:rsidRPr="00800B07" w:rsidRDefault="0057187E" w:rsidP="0057187E">
            <w:pPr>
              <w:spacing w:after="0"/>
              <w:rPr>
                <w:rFonts w:cstheme="minorHAnsi"/>
                <w:sz w:val="18"/>
                <w:szCs w:val="18"/>
              </w:rPr>
            </w:pPr>
            <w:r w:rsidRPr="00800B07">
              <w:rPr>
                <w:rFonts w:cstheme="minorHAnsi"/>
                <w:sz w:val="18"/>
                <w:szCs w:val="18"/>
                <w:lang w:val="fr-BE"/>
              </w:rPr>
              <w:t>229 (61</w:t>
            </w:r>
            <w:r>
              <w:rPr>
                <w:rFonts w:cstheme="minorHAnsi"/>
                <w:sz w:val="18"/>
                <w:szCs w:val="18"/>
                <w:lang w:val="fr-BE"/>
              </w:rPr>
              <w:t>.</w:t>
            </w:r>
            <w:r w:rsidRPr="00800B07">
              <w:rPr>
                <w:rFonts w:cstheme="minorHAnsi"/>
                <w:sz w:val="18"/>
                <w:szCs w:val="18"/>
                <w:lang w:val="fr-BE"/>
              </w:rPr>
              <w:t>9%)</w:t>
            </w:r>
          </w:p>
        </w:tc>
        <w:tc>
          <w:tcPr>
            <w:tcW w:w="454" w:type="pct"/>
            <w:tcBorders>
              <w:top w:val="single" w:sz="4" w:space="0" w:color="auto"/>
              <w:left w:val="single" w:sz="4" w:space="0" w:color="auto"/>
              <w:bottom w:val="single" w:sz="4" w:space="0" w:color="auto"/>
              <w:right w:val="single" w:sz="4" w:space="0" w:color="auto"/>
            </w:tcBorders>
          </w:tcPr>
          <w:p w14:paraId="42282B57"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26 (70</w:t>
            </w:r>
            <w:r>
              <w:rPr>
                <w:rFonts w:cstheme="minorHAnsi"/>
                <w:sz w:val="18"/>
                <w:szCs w:val="18"/>
                <w:lang w:val="fr-BE"/>
              </w:rPr>
              <w:t>.</w:t>
            </w:r>
            <w:r w:rsidRPr="00800B07">
              <w:rPr>
                <w:rFonts w:cstheme="minorHAnsi"/>
                <w:sz w:val="18"/>
                <w:szCs w:val="18"/>
                <w:lang w:val="fr-BE"/>
              </w:rPr>
              <w:t>3%)</w:t>
            </w:r>
          </w:p>
        </w:tc>
        <w:tc>
          <w:tcPr>
            <w:tcW w:w="455" w:type="pct"/>
            <w:tcBorders>
              <w:top w:val="single" w:sz="4" w:space="0" w:color="auto"/>
              <w:left w:val="single" w:sz="4" w:space="0" w:color="auto"/>
              <w:bottom w:val="single" w:sz="4" w:space="0" w:color="auto"/>
              <w:right w:val="single" w:sz="4" w:space="0" w:color="auto"/>
            </w:tcBorders>
          </w:tcPr>
          <w:p w14:paraId="1A13763C" w14:textId="77777777" w:rsidR="0057187E" w:rsidRPr="00800B07" w:rsidRDefault="0057187E" w:rsidP="0057187E">
            <w:pPr>
              <w:spacing w:after="0"/>
              <w:rPr>
                <w:rFonts w:cstheme="minorHAnsi"/>
                <w:sz w:val="18"/>
                <w:szCs w:val="18"/>
                <w:lang w:val="fr-BE"/>
              </w:rPr>
            </w:pPr>
            <w:r w:rsidRPr="00800B07">
              <w:rPr>
                <w:rFonts w:cstheme="minorHAnsi"/>
                <w:sz w:val="18"/>
                <w:szCs w:val="18"/>
              </w:rPr>
              <w:t>13 (61</w:t>
            </w:r>
            <w:r>
              <w:rPr>
                <w:rFonts w:cstheme="minorHAnsi"/>
                <w:sz w:val="18"/>
                <w:szCs w:val="18"/>
              </w:rPr>
              <w:t>.</w:t>
            </w:r>
            <w:r w:rsidRPr="00800B07">
              <w:rPr>
                <w:rFonts w:cstheme="minorHAnsi"/>
                <w:sz w:val="18"/>
                <w:szCs w:val="18"/>
              </w:rPr>
              <w:t>9%)</w:t>
            </w:r>
          </w:p>
        </w:tc>
        <w:tc>
          <w:tcPr>
            <w:tcW w:w="454" w:type="pct"/>
            <w:tcBorders>
              <w:top w:val="single" w:sz="4" w:space="0" w:color="auto"/>
              <w:left w:val="single" w:sz="4" w:space="0" w:color="auto"/>
              <w:bottom w:val="single" w:sz="4" w:space="0" w:color="auto"/>
              <w:right w:val="single" w:sz="4" w:space="0" w:color="auto"/>
            </w:tcBorders>
          </w:tcPr>
          <w:p w14:paraId="77AB962A"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10 (52</w:t>
            </w:r>
            <w:r>
              <w:rPr>
                <w:rFonts w:cstheme="minorHAnsi"/>
                <w:sz w:val="18"/>
                <w:szCs w:val="18"/>
                <w:lang w:val="fr-BE"/>
              </w:rPr>
              <w:t>.</w:t>
            </w:r>
            <w:r w:rsidRPr="00800B07">
              <w:rPr>
                <w:rFonts w:cstheme="minorHAnsi"/>
                <w:sz w:val="18"/>
                <w:szCs w:val="18"/>
                <w:lang w:val="fr-BE"/>
              </w:rPr>
              <w:t>6%)</w:t>
            </w:r>
          </w:p>
        </w:tc>
        <w:tc>
          <w:tcPr>
            <w:tcW w:w="454" w:type="pct"/>
            <w:tcBorders>
              <w:top w:val="single" w:sz="4" w:space="0" w:color="auto"/>
              <w:left w:val="single" w:sz="4" w:space="0" w:color="auto"/>
              <w:bottom w:val="single" w:sz="4" w:space="0" w:color="auto"/>
              <w:right w:val="single" w:sz="4" w:space="0" w:color="auto"/>
            </w:tcBorders>
          </w:tcPr>
          <w:p w14:paraId="0CACB635" w14:textId="77777777" w:rsidR="0057187E" w:rsidRPr="00800B07" w:rsidRDefault="0057187E" w:rsidP="0057187E">
            <w:pPr>
              <w:spacing w:after="0"/>
              <w:rPr>
                <w:rFonts w:cstheme="minorHAnsi"/>
                <w:sz w:val="18"/>
                <w:szCs w:val="18"/>
              </w:rPr>
            </w:pPr>
            <w:r w:rsidRPr="00800B07">
              <w:rPr>
                <w:rFonts w:cstheme="minorHAnsi"/>
                <w:sz w:val="18"/>
                <w:szCs w:val="18"/>
                <w:lang w:val="fr-BE"/>
              </w:rPr>
              <w:t>8 (57</w:t>
            </w:r>
            <w:r>
              <w:rPr>
                <w:rFonts w:cstheme="minorHAnsi"/>
                <w:sz w:val="18"/>
                <w:szCs w:val="18"/>
                <w:lang w:val="fr-BE"/>
              </w:rPr>
              <w:t>.</w:t>
            </w:r>
            <w:r w:rsidRPr="00800B07">
              <w:rPr>
                <w:rFonts w:cstheme="minorHAnsi"/>
                <w:sz w:val="18"/>
                <w:szCs w:val="18"/>
                <w:lang w:val="fr-BE"/>
              </w:rPr>
              <w:t>1%)</w:t>
            </w:r>
          </w:p>
        </w:tc>
        <w:tc>
          <w:tcPr>
            <w:tcW w:w="454" w:type="pct"/>
            <w:tcBorders>
              <w:top w:val="single" w:sz="4" w:space="0" w:color="auto"/>
              <w:left w:val="single" w:sz="4" w:space="0" w:color="auto"/>
              <w:bottom w:val="single" w:sz="4" w:space="0" w:color="auto"/>
              <w:right w:val="single" w:sz="4" w:space="0" w:color="auto"/>
            </w:tcBorders>
          </w:tcPr>
          <w:p w14:paraId="58D6C6ED" w14:textId="77777777" w:rsidR="0057187E" w:rsidRPr="00800B07" w:rsidRDefault="0057187E" w:rsidP="0057187E">
            <w:pPr>
              <w:spacing w:after="0"/>
              <w:rPr>
                <w:rFonts w:cstheme="minorHAnsi"/>
                <w:sz w:val="18"/>
                <w:szCs w:val="18"/>
                <w:lang w:val="fr-BE"/>
              </w:rPr>
            </w:pPr>
            <w:r w:rsidRPr="00800B07">
              <w:rPr>
                <w:rFonts w:cstheme="minorHAnsi"/>
                <w:sz w:val="18"/>
                <w:szCs w:val="18"/>
              </w:rPr>
              <w:t>6 (54</w:t>
            </w:r>
            <w:r>
              <w:rPr>
                <w:rFonts w:cstheme="minorHAnsi"/>
                <w:sz w:val="18"/>
                <w:szCs w:val="18"/>
              </w:rPr>
              <w:t>.</w:t>
            </w:r>
            <w:r w:rsidRPr="00800B07">
              <w:rPr>
                <w:rFonts w:cstheme="minorHAnsi"/>
                <w:sz w:val="18"/>
                <w:szCs w:val="18"/>
              </w:rPr>
              <w:t>6%)</w:t>
            </w:r>
          </w:p>
        </w:tc>
        <w:tc>
          <w:tcPr>
            <w:tcW w:w="458" w:type="pct"/>
            <w:tcBorders>
              <w:top w:val="single" w:sz="4" w:space="0" w:color="auto"/>
              <w:left w:val="single" w:sz="4" w:space="0" w:color="auto"/>
              <w:bottom w:val="single" w:sz="4" w:space="0" w:color="auto"/>
              <w:right w:val="single" w:sz="4" w:space="0" w:color="auto"/>
            </w:tcBorders>
          </w:tcPr>
          <w:p w14:paraId="429A4A5D"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8 (80</w:t>
            </w:r>
            <w:r>
              <w:rPr>
                <w:rFonts w:cstheme="minorHAnsi"/>
                <w:sz w:val="18"/>
                <w:szCs w:val="18"/>
                <w:lang w:val="fr-BE"/>
              </w:rPr>
              <w:t>.</w:t>
            </w:r>
            <w:r w:rsidRPr="00800B07">
              <w:rPr>
                <w:rFonts w:cstheme="minorHAnsi"/>
                <w:sz w:val="18"/>
                <w:szCs w:val="18"/>
                <w:lang w:val="fr-BE"/>
              </w:rPr>
              <w:t>0%)</w:t>
            </w:r>
          </w:p>
        </w:tc>
      </w:tr>
      <w:tr w:rsidR="0057187E" w:rsidRPr="00800B07" w14:paraId="0C65CBCE" w14:textId="77777777" w:rsidTr="0057187E">
        <w:trPr>
          <w:trHeight w:val="20"/>
        </w:trPr>
        <w:tc>
          <w:tcPr>
            <w:tcW w:w="1409" w:type="pct"/>
            <w:tcBorders>
              <w:top w:val="single" w:sz="4" w:space="0" w:color="auto"/>
              <w:left w:val="single" w:sz="4" w:space="0" w:color="auto"/>
              <w:bottom w:val="single" w:sz="4" w:space="0" w:color="auto"/>
              <w:right w:val="single" w:sz="12" w:space="0" w:color="auto"/>
            </w:tcBorders>
            <w:hideMark/>
          </w:tcPr>
          <w:p w14:paraId="5753AC9B"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 xml:space="preserve">Increased protein intake, n(%)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4011A308" w14:textId="77777777" w:rsidR="0057187E" w:rsidRPr="00800B07" w:rsidRDefault="0057187E" w:rsidP="0057187E">
            <w:pPr>
              <w:spacing w:after="0"/>
              <w:rPr>
                <w:rFonts w:cstheme="minorHAnsi"/>
                <w:sz w:val="18"/>
                <w:szCs w:val="18"/>
              </w:rPr>
            </w:pPr>
            <w:r w:rsidRPr="00800B07">
              <w:rPr>
                <w:rFonts w:cstheme="minorHAnsi"/>
                <w:sz w:val="18"/>
                <w:szCs w:val="18"/>
              </w:rPr>
              <w:t>643 (77</w:t>
            </w:r>
            <w:r>
              <w:rPr>
                <w:rFonts w:cstheme="minorHAnsi"/>
                <w:sz w:val="18"/>
                <w:szCs w:val="18"/>
              </w:rPr>
              <w:t>.</w:t>
            </w:r>
            <w:r w:rsidRPr="00800B07">
              <w:rPr>
                <w:rFonts w:cstheme="minorHAnsi"/>
                <w:sz w:val="18"/>
                <w:szCs w:val="18"/>
              </w:rPr>
              <w:t>0%)</w:t>
            </w:r>
          </w:p>
        </w:tc>
        <w:tc>
          <w:tcPr>
            <w:tcW w:w="454" w:type="pct"/>
            <w:tcBorders>
              <w:top w:val="single" w:sz="4" w:space="0" w:color="auto"/>
              <w:left w:val="single" w:sz="12" w:space="0" w:color="auto"/>
              <w:bottom w:val="single" w:sz="4" w:space="0" w:color="auto"/>
              <w:right w:val="single" w:sz="4" w:space="0" w:color="auto"/>
            </w:tcBorders>
          </w:tcPr>
          <w:p w14:paraId="7FA832E2" w14:textId="77777777" w:rsidR="0057187E" w:rsidRPr="00800B07" w:rsidRDefault="0057187E" w:rsidP="0057187E">
            <w:pPr>
              <w:spacing w:after="0"/>
              <w:rPr>
                <w:rFonts w:cstheme="minorHAnsi"/>
                <w:sz w:val="18"/>
                <w:szCs w:val="18"/>
              </w:rPr>
            </w:pPr>
            <w:r w:rsidRPr="00800B07">
              <w:rPr>
                <w:rFonts w:cstheme="minorHAnsi"/>
                <w:sz w:val="18"/>
                <w:szCs w:val="18"/>
                <w:lang w:val="fr-BE"/>
              </w:rPr>
              <w:t>291 (78</w:t>
            </w:r>
            <w:r>
              <w:rPr>
                <w:rFonts w:cstheme="minorHAnsi"/>
                <w:sz w:val="18"/>
                <w:szCs w:val="18"/>
                <w:lang w:val="fr-BE"/>
              </w:rPr>
              <w:t>.</w:t>
            </w:r>
            <w:r w:rsidRPr="00800B07">
              <w:rPr>
                <w:rFonts w:cstheme="minorHAnsi"/>
                <w:sz w:val="18"/>
                <w:szCs w:val="18"/>
                <w:lang w:val="fr-BE"/>
              </w:rPr>
              <w:t>7%)</w:t>
            </w:r>
          </w:p>
        </w:tc>
        <w:tc>
          <w:tcPr>
            <w:tcW w:w="454" w:type="pct"/>
            <w:tcBorders>
              <w:top w:val="single" w:sz="4" w:space="0" w:color="auto"/>
              <w:left w:val="single" w:sz="4" w:space="0" w:color="auto"/>
              <w:bottom w:val="single" w:sz="4" w:space="0" w:color="auto"/>
              <w:right w:val="single" w:sz="4" w:space="0" w:color="auto"/>
            </w:tcBorders>
          </w:tcPr>
          <w:p w14:paraId="72B50527"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31 (83</w:t>
            </w:r>
            <w:r>
              <w:rPr>
                <w:rFonts w:cstheme="minorHAnsi"/>
                <w:sz w:val="18"/>
                <w:szCs w:val="18"/>
                <w:lang w:val="fr-BE"/>
              </w:rPr>
              <w:t>.</w:t>
            </w:r>
            <w:r w:rsidRPr="00800B07">
              <w:rPr>
                <w:rFonts w:cstheme="minorHAnsi"/>
                <w:sz w:val="18"/>
                <w:szCs w:val="18"/>
                <w:lang w:val="fr-BE"/>
              </w:rPr>
              <w:t>8%)</w:t>
            </w:r>
          </w:p>
        </w:tc>
        <w:tc>
          <w:tcPr>
            <w:tcW w:w="455" w:type="pct"/>
            <w:tcBorders>
              <w:top w:val="single" w:sz="4" w:space="0" w:color="auto"/>
              <w:left w:val="single" w:sz="4" w:space="0" w:color="auto"/>
              <w:bottom w:val="single" w:sz="4" w:space="0" w:color="auto"/>
              <w:right w:val="single" w:sz="4" w:space="0" w:color="auto"/>
            </w:tcBorders>
          </w:tcPr>
          <w:p w14:paraId="2593AF84" w14:textId="77777777" w:rsidR="0057187E" w:rsidRPr="00800B07" w:rsidRDefault="0057187E" w:rsidP="0057187E">
            <w:pPr>
              <w:spacing w:after="0"/>
              <w:rPr>
                <w:rFonts w:cstheme="minorHAnsi"/>
                <w:sz w:val="18"/>
                <w:szCs w:val="18"/>
                <w:lang w:val="fr-BE"/>
              </w:rPr>
            </w:pPr>
            <w:r w:rsidRPr="00800B07">
              <w:rPr>
                <w:rFonts w:cstheme="minorHAnsi"/>
                <w:sz w:val="18"/>
                <w:szCs w:val="18"/>
              </w:rPr>
              <w:t>12 (57</w:t>
            </w:r>
            <w:r>
              <w:rPr>
                <w:rFonts w:cstheme="minorHAnsi"/>
                <w:sz w:val="18"/>
                <w:szCs w:val="18"/>
              </w:rPr>
              <w:t>.</w:t>
            </w:r>
            <w:r w:rsidRPr="00800B07">
              <w:rPr>
                <w:rFonts w:cstheme="minorHAnsi"/>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2DC128A8"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15 (79</w:t>
            </w:r>
            <w:r>
              <w:rPr>
                <w:rFonts w:cstheme="minorHAnsi"/>
                <w:sz w:val="18"/>
                <w:szCs w:val="18"/>
                <w:lang w:val="fr-BE"/>
              </w:rPr>
              <w:t>.</w:t>
            </w:r>
            <w:r w:rsidRPr="00800B07">
              <w:rPr>
                <w:rFonts w:cstheme="minorHAnsi"/>
                <w:sz w:val="18"/>
                <w:szCs w:val="18"/>
                <w:lang w:val="fr-BE"/>
              </w:rPr>
              <w:t>0%)</w:t>
            </w:r>
          </w:p>
        </w:tc>
        <w:tc>
          <w:tcPr>
            <w:tcW w:w="454" w:type="pct"/>
            <w:tcBorders>
              <w:top w:val="single" w:sz="4" w:space="0" w:color="auto"/>
              <w:left w:val="single" w:sz="4" w:space="0" w:color="auto"/>
              <w:bottom w:val="single" w:sz="4" w:space="0" w:color="auto"/>
              <w:right w:val="single" w:sz="4" w:space="0" w:color="auto"/>
            </w:tcBorders>
          </w:tcPr>
          <w:p w14:paraId="6641765E" w14:textId="77777777" w:rsidR="0057187E" w:rsidRPr="00800B07" w:rsidRDefault="0057187E" w:rsidP="0057187E">
            <w:pPr>
              <w:spacing w:after="0"/>
              <w:rPr>
                <w:rFonts w:cstheme="minorHAnsi"/>
                <w:sz w:val="18"/>
                <w:szCs w:val="18"/>
              </w:rPr>
            </w:pPr>
            <w:r w:rsidRPr="00800B07">
              <w:rPr>
                <w:rFonts w:cstheme="minorHAnsi"/>
                <w:sz w:val="18"/>
                <w:szCs w:val="18"/>
                <w:lang w:val="fr-BE"/>
              </w:rPr>
              <w:t>12 (85</w:t>
            </w:r>
            <w:r>
              <w:rPr>
                <w:rFonts w:cstheme="minorHAnsi"/>
                <w:sz w:val="18"/>
                <w:szCs w:val="18"/>
                <w:lang w:val="fr-BE"/>
              </w:rPr>
              <w:t>.</w:t>
            </w:r>
            <w:r w:rsidRPr="00800B07">
              <w:rPr>
                <w:rFonts w:cstheme="minorHAnsi"/>
                <w:sz w:val="18"/>
                <w:szCs w:val="18"/>
                <w:lang w:val="fr-BE"/>
              </w:rPr>
              <w:t>7%)</w:t>
            </w:r>
          </w:p>
        </w:tc>
        <w:tc>
          <w:tcPr>
            <w:tcW w:w="454" w:type="pct"/>
            <w:tcBorders>
              <w:top w:val="single" w:sz="4" w:space="0" w:color="auto"/>
              <w:left w:val="single" w:sz="4" w:space="0" w:color="auto"/>
              <w:bottom w:val="single" w:sz="4" w:space="0" w:color="auto"/>
              <w:right w:val="single" w:sz="4" w:space="0" w:color="auto"/>
            </w:tcBorders>
          </w:tcPr>
          <w:p w14:paraId="7866DCF8" w14:textId="77777777" w:rsidR="0057187E" w:rsidRPr="00800B07" w:rsidRDefault="0057187E" w:rsidP="0057187E">
            <w:pPr>
              <w:spacing w:after="0"/>
              <w:rPr>
                <w:rFonts w:cstheme="minorHAnsi"/>
                <w:sz w:val="18"/>
                <w:szCs w:val="18"/>
                <w:lang w:val="fr-BE"/>
              </w:rPr>
            </w:pPr>
            <w:r w:rsidRPr="00800B07">
              <w:rPr>
                <w:rFonts w:cstheme="minorHAnsi"/>
                <w:sz w:val="18"/>
                <w:szCs w:val="18"/>
              </w:rPr>
              <w:t>8 (72</w:t>
            </w:r>
            <w:r>
              <w:rPr>
                <w:rFonts w:cstheme="minorHAnsi"/>
                <w:sz w:val="18"/>
                <w:szCs w:val="18"/>
              </w:rPr>
              <w:t>.</w:t>
            </w:r>
            <w:r w:rsidRPr="00800B07">
              <w:rPr>
                <w:rFonts w:cstheme="minorHAnsi"/>
                <w:sz w:val="18"/>
                <w:szCs w:val="18"/>
              </w:rPr>
              <w:t>7%)</w:t>
            </w:r>
          </w:p>
        </w:tc>
        <w:tc>
          <w:tcPr>
            <w:tcW w:w="458" w:type="pct"/>
            <w:tcBorders>
              <w:top w:val="single" w:sz="4" w:space="0" w:color="auto"/>
              <w:left w:val="single" w:sz="4" w:space="0" w:color="auto"/>
              <w:bottom w:val="single" w:sz="4" w:space="0" w:color="auto"/>
              <w:right w:val="single" w:sz="4" w:space="0" w:color="auto"/>
            </w:tcBorders>
          </w:tcPr>
          <w:p w14:paraId="1D381AB8"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7 (70</w:t>
            </w:r>
            <w:r>
              <w:rPr>
                <w:rFonts w:cstheme="minorHAnsi"/>
                <w:sz w:val="18"/>
                <w:szCs w:val="18"/>
                <w:lang w:val="fr-BE"/>
              </w:rPr>
              <w:t>.</w:t>
            </w:r>
            <w:r w:rsidRPr="00800B07">
              <w:rPr>
                <w:rFonts w:cstheme="minorHAnsi"/>
                <w:sz w:val="18"/>
                <w:szCs w:val="18"/>
                <w:lang w:val="fr-BE"/>
              </w:rPr>
              <w:t>0%)</w:t>
            </w:r>
          </w:p>
        </w:tc>
      </w:tr>
      <w:tr w:rsidR="0057187E" w:rsidRPr="00800B07" w14:paraId="5F282011" w14:textId="77777777" w:rsidTr="0057187E">
        <w:trPr>
          <w:trHeight w:val="20"/>
        </w:trPr>
        <w:tc>
          <w:tcPr>
            <w:tcW w:w="1409" w:type="pct"/>
            <w:tcBorders>
              <w:top w:val="single" w:sz="4" w:space="0" w:color="auto"/>
              <w:left w:val="single" w:sz="4" w:space="0" w:color="auto"/>
              <w:bottom w:val="single" w:sz="4" w:space="0" w:color="auto"/>
              <w:right w:val="single" w:sz="12" w:space="0" w:color="auto"/>
            </w:tcBorders>
            <w:hideMark/>
          </w:tcPr>
          <w:p w14:paraId="384851D6"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 xml:space="preserve">Low urinary output, n(%)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49785AD4" w14:textId="77777777" w:rsidR="0057187E" w:rsidRPr="00800B07" w:rsidRDefault="0057187E" w:rsidP="0057187E">
            <w:pPr>
              <w:spacing w:after="0"/>
              <w:rPr>
                <w:rFonts w:cstheme="minorHAnsi"/>
                <w:sz w:val="18"/>
                <w:szCs w:val="18"/>
              </w:rPr>
            </w:pPr>
            <w:r w:rsidRPr="00800B07">
              <w:rPr>
                <w:rFonts w:cstheme="minorHAnsi"/>
                <w:sz w:val="18"/>
                <w:szCs w:val="18"/>
              </w:rPr>
              <w:t>493 (59</w:t>
            </w:r>
            <w:r>
              <w:rPr>
                <w:rFonts w:cstheme="minorHAnsi"/>
                <w:sz w:val="18"/>
                <w:szCs w:val="18"/>
              </w:rPr>
              <w:t>.</w:t>
            </w:r>
            <w:r w:rsidRPr="00800B07">
              <w:rPr>
                <w:rFonts w:cstheme="minorHAnsi"/>
                <w:sz w:val="18"/>
                <w:szCs w:val="18"/>
              </w:rPr>
              <w:t>0%)</w:t>
            </w:r>
          </w:p>
        </w:tc>
        <w:tc>
          <w:tcPr>
            <w:tcW w:w="454" w:type="pct"/>
            <w:tcBorders>
              <w:top w:val="single" w:sz="4" w:space="0" w:color="auto"/>
              <w:left w:val="single" w:sz="12" w:space="0" w:color="auto"/>
              <w:bottom w:val="single" w:sz="4" w:space="0" w:color="auto"/>
              <w:right w:val="single" w:sz="4" w:space="0" w:color="auto"/>
            </w:tcBorders>
          </w:tcPr>
          <w:p w14:paraId="294159EC" w14:textId="77777777" w:rsidR="0057187E" w:rsidRPr="00800B07" w:rsidRDefault="0057187E" w:rsidP="0057187E">
            <w:pPr>
              <w:spacing w:after="0"/>
              <w:rPr>
                <w:rFonts w:cstheme="minorHAnsi"/>
                <w:sz w:val="18"/>
                <w:szCs w:val="18"/>
              </w:rPr>
            </w:pPr>
            <w:r w:rsidRPr="00800B07">
              <w:rPr>
                <w:rFonts w:cstheme="minorHAnsi"/>
                <w:sz w:val="18"/>
                <w:szCs w:val="18"/>
                <w:lang w:val="fr-BE"/>
              </w:rPr>
              <w:t>224 (60</w:t>
            </w:r>
            <w:r>
              <w:rPr>
                <w:rFonts w:cstheme="minorHAnsi"/>
                <w:sz w:val="18"/>
                <w:szCs w:val="18"/>
                <w:lang w:val="fr-BE"/>
              </w:rPr>
              <w:t>.</w:t>
            </w:r>
            <w:r w:rsidRPr="00800B07">
              <w:rPr>
                <w:rFonts w:cstheme="minorHAnsi"/>
                <w:sz w:val="18"/>
                <w:szCs w:val="18"/>
                <w:lang w:val="fr-BE"/>
              </w:rPr>
              <w:t>5%)</w:t>
            </w:r>
          </w:p>
        </w:tc>
        <w:tc>
          <w:tcPr>
            <w:tcW w:w="454" w:type="pct"/>
            <w:tcBorders>
              <w:top w:val="single" w:sz="4" w:space="0" w:color="auto"/>
              <w:left w:val="single" w:sz="4" w:space="0" w:color="auto"/>
              <w:bottom w:val="single" w:sz="4" w:space="0" w:color="auto"/>
              <w:right w:val="single" w:sz="4" w:space="0" w:color="auto"/>
            </w:tcBorders>
          </w:tcPr>
          <w:p w14:paraId="4B238395"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18 (48</w:t>
            </w:r>
            <w:r>
              <w:rPr>
                <w:rFonts w:cstheme="minorHAnsi"/>
                <w:sz w:val="18"/>
                <w:szCs w:val="18"/>
                <w:lang w:val="fr-BE"/>
              </w:rPr>
              <w:t>.</w:t>
            </w:r>
            <w:r w:rsidRPr="00800B07">
              <w:rPr>
                <w:rFonts w:cstheme="minorHAnsi"/>
                <w:sz w:val="18"/>
                <w:szCs w:val="18"/>
                <w:lang w:val="fr-BE"/>
              </w:rPr>
              <w:t>7%)</w:t>
            </w:r>
          </w:p>
        </w:tc>
        <w:tc>
          <w:tcPr>
            <w:tcW w:w="455" w:type="pct"/>
            <w:tcBorders>
              <w:top w:val="single" w:sz="4" w:space="0" w:color="auto"/>
              <w:left w:val="single" w:sz="4" w:space="0" w:color="auto"/>
              <w:bottom w:val="single" w:sz="4" w:space="0" w:color="auto"/>
              <w:right w:val="single" w:sz="4" w:space="0" w:color="auto"/>
            </w:tcBorders>
          </w:tcPr>
          <w:p w14:paraId="2C7BC498" w14:textId="77777777" w:rsidR="0057187E" w:rsidRPr="00800B07" w:rsidRDefault="0057187E" w:rsidP="0057187E">
            <w:pPr>
              <w:spacing w:after="0"/>
              <w:rPr>
                <w:rFonts w:cstheme="minorHAnsi"/>
                <w:sz w:val="18"/>
                <w:szCs w:val="18"/>
                <w:lang w:val="fr-BE"/>
              </w:rPr>
            </w:pPr>
            <w:r w:rsidRPr="00800B07">
              <w:rPr>
                <w:rFonts w:cstheme="minorHAnsi"/>
                <w:sz w:val="18"/>
                <w:szCs w:val="18"/>
              </w:rPr>
              <w:t>9 (42</w:t>
            </w:r>
            <w:r>
              <w:rPr>
                <w:rFonts w:cstheme="minorHAnsi"/>
                <w:sz w:val="18"/>
                <w:szCs w:val="18"/>
              </w:rPr>
              <w:t>.</w:t>
            </w:r>
            <w:r w:rsidRPr="00800B07">
              <w:rPr>
                <w:rFonts w:cstheme="minorHAnsi"/>
                <w:sz w:val="18"/>
                <w:szCs w:val="18"/>
              </w:rPr>
              <w:t>9%)</w:t>
            </w:r>
          </w:p>
        </w:tc>
        <w:tc>
          <w:tcPr>
            <w:tcW w:w="454" w:type="pct"/>
            <w:tcBorders>
              <w:top w:val="single" w:sz="4" w:space="0" w:color="auto"/>
              <w:left w:val="single" w:sz="4" w:space="0" w:color="auto"/>
              <w:bottom w:val="single" w:sz="4" w:space="0" w:color="auto"/>
              <w:right w:val="single" w:sz="4" w:space="0" w:color="auto"/>
            </w:tcBorders>
          </w:tcPr>
          <w:p w14:paraId="2331D06A"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9 (47</w:t>
            </w:r>
            <w:r>
              <w:rPr>
                <w:rFonts w:cstheme="minorHAnsi"/>
                <w:sz w:val="18"/>
                <w:szCs w:val="18"/>
                <w:lang w:val="fr-BE"/>
              </w:rPr>
              <w:t>.</w:t>
            </w:r>
            <w:r w:rsidRPr="00800B07">
              <w:rPr>
                <w:rFonts w:cstheme="minorHAnsi"/>
                <w:sz w:val="18"/>
                <w:szCs w:val="18"/>
                <w:lang w:val="fr-BE"/>
              </w:rPr>
              <w:t>4%)</w:t>
            </w:r>
          </w:p>
        </w:tc>
        <w:tc>
          <w:tcPr>
            <w:tcW w:w="454" w:type="pct"/>
            <w:tcBorders>
              <w:top w:val="single" w:sz="4" w:space="0" w:color="auto"/>
              <w:left w:val="single" w:sz="4" w:space="0" w:color="auto"/>
              <w:bottom w:val="single" w:sz="4" w:space="0" w:color="auto"/>
              <w:right w:val="single" w:sz="4" w:space="0" w:color="auto"/>
            </w:tcBorders>
          </w:tcPr>
          <w:p w14:paraId="49153A24" w14:textId="77777777" w:rsidR="0057187E" w:rsidRPr="00800B07" w:rsidRDefault="0057187E" w:rsidP="0057187E">
            <w:pPr>
              <w:spacing w:after="0"/>
              <w:rPr>
                <w:rFonts w:cstheme="minorHAnsi"/>
                <w:sz w:val="18"/>
                <w:szCs w:val="18"/>
              </w:rPr>
            </w:pPr>
            <w:r w:rsidRPr="00800B07">
              <w:rPr>
                <w:rFonts w:cstheme="minorHAnsi"/>
                <w:sz w:val="18"/>
                <w:szCs w:val="18"/>
                <w:lang w:val="fr-BE"/>
              </w:rPr>
              <w:t>8 (57</w:t>
            </w:r>
            <w:r>
              <w:rPr>
                <w:rFonts w:cstheme="minorHAnsi"/>
                <w:sz w:val="18"/>
                <w:szCs w:val="18"/>
                <w:lang w:val="fr-BE"/>
              </w:rPr>
              <w:t>.</w:t>
            </w:r>
            <w:r w:rsidRPr="00800B07">
              <w:rPr>
                <w:rFonts w:cstheme="minorHAnsi"/>
                <w:sz w:val="18"/>
                <w:szCs w:val="18"/>
                <w:lang w:val="fr-BE"/>
              </w:rPr>
              <w:t>1%)</w:t>
            </w:r>
          </w:p>
        </w:tc>
        <w:tc>
          <w:tcPr>
            <w:tcW w:w="454" w:type="pct"/>
            <w:tcBorders>
              <w:top w:val="single" w:sz="4" w:space="0" w:color="auto"/>
              <w:left w:val="single" w:sz="4" w:space="0" w:color="auto"/>
              <w:bottom w:val="single" w:sz="4" w:space="0" w:color="auto"/>
              <w:right w:val="single" w:sz="4" w:space="0" w:color="auto"/>
            </w:tcBorders>
          </w:tcPr>
          <w:p w14:paraId="4E64436E" w14:textId="77777777" w:rsidR="0057187E" w:rsidRPr="00800B07" w:rsidRDefault="0057187E" w:rsidP="0057187E">
            <w:pPr>
              <w:spacing w:after="0"/>
              <w:rPr>
                <w:rFonts w:cstheme="minorHAnsi"/>
                <w:sz w:val="18"/>
                <w:szCs w:val="18"/>
                <w:lang w:val="fr-BE"/>
              </w:rPr>
            </w:pPr>
            <w:r w:rsidRPr="00800B07">
              <w:rPr>
                <w:rFonts w:cstheme="minorHAnsi"/>
                <w:sz w:val="18"/>
                <w:szCs w:val="18"/>
              </w:rPr>
              <w:t>5 (45</w:t>
            </w:r>
            <w:r>
              <w:rPr>
                <w:rFonts w:cstheme="minorHAnsi"/>
                <w:sz w:val="18"/>
                <w:szCs w:val="18"/>
              </w:rPr>
              <w:t>.</w:t>
            </w:r>
            <w:r w:rsidRPr="00800B07">
              <w:rPr>
                <w:rFonts w:cstheme="minorHAnsi"/>
                <w:sz w:val="18"/>
                <w:szCs w:val="18"/>
              </w:rPr>
              <w:t>5%)</w:t>
            </w:r>
          </w:p>
        </w:tc>
        <w:tc>
          <w:tcPr>
            <w:tcW w:w="458" w:type="pct"/>
            <w:tcBorders>
              <w:top w:val="single" w:sz="4" w:space="0" w:color="auto"/>
              <w:left w:val="single" w:sz="4" w:space="0" w:color="auto"/>
              <w:bottom w:val="single" w:sz="4" w:space="0" w:color="auto"/>
              <w:right w:val="single" w:sz="4" w:space="0" w:color="auto"/>
            </w:tcBorders>
          </w:tcPr>
          <w:p w14:paraId="777BB052"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3 (30</w:t>
            </w:r>
            <w:r>
              <w:rPr>
                <w:rFonts w:cstheme="minorHAnsi"/>
                <w:sz w:val="18"/>
                <w:szCs w:val="18"/>
                <w:lang w:val="fr-BE"/>
              </w:rPr>
              <w:t>.</w:t>
            </w:r>
            <w:r w:rsidRPr="00800B07">
              <w:rPr>
                <w:rFonts w:cstheme="minorHAnsi"/>
                <w:sz w:val="18"/>
                <w:szCs w:val="18"/>
                <w:lang w:val="fr-BE"/>
              </w:rPr>
              <w:t>0%)</w:t>
            </w:r>
          </w:p>
        </w:tc>
      </w:tr>
      <w:tr w:rsidR="0057187E" w:rsidRPr="00800B07" w14:paraId="37896E86" w14:textId="77777777" w:rsidTr="0057187E">
        <w:trPr>
          <w:trHeight w:val="20"/>
        </w:trPr>
        <w:tc>
          <w:tcPr>
            <w:tcW w:w="1409" w:type="pct"/>
            <w:tcBorders>
              <w:top w:val="single" w:sz="4" w:space="0" w:color="auto"/>
              <w:left w:val="single" w:sz="4" w:space="0" w:color="auto"/>
              <w:bottom w:val="single" w:sz="4" w:space="0" w:color="auto"/>
              <w:right w:val="single" w:sz="12" w:space="0" w:color="auto"/>
            </w:tcBorders>
            <w:hideMark/>
          </w:tcPr>
          <w:p w14:paraId="216303C5"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 xml:space="preserve">Hypocitraturia, n(%)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6E945D01" w14:textId="77777777" w:rsidR="0057187E" w:rsidRPr="00800B07" w:rsidRDefault="0057187E" w:rsidP="0057187E">
            <w:pPr>
              <w:spacing w:after="0"/>
              <w:rPr>
                <w:rFonts w:cstheme="minorHAnsi"/>
                <w:sz w:val="18"/>
                <w:szCs w:val="18"/>
              </w:rPr>
            </w:pPr>
            <w:r w:rsidRPr="00800B07">
              <w:rPr>
                <w:rFonts w:cstheme="minorHAnsi"/>
                <w:sz w:val="18"/>
                <w:szCs w:val="18"/>
              </w:rPr>
              <w:t>167 (20</w:t>
            </w:r>
            <w:r>
              <w:rPr>
                <w:rFonts w:cstheme="minorHAnsi"/>
                <w:sz w:val="18"/>
                <w:szCs w:val="18"/>
              </w:rPr>
              <w:t>.</w:t>
            </w:r>
            <w:r w:rsidRPr="00800B07">
              <w:rPr>
                <w:rFonts w:cstheme="minorHAnsi"/>
                <w:sz w:val="18"/>
                <w:szCs w:val="18"/>
              </w:rPr>
              <w:t>0%)</w:t>
            </w:r>
          </w:p>
        </w:tc>
        <w:tc>
          <w:tcPr>
            <w:tcW w:w="454" w:type="pct"/>
            <w:tcBorders>
              <w:top w:val="single" w:sz="4" w:space="0" w:color="auto"/>
              <w:left w:val="single" w:sz="12" w:space="0" w:color="auto"/>
              <w:bottom w:val="single" w:sz="4" w:space="0" w:color="auto"/>
              <w:right w:val="single" w:sz="4" w:space="0" w:color="auto"/>
            </w:tcBorders>
          </w:tcPr>
          <w:p w14:paraId="4CC0D14B" w14:textId="77777777" w:rsidR="0057187E" w:rsidRPr="00800B07" w:rsidRDefault="0057187E" w:rsidP="0057187E">
            <w:pPr>
              <w:spacing w:after="0"/>
              <w:rPr>
                <w:rFonts w:cstheme="minorHAnsi"/>
                <w:sz w:val="18"/>
                <w:szCs w:val="18"/>
              </w:rPr>
            </w:pPr>
            <w:r w:rsidRPr="00800B07">
              <w:rPr>
                <w:rFonts w:cstheme="minorHAnsi"/>
                <w:sz w:val="18"/>
                <w:szCs w:val="18"/>
                <w:lang w:val="fr-BE"/>
              </w:rPr>
              <w:t>63 (17</w:t>
            </w:r>
            <w:r>
              <w:rPr>
                <w:rFonts w:cstheme="minorHAnsi"/>
                <w:sz w:val="18"/>
                <w:szCs w:val="18"/>
                <w:lang w:val="fr-BE"/>
              </w:rPr>
              <w:t>.</w:t>
            </w:r>
            <w:r w:rsidRPr="00800B07">
              <w:rPr>
                <w:rFonts w:cstheme="minorHAnsi"/>
                <w:sz w:val="18"/>
                <w:szCs w:val="18"/>
                <w:lang w:val="fr-BE"/>
              </w:rPr>
              <w:t>0%)</w:t>
            </w:r>
          </w:p>
        </w:tc>
        <w:tc>
          <w:tcPr>
            <w:tcW w:w="454" w:type="pct"/>
            <w:tcBorders>
              <w:top w:val="single" w:sz="4" w:space="0" w:color="auto"/>
              <w:left w:val="single" w:sz="4" w:space="0" w:color="auto"/>
              <w:bottom w:val="single" w:sz="4" w:space="0" w:color="auto"/>
              <w:right w:val="single" w:sz="4" w:space="0" w:color="auto"/>
            </w:tcBorders>
          </w:tcPr>
          <w:p w14:paraId="1C2A13AC"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7 (18</w:t>
            </w:r>
            <w:r>
              <w:rPr>
                <w:rFonts w:cstheme="minorHAnsi"/>
                <w:sz w:val="18"/>
                <w:szCs w:val="18"/>
                <w:lang w:val="fr-BE"/>
              </w:rPr>
              <w:t>.</w:t>
            </w:r>
            <w:r w:rsidRPr="00800B07">
              <w:rPr>
                <w:rFonts w:cstheme="minorHAnsi"/>
                <w:sz w:val="18"/>
                <w:szCs w:val="18"/>
                <w:lang w:val="fr-BE"/>
              </w:rPr>
              <w:t>9%)</w:t>
            </w:r>
          </w:p>
        </w:tc>
        <w:tc>
          <w:tcPr>
            <w:tcW w:w="455" w:type="pct"/>
            <w:tcBorders>
              <w:top w:val="single" w:sz="4" w:space="0" w:color="auto"/>
              <w:left w:val="single" w:sz="4" w:space="0" w:color="auto"/>
              <w:bottom w:val="single" w:sz="4" w:space="0" w:color="auto"/>
              <w:right w:val="single" w:sz="4" w:space="0" w:color="auto"/>
            </w:tcBorders>
          </w:tcPr>
          <w:p w14:paraId="154176C4" w14:textId="77777777" w:rsidR="0057187E" w:rsidRPr="00800B07" w:rsidRDefault="0057187E" w:rsidP="0057187E">
            <w:pPr>
              <w:spacing w:after="0"/>
              <w:rPr>
                <w:rFonts w:cstheme="minorHAnsi"/>
                <w:sz w:val="18"/>
                <w:szCs w:val="18"/>
                <w:lang w:val="fr-BE"/>
              </w:rPr>
            </w:pPr>
            <w:r w:rsidRPr="00800B07">
              <w:rPr>
                <w:rFonts w:cstheme="minorHAnsi"/>
                <w:sz w:val="18"/>
                <w:szCs w:val="18"/>
              </w:rPr>
              <w:t>1 (4</w:t>
            </w:r>
            <w:r>
              <w:rPr>
                <w:rFonts w:cstheme="minorHAnsi"/>
                <w:sz w:val="18"/>
                <w:szCs w:val="18"/>
              </w:rPr>
              <w:t>.</w:t>
            </w:r>
            <w:r w:rsidRPr="00800B07">
              <w:rPr>
                <w:rFonts w:cstheme="minorHAnsi"/>
                <w:sz w:val="18"/>
                <w:szCs w:val="18"/>
              </w:rPr>
              <w:t>8%)</w:t>
            </w:r>
          </w:p>
        </w:tc>
        <w:tc>
          <w:tcPr>
            <w:tcW w:w="454" w:type="pct"/>
            <w:tcBorders>
              <w:top w:val="single" w:sz="4" w:space="0" w:color="auto"/>
              <w:left w:val="single" w:sz="4" w:space="0" w:color="auto"/>
              <w:bottom w:val="single" w:sz="4" w:space="0" w:color="auto"/>
              <w:right w:val="single" w:sz="4" w:space="0" w:color="auto"/>
            </w:tcBorders>
          </w:tcPr>
          <w:p w14:paraId="0B760969"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2 (10</w:t>
            </w:r>
            <w:r>
              <w:rPr>
                <w:rFonts w:cstheme="minorHAnsi"/>
                <w:sz w:val="18"/>
                <w:szCs w:val="18"/>
                <w:lang w:val="fr-BE"/>
              </w:rPr>
              <w:t>.</w:t>
            </w:r>
            <w:r w:rsidRPr="00800B07">
              <w:rPr>
                <w:rFonts w:cstheme="minorHAnsi"/>
                <w:sz w:val="18"/>
                <w:szCs w:val="18"/>
                <w:lang w:val="fr-BE"/>
              </w:rPr>
              <w:t>5%)</w:t>
            </w:r>
          </w:p>
        </w:tc>
        <w:tc>
          <w:tcPr>
            <w:tcW w:w="454" w:type="pct"/>
            <w:tcBorders>
              <w:top w:val="single" w:sz="4" w:space="0" w:color="auto"/>
              <w:left w:val="single" w:sz="4" w:space="0" w:color="auto"/>
              <w:bottom w:val="single" w:sz="4" w:space="0" w:color="auto"/>
              <w:right w:val="single" w:sz="4" w:space="0" w:color="auto"/>
            </w:tcBorders>
          </w:tcPr>
          <w:p w14:paraId="4A53AA34" w14:textId="77777777" w:rsidR="0057187E" w:rsidRPr="00800B07" w:rsidRDefault="0057187E" w:rsidP="0057187E">
            <w:pPr>
              <w:spacing w:after="0"/>
              <w:rPr>
                <w:rFonts w:cstheme="minorHAnsi"/>
                <w:sz w:val="18"/>
                <w:szCs w:val="18"/>
              </w:rPr>
            </w:pPr>
            <w:r w:rsidRPr="00800B07">
              <w:rPr>
                <w:rFonts w:cstheme="minorHAnsi"/>
                <w:sz w:val="18"/>
                <w:szCs w:val="18"/>
                <w:lang w:val="fr-BE"/>
              </w:rPr>
              <w:t>5 (35</w:t>
            </w:r>
            <w:r>
              <w:rPr>
                <w:rFonts w:cstheme="minorHAnsi"/>
                <w:sz w:val="18"/>
                <w:szCs w:val="18"/>
                <w:lang w:val="fr-BE"/>
              </w:rPr>
              <w:t>.</w:t>
            </w:r>
            <w:r w:rsidRPr="00800B07">
              <w:rPr>
                <w:rFonts w:cstheme="minorHAnsi"/>
                <w:sz w:val="18"/>
                <w:szCs w:val="18"/>
                <w:lang w:val="fr-BE"/>
              </w:rPr>
              <w:t>7%)</w:t>
            </w:r>
          </w:p>
        </w:tc>
        <w:tc>
          <w:tcPr>
            <w:tcW w:w="454" w:type="pct"/>
            <w:tcBorders>
              <w:top w:val="single" w:sz="4" w:space="0" w:color="auto"/>
              <w:left w:val="single" w:sz="4" w:space="0" w:color="auto"/>
              <w:bottom w:val="single" w:sz="4" w:space="0" w:color="auto"/>
              <w:right w:val="single" w:sz="4" w:space="0" w:color="auto"/>
            </w:tcBorders>
          </w:tcPr>
          <w:p w14:paraId="06B57B6A" w14:textId="77777777" w:rsidR="0057187E" w:rsidRPr="00800B07" w:rsidRDefault="0057187E" w:rsidP="0057187E">
            <w:pPr>
              <w:spacing w:after="0"/>
              <w:rPr>
                <w:rFonts w:cstheme="minorHAnsi"/>
                <w:sz w:val="18"/>
                <w:szCs w:val="18"/>
                <w:lang w:val="fr-BE"/>
              </w:rPr>
            </w:pPr>
            <w:r w:rsidRPr="00800B07">
              <w:rPr>
                <w:rFonts w:cstheme="minorHAnsi"/>
                <w:sz w:val="18"/>
                <w:szCs w:val="18"/>
              </w:rPr>
              <w:t>7 (63</w:t>
            </w:r>
            <w:r>
              <w:rPr>
                <w:rFonts w:cstheme="minorHAnsi"/>
                <w:sz w:val="18"/>
                <w:szCs w:val="18"/>
              </w:rPr>
              <w:t>.</w:t>
            </w:r>
            <w:r w:rsidRPr="00800B07">
              <w:rPr>
                <w:rFonts w:cstheme="minorHAnsi"/>
                <w:sz w:val="18"/>
                <w:szCs w:val="18"/>
              </w:rPr>
              <w:t>6%)</w:t>
            </w:r>
          </w:p>
        </w:tc>
        <w:tc>
          <w:tcPr>
            <w:tcW w:w="458" w:type="pct"/>
            <w:tcBorders>
              <w:top w:val="single" w:sz="4" w:space="0" w:color="auto"/>
              <w:left w:val="single" w:sz="4" w:space="0" w:color="auto"/>
              <w:bottom w:val="single" w:sz="4" w:space="0" w:color="auto"/>
              <w:right w:val="single" w:sz="4" w:space="0" w:color="auto"/>
            </w:tcBorders>
          </w:tcPr>
          <w:p w14:paraId="7B4C41E8"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3 (30</w:t>
            </w:r>
            <w:r>
              <w:rPr>
                <w:rFonts w:cstheme="minorHAnsi"/>
                <w:sz w:val="18"/>
                <w:szCs w:val="18"/>
                <w:lang w:val="fr-BE"/>
              </w:rPr>
              <w:t>.</w:t>
            </w:r>
            <w:r w:rsidRPr="00800B07">
              <w:rPr>
                <w:rFonts w:cstheme="minorHAnsi"/>
                <w:sz w:val="18"/>
                <w:szCs w:val="18"/>
                <w:lang w:val="fr-BE"/>
              </w:rPr>
              <w:t>0%)</w:t>
            </w:r>
          </w:p>
        </w:tc>
      </w:tr>
      <w:tr w:rsidR="0057187E" w:rsidRPr="00800B07" w14:paraId="54FC0665" w14:textId="77777777" w:rsidTr="0057187E">
        <w:trPr>
          <w:trHeight w:val="20"/>
        </w:trPr>
        <w:tc>
          <w:tcPr>
            <w:tcW w:w="1409" w:type="pct"/>
            <w:tcBorders>
              <w:top w:val="single" w:sz="4" w:space="0" w:color="auto"/>
              <w:left w:val="single" w:sz="4" w:space="0" w:color="auto"/>
              <w:bottom w:val="single" w:sz="4" w:space="0" w:color="auto"/>
              <w:right w:val="single" w:sz="12" w:space="0" w:color="auto"/>
            </w:tcBorders>
            <w:hideMark/>
          </w:tcPr>
          <w:p w14:paraId="2E61CD4B" w14:textId="77777777" w:rsidR="0057187E" w:rsidRPr="00800B07" w:rsidRDefault="0057187E" w:rsidP="0057187E">
            <w:pPr>
              <w:spacing w:after="0"/>
              <w:rPr>
                <w:rFonts w:cstheme="minorHAnsi"/>
                <w:sz w:val="18"/>
                <w:szCs w:val="18"/>
                <w:lang w:val="en-GB"/>
              </w:rPr>
            </w:pPr>
            <w:r w:rsidRPr="00800B07">
              <w:rPr>
                <w:rFonts w:cstheme="minorHAnsi"/>
                <w:sz w:val="18"/>
                <w:szCs w:val="18"/>
                <w:lang w:val="en-GB"/>
              </w:rPr>
              <w:t xml:space="preserve">Low urinary pH, n(%)    </w:t>
            </w:r>
          </w:p>
        </w:tc>
        <w:tc>
          <w:tcPr>
            <w:tcW w:w="408" w:type="pct"/>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790D7C13" w14:textId="77777777" w:rsidR="0057187E" w:rsidRPr="00800B07" w:rsidRDefault="0057187E" w:rsidP="0057187E">
            <w:pPr>
              <w:spacing w:after="0"/>
              <w:rPr>
                <w:rFonts w:cstheme="minorHAnsi"/>
                <w:sz w:val="18"/>
                <w:szCs w:val="18"/>
              </w:rPr>
            </w:pPr>
            <w:r w:rsidRPr="00800B07">
              <w:rPr>
                <w:rFonts w:cstheme="minorHAnsi"/>
                <w:sz w:val="18"/>
                <w:szCs w:val="18"/>
              </w:rPr>
              <w:t>233 (27</w:t>
            </w:r>
            <w:r>
              <w:rPr>
                <w:rFonts w:cstheme="minorHAnsi"/>
                <w:sz w:val="18"/>
                <w:szCs w:val="18"/>
              </w:rPr>
              <w:t>.</w:t>
            </w:r>
            <w:r w:rsidRPr="00800B07">
              <w:rPr>
                <w:rFonts w:cstheme="minorHAnsi"/>
                <w:sz w:val="18"/>
                <w:szCs w:val="18"/>
              </w:rPr>
              <w:t>9%)</w:t>
            </w:r>
          </w:p>
        </w:tc>
        <w:tc>
          <w:tcPr>
            <w:tcW w:w="454" w:type="pct"/>
            <w:tcBorders>
              <w:top w:val="single" w:sz="4" w:space="0" w:color="auto"/>
              <w:left w:val="single" w:sz="12" w:space="0" w:color="auto"/>
              <w:bottom w:val="single" w:sz="4" w:space="0" w:color="auto"/>
              <w:right w:val="single" w:sz="4" w:space="0" w:color="auto"/>
            </w:tcBorders>
            <w:hideMark/>
          </w:tcPr>
          <w:p w14:paraId="155DF032" w14:textId="77777777" w:rsidR="0057187E" w:rsidRPr="00800B07" w:rsidRDefault="0057187E" w:rsidP="0057187E">
            <w:pPr>
              <w:spacing w:after="0"/>
              <w:rPr>
                <w:rFonts w:cstheme="minorHAnsi"/>
                <w:sz w:val="18"/>
                <w:szCs w:val="18"/>
              </w:rPr>
            </w:pPr>
            <w:r w:rsidRPr="00800B07">
              <w:rPr>
                <w:rFonts w:cstheme="minorHAnsi"/>
                <w:sz w:val="18"/>
                <w:szCs w:val="18"/>
                <w:lang w:val="fr-BE"/>
              </w:rPr>
              <w:t>100 (27</w:t>
            </w:r>
            <w:r>
              <w:rPr>
                <w:rFonts w:cstheme="minorHAnsi"/>
                <w:sz w:val="18"/>
                <w:szCs w:val="18"/>
                <w:lang w:val="fr-BE"/>
              </w:rPr>
              <w:t>.</w:t>
            </w:r>
            <w:r w:rsidRPr="00800B07">
              <w:rPr>
                <w:rFonts w:cstheme="minorHAnsi"/>
                <w:sz w:val="18"/>
                <w:szCs w:val="18"/>
                <w:lang w:val="fr-BE"/>
              </w:rPr>
              <w:t>0%)</w:t>
            </w:r>
          </w:p>
        </w:tc>
        <w:tc>
          <w:tcPr>
            <w:tcW w:w="454" w:type="pct"/>
            <w:tcBorders>
              <w:top w:val="single" w:sz="4" w:space="0" w:color="auto"/>
              <w:left w:val="single" w:sz="4" w:space="0" w:color="auto"/>
              <w:bottom w:val="single" w:sz="4" w:space="0" w:color="auto"/>
              <w:right w:val="single" w:sz="4" w:space="0" w:color="auto"/>
            </w:tcBorders>
          </w:tcPr>
          <w:p w14:paraId="4FD47B6A"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21 (56</w:t>
            </w:r>
            <w:r>
              <w:rPr>
                <w:rFonts w:cstheme="minorHAnsi"/>
                <w:sz w:val="18"/>
                <w:szCs w:val="18"/>
                <w:lang w:val="fr-BE"/>
              </w:rPr>
              <w:t>.</w:t>
            </w:r>
            <w:r w:rsidRPr="00800B07">
              <w:rPr>
                <w:rFonts w:cstheme="minorHAnsi"/>
                <w:sz w:val="18"/>
                <w:szCs w:val="18"/>
                <w:lang w:val="fr-BE"/>
              </w:rPr>
              <w:t>8%)</w:t>
            </w:r>
          </w:p>
        </w:tc>
        <w:tc>
          <w:tcPr>
            <w:tcW w:w="455" w:type="pct"/>
            <w:tcBorders>
              <w:top w:val="single" w:sz="4" w:space="0" w:color="auto"/>
              <w:left w:val="single" w:sz="4" w:space="0" w:color="auto"/>
              <w:bottom w:val="single" w:sz="4" w:space="0" w:color="auto"/>
              <w:right w:val="single" w:sz="4" w:space="0" w:color="auto"/>
            </w:tcBorders>
          </w:tcPr>
          <w:p w14:paraId="258F75C4" w14:textId="77777777" w:rsidR="0057187E" w:rsidRPr="00800B07" w:rsidRDefault="0057187E" w:rsidP="0057187E">
            <w:pPr>
              <w:spacing w:after="0"/>
              <w:rPr>
                <w:rFonts w:cstheme="minorHAnsi"/>
                <w:sz w:val="18"/>
                <w:szCs w:val="18"/>
                <w:lang w:val="fr-BE"/>
              </w:rPr>
            </w:pPr>
            <w:r w:rsidRPr="00800B07">
              <w:rPr>
                <w:rFonts w:cstheme="minorHAnsi"/>
                <w:sz w:val="18"/>
                <w:szCs w:val="18"/>
              </w:rPr>
              <w:t>0</w:t>
            </w:r>
          </w:p>
        </w:tc>
        <w:tc>
          <w:tcPr>
            <w:tcW w:w="454" w:type="pct"/>
            <w:tcBorders>
              <w:top w:val="single" w:sz="4" w:space="0" w:color="auto"/>
              <w:left w:val="single" w:sz="4" w:space="0" w:color="auto"/>
              <w:bottom w:val="single" w:sz="4" w:space="0" w:color="auto"/>
              <w:right w:val="single" w:sz="4" w:space="0" w:color="auto"/>
            </w:tcBorders>
          </w:tcPr>
          <w:p w14:paraId="0BA59508" w14:textId="77777777" w:rsidR="0057187E" w:rsidRPr="00800B07" w:rsidRDefault="0057187E" w:rsidP="0057187E">
            <w:pPr>
              <w:spacing w:after="0"/>
              <w:rPr>
                <w:rFonts w:cstheme="minorHAnsi"/>
                <w:sz w:val="18"/>
                <w:szCs w:val="18"/>
                <w:lang w:val="fr-BE"/>
              </w:rPr>
            </w:pPr>
            <w:r w:rsidRPr="00800B07">
              <w:rPr>
                <w:rFonts w:cstheme="minorHAnsi"/>
                <w:sz w:val="18"/>
                <w:szCs w:val="18"/>
              </w:rPr>
              <w:t>1 (5</w:t>
            </w:r>
            <w:r>
              <w:rPr>
                <w:rFonts w:cstheme="minorHAnsi"/>
                <w:sz w:val="18"/>
                <w:szCs w:val="18"/>
              </w:rPr>
              <w:t>.</w:t>
            </w:r>
            <w:r w:rsidRPr="00800B07">
              <w:rPr>
                <w:rFonts w:cstheme="minorHAnsi"/>
                <w:sz w:val="18"/>
                <w:szCs w:val="18"/>
              </w:rPr>
              <w:t>3%)</w:t>
            </w:r>
          </w:p>
        </w:tc>
        <w:tc>
          <w:tcPr>
            <w:tcW w:w="454" w:type="pct"/>
            <w:tcBorders>
              <w:top w:val="single" w:sz="4" w:space="0" w:color="auto"/>
              <w:left w:val="single" w:sz="4" w:space="0" w:color="auto"/>
              <w:bottom w:val="single" w:sz="4" w:space="0" w:color="auto"/>
              <w:right w:val="single" w:sz="4" w:space="0" w:color="auto"/>
            </w:tcBorders>
            <w:hideMark/>
          </w:tcPr>
          <w:p w14:paraId="6A53098D" w14:textId="77777777" w:rsidR="0057187E" w:rsidRPr="00800B07" w:rsidRDefault="0057187E" w:rsidP="0057187E">
            <w:pPr>
              <w:spacing w:after="0"/>
              <w:rPr>
                <w:rFonts w:cstheme="minorHAnsi"/>
                <w:sz w:val="18"/>
                <w:szCs w:val="18"/>
              </w:rPr>
            </w:pPr>
            <w:r w:rsidRPr="00800B07">
              <w:rPr>
                <w:rFonts w:cstheme="minorHAnsi"/>
                <w:sz w:val="18"/>
                <w:szCs w:val="18"/>
                <w:lang w:val="fr-BE"/>
              </w:rPr>
              <w:t>0</w:t>
            </w:r>
          </w:p>
        </w:tc>
        <w:tc>
          <w:tcPr>
            <w:tcW w:w="454" w:type="pct"/>
            <w:tcBorders>
              <w:top w:val="single" w:sz="4" w:space="0" w:color="auto"/>
              <w:left w:val="single" w:sz="4" w:space="0" w:color="auto"/>
              <w:bottom w:val="single" w:sz="4" w:space="0" w:color="auto"/>
              <w:right w:val="single" w:sz="4" w:space="0" w:color="auto"/>
            </w:tcBorders>
          </w:tcPr>
          <w:p w14:paraId="0EA26887" w14:textId="77777777" w:rsidR="0057187E" w:rsidRPr="00800B07" w:rsidRDefault="0057187E" w:rsidP="0057187E">
            <w:pPr>
              <w:spacing w:after="0"/>
              <w:rPr>
                <w:rFonts w:cstheme="minorHAnsi"/>
                <w:sz w:val="18"/>
                <w:szCs w:val="18"/>
                <w:lang w:val="fr-BE"/>
              </w:rPr>
            </w:pPr>
            <w:r w:rsidRPr="00800B07">
              <w:rPr>
                <w:rFonts w:cstheme="minorHAnsi"/>
                <w:sz w:val="18"/>
                <w:szCs w:val="18"/>
              </w:rPr>
              <w:t>0</w:t>
            </w:r>
          </w:p>
        </w:tc>
        <w:tc>
          <w:tcPr>
            <w:tcW w:w="458" w:type="pct"/>
            <w:tcBorders>
              <w:top w:val="single" w:sz="4" w:space="0" w:color="auto"/>
              <w:left w:val="single" w:sz="4" w:space="0" w:color="auto"/>
              <w:bottom w:val="single" w:sz="4" w:space="0" w:color="auto"/>
              <w:right w:val="single" w:sz="4" w:space="0" w:color="auto"/>
            </w:tcBorders>
            <w:hideMark/>
          </w:tcPr>
          <w:p w14:paraId="0790B1A7" w14:textId="77777777" w:rsidR="0057187E" w:rsidRPr="00800B07" w:rsidRDefault="0057187E" w:rsidP="0057187E">
            <w:pPr>
              <w:spacing w:after="0"/>
              <w:rPr>
                <w:rFonts w:cstheme="minorHAnsi"/>
                <w:sz w:val="18"/>
                <w:szCs w:val="18"/>
                <w:lang w:val="fr-BE"/>
              </w:rPr>
            </w:pPr>
            <w:r w:rsidRPr="00800B07">
              <w:rPr>
                <w:rFonts w:cstheme="minorHAnsi"/>
                <w:sz w:val="18"/>
                <w:szCs w:val="18"/>
                <w:lang w:val="fr-BE"/>
              </w:rPr>
              <w:t>2 (20</w:t>
            </w:r>
            <w:r>
              <w:rPr>
                <w:rFonts w:cstheme="minorHAnsi"/>
                <w:sz w:val="18"/>
                <w:szCs w:val="18"/>
                <w:lang w:val="fr-BE"/>
              </w:rPr>
              <w:t>.</w:t>
            </w:r>
            <w:r w:rsidRPr="00800B07">
              <w:rPr>
                <w:rFonts w:cstheme="minorHAnsi"/>
                <w:sz w:val="18"/>
                <w:szCs w:val="18"/>
                <w:lang w:val="fr-BE"/>
              </w:rPr>
              <w:t>0%)</w:t>
            </w:r>
          </w:p>
        </w:tc>
      </w:tr>
    </w:tbl>
    <w:p w14:paraId="638E2968" w14:textId="77777777" w:rsidR="0057187E" w:rsidRPr="00800B07" w:rsidRDefault="0057187E" w:rsidP="0057187E">
      <w:pPr>
        <w:spacing w:after="0"/>
        <w:rPr>
          <w:sz w:val="20"/>
          <w:szCs w:val="20"/>
          <w:u w:val="single"/>
          <w:lang w:val="en-GB"/>
        </w:rPr>
      </w:pPr>
    </w:p>
    <w:p w14:paraId="5FD75704" w14:textId="77777777" w:rsidR="0057187E" w:rsidRPr="00800B07" w:rsidRDefault="0057187E" w:rsidP="0057187E">
      <w:pPr>
        <w:spacing w:after="0"/>
        <w:rPr>
          <w:sz w:val="20"/>
          <w:szCs w:val="20"/>
          <w:u w:val="single"/>
          <w:lang w:val="en-GB"/>
        </w:rPr>
      </w:pPr>
    </w:p>
    <w:p w14:paraId="6332254B" w14:textId="77777777" w:rsidR="0057187E" w:rsidRPr="00800B07" w:rsidRDefault="0057187E" w:rsidP="0057187E">
      <w:pPr>
        <w:spacing w:after="0"/>
        <w:rPr>
          <w:sz w:val="20"/>
          <w:szCs w:val="20"/>
          <w:u w:val="single"/>
          <w:lang w:val="en-GB"/>
        </w:rPr>
      </w:pPr>
    </w:p>
    <w:p w14:paraId="15CD9D38" w14:textId="387D1664" w:rsidR="0057187E" w:rsidRPr="00800B07" w:rsidRDefault="0057187E" w:rsidP="0057187E">
      <w:pPr>
        <w:spacing w:after="0"/>
        <w:rPr>
          <w:sz w:val="20"/>
          <w:szCs w:val="20"/>
          <w:lang w:val="en-GB"/>
        </w:rPr>
      </w:pPr>
      <w:r w:rsidRPr="00800B07">
        <w:rPr>
          <w:sz w:val="20"/>
          <w:szCs w:val="20"/>
          <w:u w:val="single"/>
          <w:lang w:val="en-GB"/>
        </w:rPr>
        <w:lastRenderedPageBreak/>
        <w:t>Table 7</w:t>
      </w:r>
      <w:r w:rsidRPr="00800B07">
        <w:rPr>
          <w:sz w:val="20"/>
          <w:szCs w:val="20"/>
          <w:lang w:val="en-GB"/>
        </w:rPr>
        <w:t>: mean urinary parameters pre-treatment in patients presenting urinary risk factors at baseline</w:t>
      </w:r>
    </w:p>
    <w:p w14:paraId="0C152133" w14:textId="77777777" w:rsidR="0057187E" w:rsidRPr="00800B07" w:rsidRDefault="0057187E" w:rsidP="0057187E">
      <w:pPr>
        <w:spacing w:after="0"/>
        <w:rPr>
          <w:b/>
          <w:bCs/>
          <w:sz w:val="18"/>
          <w:szCs w:val="18"/>
          <w:lang w:val="en-GB"/>
        </w:rPr>
      </w:pPr>
    </w:p>
    <w:tbl>
      <w:tblPr>
        <w:tblStyle w:val="Tabelraster"/>
        <w:tblW w:w="15208" w:type="dxa"/>
        <w:tblInd w:w="-602" w:type="dxa"/>
        <w:tblLook w:val="04A0" w:firstRow="1" w:lastRow="0" w:firstColumn="1" w:lastColumn="0" w:noHBand="0" w:noVBand="1"/>
      </w:tblPr>
      <w:tblGrid>
        <w:gridCol w:w="4320"/>
        <w:gridCol w:w="1361"/>
        <w:gridCol w:w="1361"/>
        <w:gridCol w:w="1361"/>
        <w:gridCol w:w="1361"/>
        <w:gridCol w:w="1361"/>
        <w:gridCol w:w="1361"/>
        <w:gridCol w:w="1361"/>
        <w:gridCol w:w="1361"/>
      </w:tblGrid>
      <w:tr w:rsidR="0057187E" w:rsidRPr="00800B07" w14:paraId="4C42DE4A" w14:textId="77777777" w:rsidTr="0057187E">
        <w:tc>
          <w:tcPr>
            <w:tcW w:w="4320" w:type="dxa"/>
            <w:tcBorders>
              <w:top w:val="nil"/>
              <w:left w:val="nil"/>
              <w:right w:val="single" w:sz="12" w:space="0" w:color="auto"/>
            </w:tcBorders>
            <w:shd w:val="clear" w:color="auto" w:fill="auto"/>
          </w:tcPr>
          <w:p w14:paraId="21A74951" w14:textId="77777777" w:rsidR="0057187E" w:rsidRPr="00800B07" w:rsidRDefault="0057187E" w:rsidP="0057187E">
            <w:pPr>
              <w:rPr>
                <w:sz w:val="18"/>
                <w:szCs w:val="18"/>
                <w:lang w:val="en-GB"/>
              </w:rPr>
            </w:pPr>
          </w:p>
        </w:tc>
        <w:tc>
          <w:tcPr>
            <w:tcW w:w="1361" w:type="dxa"/>
            <w:tcBorders>
              <w:left w:val="single" w:sz="12" w:space="0" w:color="auto"/>
            </w:tcBorders>
            <w:shd w:val="clear" w:color="auto" w:fill="000000" w:themeFill="text1"/>
          </w:tcPr>
          <w:p w14:paraId="29B46D36" w14:textId="77777777" w:rsidR="0057187E" w:rsidRPr="00800B07" w:rsidRDefault="0057187E" w:rsidP="0057187E">
            <w:pPr>
              <w:rPr>
                <w:sz w:val="18"/>
                <w:szCs w:val="18"/>
                <w:lang w:val="fr-BE"/>
              </w:rPr>
            </w:pPr>
            <w:r w:rsidRPr="00800B07">
              <w:rPr>
                <w:sz w:val="18"/>
                <w:szCs w:val="18"/>
                <w:lang w:val="fr-BE"/>
              </w:rPr>
              <w:t>Total study population</w:t>
            </w:r>
          </w:p>
        </w:tc>
        <w:tc>
          <w:tcPr>
            <w:tcW w:w="1361" w:type="dxa"/>
            <w:shd w:val="clear" w:color="auto" w:fill="000000" w:themeFill="text1"/>
          </w:tcPr>
          <w:p w14:paraId="09CE80B8" w14:textId="77777777" w:rsidR="0057187E" w:rsidRPr="00800B07" w:rsidRDefault="0057187E" w:rsidP="0057187E">
            <w:pPr>
              <w:rPr>
                <w:sz w:val="18"/>
                <w:szCs w:val="18"/>
                <w:lang w:val="fr-BE"/>
              </w:rPr>
            </w:pPr>
            <w:r w:rsidRPr="00800B07">
              <w:rPr>
                <w:sz w:val="18"/>
                <w:szCs w:val="18"/>
                <w:lang w:val="fr-BE"/>
              </w:rPr>
              <w:t>Calcium oxalate stones</w:t>
            </w:r>
          </w:p>
        </w:tc>
        <w:tc>
          <w:tcPr>
            <w:tcW w:w="1361" w:type="dxa"/>
            <w:shd w:val="clear" w:color="auto" w:fill="000000" w:themeFill="text1"/>
          </w:tcPr>
          <w:p w14:paraId="522CCCFD" w14:textId="77777777" w:rsidR="0057187E" w:rsidRPr="00800B07" w:rsidRDefault="0057187E" w:rsidP="0057187E">
            <w:pPr>
              <w:rPr>
                <w:sz w:val="18"/>
                <w:szCs w:val="18"/>
                <w:lang w:val="fr-BE"/>
              </w:rPr>
            </w:pPr>
            <w:proofErr w:type="spellStart"/>
            <w:r w:rsidRPr="00800B07">
              <w:rPr>
                <w:sz w:val="18"/>
                <w:szCs w:val="18"/>
                <w:lang w:val="fr-BE"/>
              </w:rPr>
              <w:t>Uric</w:t>
            </w:r>
            <w:proofErr w:type="spellEnd"/>
            <w:r w:rsidRPr="00800B07">
              <w:rPr>
                <w:sz w:val="18"/>
                <w:szCs w:val="18"/>
                <w:lang w:val="fr-BE"/>
              </w:rPr>
              <w:t xml:space="preserve"> </w:t>
            </w:r>
            <w:proofErr w:type="spellStart"/>
            <w:r w:rsidRPr="00800B07">
              <w:rPr>
                <w:sz w:val="18"/>
                <w:szCs w:val="18"/>
                <w:lang w:val="fr-BE"/>
              </w:rPr>
              <w:t>acid</w:t>
            </w:r>
            <w:proofErr w:type="spellEnd"/>
            <w:r w:rsidRPr="00800B07">
              <w:rPr>
                <w:sz w:val="18"/>
                <w:szCs w:val="18"/>
                <w:lang w:val="fr-BE"/>
              </w:rPr>
              <w:t xml:space="preserve">  stones</w:t>
            </w:r>
          </w:p>
        </w:tc>
        <w:tc>
          <w:tcPr>
            <w:tcW w:w="1361" w:type="dxa"/>
            <w:shd w:val="clear" w:color="auto" w:fill="000000" w:themeFill="text1"/>
          </w:tcPr>
          <w:p w14:paraId="1BC0DDF4" w14:textId="77777777" w:rsidR="0057187E" w:rsidRPr="00800B07" w:rsidRDefault="0057187E" w:rsidP="0057187E">
            <w:pPr>
              <w:rPr>
                <w:sz w:val="18"/>
                <w:szCs w:val="18"/>
                <w:lang w:val="fr-BE"/>
              </w:rPr>
            </w:pPr>
            <w:r w:rsidRPr="00800B07">
              <w:rPr>
                <w:sz w:val="18"/>
                <w:szCs w:val="18"/>
                <w:lang w:val="fr-BE"/>
              </w:rPr>
              <w:t>Cystine stones</w:t>
            </w:r>
          </w:p>
        </w:tc>
        <w:tc>
          <w:tcPr>
            <w:tcW w:w="1361" w:type="dxa"/>
            <w:shd w:val="clear" w:color="auto" w:fill="000000" w:themeFill="text1"/>
          </w:tcPr>
          <w:p w14:paraId="510F9D86" w14:textId="77777777" w:rsidR="0057187E" w:rsidRPr="00800B07" w:rsidRDefault="0057187E" w:rsidP="0057187E">
            <w:pPr>
              <w:rPr>
                <w:sz w:val="18"/>
                <w:szCs w:val="18"/>
                <w:lang w:val="fr-BE"/>
              </w:rPr>
            </w:pPr>
            <w:r w:rsidRPr="00800B07">
              <w:rPr>
                <w:sz w:val="18"/>
                <w:szCs w:val="18"/>
                <w:lang w:val="fr-BE"/>
              </w:rPr>
              <w:t xml:space="preserve">Mixed stones </w:t>
            </w:r>
          </w:p>
        </w:tc>
        <w:tc>
          <w:tcPr>
            <w:tcW w:w="1361" w:type="dxa"/>
            <w:shd w:val="clear" w:color="auto" w:fill="000000" w:themeFill="text1"/>
          </w:tcPr>
          <w:p w14:paraId="5F1B0D3F" w14:textId="77777777" w:rsidR="0057187E" w:rsidRPr="00800B07" w:rsidRDefault="0057187E" w:rsidP="0057187E">
            <w:pPr>
              <w:rPr>
                <w:sz w:val="18"/>
                <w:szCs w:val="18"/>
                <w:lang w:val="fr-BE"/>
              </w:rPr>
            </w:pPr>
            <w:r w:rsidRPr="00800B07">
              <w:rPr>
                <w:sz w:val="18"/>
                <w:szCs w:val="18"/>
                <w:lang w:val="fr-BE"/>
              </w:rPr>
              <w:t>Calcium phosphate stones</w:t>
            </w:r>
          </w:p>
        </w:tc>
        <w:tc>
          <w:tcPr>
            <w:tcW w:w="1361" w:type="dxa"/>
            <w:shd w:val="clear" w:color="auto" w:fill="000000" w:themeFill="text1"/>
          </w:tcPr>
          <w:p w14:paraId="2BD8157C" w14:textId="77777777" w:rsidR="0057187E" w:rsidRPr="00800B07" w:rsidRDefault="0057187E" w:rsidP="0057187E">
            <w:pPr>
              <w:rPr>
                <w:sz w:val="18"/>
                <w:szCs w:val="18"/>
                <w:lang w:val="fr-BE"/>
              </w:rPr>
            </w:pPr>
            <w:r w:rsidRPr="00800B07">
              <w:rPr>
                <w:sz w:val="18"/>
                <w:szCs w:val="18"/>
                <w:lang w:val="fr-BE"/>
              </w:rPr>
              <w:t>Struvite stones</w:t>
            </w:r>
          </w:p>
        </w:tc>
        <w:tc>
          <w:tcPr>
            <w:tcW w:w="1361" w:type="dxa"/>
            <w:shd w:val="clear" w:color="auto" w:fill="000000" w:themeFill="text1"/>
          </w:tcPr>
          <w:p w14:paraId="1BBD0998" w14:textId="77777777" w:rsidR="0057187E" w:rsidRPr="00800B07" w:rsidRDefault="0057187E" w:rsidP="0057187E">
            <w:pPr>
              <w:rPr>
                <w:sz w:val="18"/>
                <w:szCs w:val="18"/>
                <w:lang w:val="fr-BE"/>
              </w:rPr>
            </w:pPr>
            <w:proofErr w:type="spellStart"/>
            <w:r w:rsidRPr="00800B07">
              <w:rPr>
                <w:sz w:val="18"/>
                <w:szCs w:val="18"/>
                <w:lang w:val="fr-BE"/>
              </w:rPr>
              <w:t>Brushite</w:t>
            </w:r>
            <w:proofErr w:type="spellEnd"/>
            <w:r w:rsidRPr="00800B07">
              <w:rPr>
                <w:sz w:val="18"/>
                <w:szCs w:val="18"/>
                <w:lang w:val="fr-BE"/>
              </w:rPr>
              <w:t xml:space="preserve"> stones</w:t>
            </w:r>
          </w:p>
          <w:p w14:paraId="3E25D400" w14:textId="77777777" w:rsidR="0057187E" w:rsidRPr="00800B07" w:rsidRDefault="0057187E" w:rsidP="0057187E">
            <w:pPr>
              <w:rPr>
                <w:b/>
                <w:bCs/>
                <w:sz w:val="18"/>
                <w:szCs w:val="18"/>
              </w:rPr>
            </w:pPr>
          </w:p>
        </w:tc>
      </w:tr>
      <w:tr w:rsidR="0057187E" w:rsidRPr="00800B07" w14:paraId="707F730E" w14:textId="77777777" w:rsidTr="0057187E">
        <w:trPr>
          <w:trHeight w:val="449"/>
        </w:trPr>
        <w:tc>
          <w:tcPr>
            <w:tcW w:w="4320" w:type="dxa"/>
            <w:tcBorders>
              <w:right w:val="single" w:sz="12" w:space="0" w:color="auto"/>
            </w:tcBorders>
          </w:tcPr>
          <w:p w14:paraId="3C569200" w14:textId="77777777" w:rsidR="0057187E" w:rsidRPr="00800B07" w:rsidRDefault="0057187E" w:rsidP="0057187E">
            <w:pPr>
              <w:rPr>
                <w:b/>
                <w:bCs/>
                <w:sz w:val="18"/>
                <w:szCs w:val="18"/>
                <w:lang w:val="en-GB"/>
              </w:rPr>
            </w:pPr>
            <w:r w:rsidRPr="00800B07">
              <w:rPr>
                <w:b/>
                <w:bCs/>
                <w:sz w:val="18"/>
                <w:szCs w:val="18"/>
                <w:lang w:val="en-GB"/>
              </w:rPr>
              <w:t xml:space="preserve">Hyperoxaluria, </w:t>
            </w: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 xml:space="preserve">SD (mg/24h)       </w:t>
            </w:r>
          </w:p>
        </w:tc>
        <w:tc>
          <w:tcPr>
            <w:tcW w:w="1361" w:type="dxa"/>
            <w:tcBorders>
              <w:left w:val="single" w:sz="12" w:space="0" w:color="auto"/>
              <w:bottom w:val="single" w:sz="12" w:space="0" w:color="auto"/>
              <w:right w:val="single" w:sz="12" w:space="0" w:color="auto"/>
            </w:tcBorders>
            <w:shd w:val="clear" w:color="auto" w:fill="E7E6E6" w:themeFill="background2"/>
          </w:tcPr>
          <w:p w14:paraId="602BF106" w14:textId="77777777" w:rsidR="0057187E" w:rsidRPr="00800B07" w:rsidRDefault="0057187E" w:rsidP="0057187E">
            <w:pPr>
              <w:rPr>
                <w:sz w:val="18"/>
                <w:szCs w:val="18"/>
                <w:lang w:val="en-GB"/>
              </w:rPr>
            </w:pPr>
            <w:r w:rsidRPr="00800B07">
              <w:rPr>
                <w:sz w:val="18"/>
                <w:szCs w:val="18"/>
                <w:lang w:val="fr-BE"/>
              </w:rPr>
              <w:t>61</w:t>
            </w:r>
            <w:r>
              <w:rPr>
                <w:sz w:val="18"/>
                <w:szCs w:val="18"/>
                <w:lang w:val="fr-BE"/>
              </w:rPr>
              <w:t>.</w:t>
            </w:r>
            <w:r w:rsidRPr="00800B07">
              <w:rPr>
                <w:sz w:val="18"/>
                <w:szCs w:val="18"/>
                <w:lang w:val="fr-BE"/>
              </w:rPr>
              <w:t>4</w:t>
            </w:r>
            <w:r w:rsidRPr="00800B07">
              <w:rPr>
                <w:rFonts w:ascii="Calibri" w:hAnsi="Calibri"/>
                <w:sz w:val="18"/>
                <w:szCs w:val="18"/>
                <w:lang w:val="en-GB"/>
              </w:rPr>
              <w:sym w:font="Symbol" w:char="F0B1"/>
            </w:r>
            <w:r w:rsidRPr="00800B07">
              <w:rPr>
                <w:sz w:val="18"/>
                <w:szCs w:val="18"/>
                <w:lang w:val="fr-BE"/>
              </w:rPr>
              <w:t>15</w:t>
            </w:r>
            <w:r>
              <w:rPr>
                <w:sz w:val="18"/>
                <w:szCs w:val="18"/>
                <w:lang w:val="fr-BE"/>
              </w:rPr>
              <w:t>.</w:t>
            </w:r>
            <w:r w:rsidRPr="00800B07">
              <w:rPr>
                <w:sz w:val="18"/>
                <w:szCs w:val="18"/>
                <w:lang w:val="fr-BE"/>
              </w:rPr>
              <w:t>7</w:t>
            </w:r>
          </w:p>
        </w:tc>
        <w:tc>
          <w:tcPr>
            <w:tcW w:w="1361" w:type="dxa"/>
            <w:tcBorders>
              <w:left w:val="single" w:sz="12" w:space="0" w:color="auto"/>
            </w:tcBorders>
          </w:tcPr>
          <w:p w14:paraId="10CA6A05" w14:textId="77777777" w:rsidR="0057187E" w:rsidRPr="00800B07" w:rsidRDefault="0057187E" w:rsidP="0057187E">
            <w:pPr>
              <w:rPr>
                <w:sz w:val="18"/>
                <w:szCs w:val="18"/>
                <w:lang w:val="en-GB"/>
              </w:rPr>
            </w:pPr>
            <w:r w:rsidRPr="00800B07">
              <w:rPr>
                <w:sz w:val="18"/>
                <w:szCs w:val="18"/>
                <w:lang w:val="fr-BE"/>
              </w:rPr>
              <w:t>61</w:t>
            </w:r>
            <w:r>
              <w:rPr>
                <w:sz w:val="18"/>
                <w:szCs w:val="18"/>
                <w:lang w:val="fr-BE"/>
              </w:rPr>
              <w:t>.</w:t>
            </w:r>
            <w:r w:rsidRPr="00800B07">
              <w:rPr>
                <w:sz w:val="18"/>
                <w:szCs w:val="18"/>
                <w:lang w:val="fr-BE"/>
              </w:rPr>
              <w:t>4</w:t>
            </w:r>
            <w:r w:rsidRPr="00800B07">
              <w:rPr>
                <w:rFonts w:ascii="Calibri" w:hAnsi="Calibri"/>
                <w:sz w:val="18"/>
                <w:szCs w:val="18"/>
                <w:lang w:val="en-GB"/>
              </w:rPr>
              <w:sym w:font="Symbol" w:char="F0B1"/>
            </w:r>
            <w:r w:rsidRPr="00800B07">
              <w:rPr>
                <w:rFonts w:ascii="Calibri" w:hAnsi="Calibri"/>
                <w:sz w:val="18"/>
                <w:szCs w:val="18"/>
                <w:lang w:val="en-GB"/>
              </w:rPr>
              <w:t>14</w:t>
            </w:r>
            <w:r>
              <w:rPr>
                <w:rFonts w:ascii="Calibri" w:hAnsi="Calibri"/>
                <w:sz w:val="18"/>
                <w:szCs w:val="18"/>
                <w:lang w:val="en-GB"/>
              </w:rPr>
              <w:t>.</w:t>
            </w:r>
            <w:r w:rsidRPr="00800B07">
              <w:rPr>
                <w:rFonts w:ascii="Calibri" w:hAnsi="Calibri"/>
                <w:sz w:val="18"/>
                <w:szCs w:val="18"/>
                <w:lang w:val="en-GB"/>
              </w:rPr>
              <w:t>3</w:t>
            </w:r>
          </w:p>
        </w:tc>
        <w:tc>
          <w:tcPr>
            <w:tcW w:w="1361" w:type="dxa"/>
          </w:tcPr>
          <w:p w14:paraId="4051F870" w14:textId="77777777" w:rsidR="0057187E" w:rsidRPr="00800B07" w:rsidRDefault="0057187E" w:rsidP="0057187E">
            <w:pPr>
              <w:rPr>
                <w:sz w:val="18"/>
                <w:szCs w:val="18"/>
                <w:lang w:val="en-GB"/>
              </w:rPr>
            </w:pPr>
            <w:r w:rsidRPr="00800B07">
              <w:rPr>
                <w:sz w:val="18"/>
                <w:szCs w:val="18"/>
                <w:lang w:val="fr-BE"/>
              </w:rPr>
              <w:t>68</w:t>
            </w:r>
            <w:r>
              <w:rPr>
                <w:sz w:val="18"/>
                <w:szCs w:val="18"/>
                <w:lang w:val="fr-BE"/>
              </w:rPr>
              <w:t>.</w:t>
            </w:r>
            <w:r w:rsidRPr="00800B07">
              <w:rPr>
                <w:sz w:val="18"/>
                <w:szCs w:val="18"/>
                <w:lang w:val="fr-BE"/>
              </w:rPr>
              <w:t>3</w:t>
            </w:r>
            <w:r w:rsidRPr="00800B07">
              <w:rPr>
                <w:rFonts w:ascii="Calibri" w:hAnsi="Calibri"/>
                <w:sz w:val="18"/>
                <w:szCs w:val="18"/>
                <w:lang w:val="en-GB"/>
              </w:rPr>
              <w:sym w:font="Symbol" w:char="F0B1"/>
            </w:r>
            <w:r w:rsidRPr="00800B07">
              <w:rPr>
                <w:rFonts w:ascii="Calibri" w:hAnsi="Calibri"/>
                <w:sz w:val="18"/>
                <w:szCs w:val="18"/>
                <w:lang w:val="en-GB"/>
              </w:rPr>
              <w:t>17</w:t>
            </w:r>
            <w:r>
              <w:rPr>
                <w:rFonts w:ascii="Calibri" w:hAnsi="Calibri"/>
                <w:sz w:val="18"/>
                <w:szCs w:val="18"/>
                <w:lang w:val="en-GB"/>
              </w:rPr>
              <w:t>.</w:t>
            </w:r>
            <w:r w:rsidRPr="00800B07">
              <w:rPr>
                <w:rFonts w:ascii="Calibri" w:hAnsi="Calibri"/>
                <w:sz w:val="18"/>
                <w:szCs w:val="18"/>
                <w:lang w:val="en-GB"/>
              </w:rPr>
              <w:t>8</w:t>
            </w:r>
          </w:p>
        </w:tc>
        <w:tc>
          <w:tcPr>
            <w:tcW w:w="1361" w:type="dxa"/>
          </w:tcPr>
          <w:p w14:paraId="23B4CA7D" w14:textId="77777777" w:rsidR="0057187E" w:rsidRPr="00800B07" w:rsidRDefault="0057187E" w:rsidP="0057187E">
            <w:pPr>
              <w:rPr>
                <w:sz w:val="18"/>
                <w:szCs w:val="18"/>
                <w:lang w:val="en-GB"/>
              </w:rPr>
            </w:pPr>
            <w:r w:rsidRPr="00800B07">
              <w:rPr>
                <w:sz w:val="18"/>
                <w:szCs w:val="18"/>
                <w:lang w:val="fr-BE"/>
              </w:rPr>
              <w:t>60</w:t>
            </w:r>
            <w:r>
              <w:rPr>
                <w:sz w:val="18"/>
                <w:szCs w:val="18"/>
                <w:lang w:val="fr-BE"/>
              </w:rPr>
              <w:t>.</w:t>
            </w:r>
            <w:r w:rsidRPr="00800B07">
              <w:rPr>
                <w:sz w:val="18"/>
                <w:szCs w:val="18"/>
                <w:lang w:val="fr-BE"/>
              </w:rPr>
              <w:t>8</w:t>
            </w:r>
            <w:r w:rsidRPr="00800B07">
              <w:rPr>
                <w:rFonts w:ascii="Calibri" w:hAnsi="Calibri"/>
                <w:sz w:val="18"/>
                <w:szCs w:val="18"/>
                <w:lang w:val="en-GB"/>
              </w:rPr>
              <w:sym w:font="Symbol" w:char="F0B1"/>
            </w:r>
            <w:r w:rsidRPr="00800B07">
              <w:rPr>
                <w:rFonts w:ascii="Calibri" w:hAnsi="Calibri"/>
                <w:sz w:val="18"/>
                <w:szCs w:val="18"/>
                <w:lang w:val="en-GB"/>
              </w:rPr>
              <w:t>17</w:t>
            </w:r>
            <w:r>
              <w:rPr>
                <w:rFonts w:ascii="Calibri" w:hAnsi="Calibri"/>
                <w:sz w:val="18"/>
                <w:szCs w:val="18"/>
                <w:lang w:val="en-GB"/>
              </w:rPr>
              <w:t>.</w:t>
            </w:r>
            <w:r w:rsidRPr="00800B07">
              <w:rPr>
                <w:rFonts w:ascii="Calibri" w:hAnsi="Calibri"/>
                <w:sz w:val="18"/>
                <w:szCs w:val="18"/>
                <w:lang w:val="en-GB"/>
              </w:rPr>
              <w:t>2</w:t>
            </w:r>
          </w:p>
        </w:tc>
        <w:tc>
          <w:tcPr>
            <w:tcW w:w="1361" w:type="dxa"/>
          </w:tcPr>
          <w:p w14:paraId="69C8E32B" w14:textId="77777777" w:rsidR="0057187E" w:rsidRPr="00800B07" w:rsidRDefault="0057187E" w:rsidP="0057187E">
            <w:pPr>
              <w:rPr>
                <w:rFonts w:ascii="Calibri" w:hAnsi="Calibri"/>
                <w:sz w:val="18"/>
                <w:szCs w:val="18"/>
                <w:lang w:val="en-GB"/>
              </w:rPr>
            </w:pPr>
            <w:r w:rsidRPr="00800B07">
              <w:rPr>
                <w:sz w:val="18"/>
                <w:szCs w:val="18"/>
                <w:lang w:val="fr-BE"/>
              </w:rPr>
              <w:t>68</w:t>
            </w:r>
            <w:r>
              <w:rPr>
                <w:sz w:val="18"/>
                <w:szCs w:val="18"/>
                <w:lang w:val="fr-BE"/>
              </w:rPr>
              <w:t>.</w:t>
            </w:r>
            <w:r w:rsidRPr="00800B07">
              <w:rPr>
                <w:sz w:val="18"/>
                <w:szCs w:val="18"/>
                <w:lang w:val="fr-BE"/>
              </w:rPr>
              <w:t>6</w:t>
            </w:r>
            <w:r w:rsidRPr="00800B07">
              <w:rPr>
                <w:rFonts w:ascii="Calibri" w:hAnsi="Calibri"/>
                <w:sz w:val="18"/>
                <w:szCs w:val="18"/>
                <w:lang w:val="en-GB"/>
              </w:rPr>
              <w:sym w:font="Symbol" w:char="F0B1"/>
            </w:r>
            <w:r w:rsidRPr="00800B07">
              <w:rPr>
                <w:rFonts w:ascii="Calibri" w:hAnsi="Calibri"/>
                <w:sz w:val="18"/>
                <w:szCs w:val="18"/>
                <w:lang w:val="en-GB"/>
              </w:rPr>
              <w:t>14</w:t>
            </w:r>
            <w:r>
              <w:rPr>
                <w:rFonts w:ascii="Calibri" w:hAnsi="Calibri"/>
                <w:sz w:val="18"/>
                <w:szCs w:val="18"/>
                <w:lang w:val="en-GB"/>
              </w:rPr>
              <w:t>.</w:t>
            </w:r>
            <w:r w:rsidRPr="00800B07">
              <w:rPr>
                <w:rFonts w:ascii="Calibri" w:hAnsi="Calibri"/>
                <w:sz w:val="18"/>
                <w:szCs w:val="18"/>
                <w:lang w:val="en-GB"/>
              </w:rPr>
              <w:t>2</w:t>
            </w:r>
          </w:p>
        </w:tc>
        <w:tc>
          <w:tcPr>
            <w:tcW w:w="1361" w:type="dxa"/>
          </w:tcPr>
          <w:p w14:paraId="5ABFC694" w14:textId="77777777" w:rsidR="0057187E" w:rsidRPr="00800B07" w:rsidRDefault="0057187E" w:rsidP="0057187E">
            <w:pPr>
              <w:rPr>
                <w:sz w:val="18"/>
                <w:szCs w:val="18"/>
                <w:lang w:val="en-GB"/>
              </w:rPr>
            </w:pPr>
            <w:r w:rsidRPr="00800B07">
              <w:rPr>
                <w:sz w:val="18"/>
                <w:szCs w:val="18"/>
                <w:lang w:val="fr-BE"/>
              </w:rPr>
              <w:t>54</w:t>
            </w:r>
            <w:r>
              <w:rPr>
                <w:sz w:val="18"/>
                <w:szCs w:val="18"/>
                <w:lang w:val="fr-BE"/>
              </w:rPr>
              <w:t>.</w:t>
            </w:r>
            <w:r w:rsidRPr="00800B07">
              <w:rPr>
                <w:sz w:val="18"/>
                <w:szCs w:val="18"/>
                <w:lang w:val="fr-BE"/>
              </w:rPr>
              <w:t>8</w:t>
            </w:r>
            <w:r w:rsidRPr="00800B07">
              <w:rPr>
                <w:rFonts w:ascii="Calibri" w:hAnsi="Calibri"/>
                <w:sz w:val="18"/>
                <w:szCs w:val="18"/>
                <w:lang w:val="en-GB"/>
              </w:rPr>
              <w:sym w:font="Symbol" w:char="F0B1"/>
            </w:r>
            <w:r w:rsidRPr="00800B07">
              <w:rPr>
                <w:rFonts w:ascii="Calibri" w:hAnsi="Calibri"/>
                <w:sz w:val="18"/>
                <w:szCs w:val="18"/>
                <w:lang w:val="en-GB"/>
              </w:rPr>
              <w:t>10</w:t>
            </w:r>
            <w:r>
              <w:rPr>
                <w:rFonts w:ascii="Calibri" w:hAnsi="Calibri"/>
                <w:sz w:val="18"/>
                <w:szCs w:val="18"/>
                <w:lang w:val="en-GB"/>
              </w:rPr>
              <w:t>.</w:t>
            </w:r>
            <w:r w:rsidRPr="00800B07">
              <w:rPr>
                <w:rFonts w:ascii="Calibri" w:hAnsi="Calibri"/>
                <w:sz w:val="18"/>
                <w:szCs w:val="18"/>
                <w:lang w:val="en-GB"/>
              </w:rPr>
              <w:t>9</w:t>
            </w:r>
          </w:p>
        </w:tc>
        <w:tc>
          <w:tcPr>
            <w:tcW w:w="1361" w:type="dxa"/>
          </w:tcPr>
          <w:p w14:paraId="0A32136E" w14:textId="77777777" w:rsidR="0057187E" w:rsidRPr="00800B07" w:rsidRDefault="0057187E" w:rsidP="0057187E">
            <w:pPr>
              <w:rPr>
                <w:sz w:val="18"/>
                <w:szCs w:val="18"/>
                <w:lang w:val="en-GB"/>
              </w:rPr>
            </w:pPr>
            <w:r w:rsidRPr="00800B07">
              <w:rPr>
                <w:sz w:val="18"/>
                <w:szCs w:val="18"/>
                <w:lang w:val="fr-BE"/>
              </w:rPr>
              <w:t>50</w:t>
            </w:r>
            <w:r>
              <w:rPr>
                <w:sz w:val="18"/>
                <w:szCs w:val="18"/>
                <w:lang w:val="fr-BE"/>
              </w:rPr>
              <w:t>.</w:t>
            </w:r>
            <w:r w:rsidRPr="00800B07">
              <w:rPr>
                <w:sz w:val="18"/>
                <w:szCs w:val="18"/>
                <w:lang w:val="fr-BE"/>
              </w:rPr>
              <w:t>5</w:t>
            </w:r>
            <w:r w:rsidRPr="00800B07">
              <w:rPr>
                <w:rFonts w:ascii="Calibri" w:hAnsi="Calibri"/>
                <w:sz w:val="18"/>
                <w:szCs w:val="18"/>
                <w:lang w:val="en-GB"/>
              </w:rPr>
              <w:sym w:font="Symbol" w:char="F0B1"/>
            </w:r>
            <w:r w:rsidRPr="00800B07">
              <w:rPr>
                <w:rFonts w:ascii="Calibri" w:hAnsi="Calibri"/>
                <w:sz w:val="18"/>
                <w:szCs w:val="18"/>
                <w:lang w:val="en-GB"/>
              </w:rPr>
              <w:t>4</w:t>
            </w:r>
            <w:r>
              <w:rPr>
                <w:rFonts w:ascii="Calibri" w:hAnsi="Calibri"/>
                <w:sz w:val="18"/>
                <w:szCs w:val="18"/>
                <w:lang w:val="en-GB"/>
              </w:rPr>
              <w:t>.</w:t>
            </w:r>
            <w:r w:rsidRPr="00800B07">
              <w:rPr>
                <w:rFonts w:ascii="Calibri" w:hAnsi="Calibri"/>
                <w:sz w:val="18"/>
                <w:szCs w:val="18"/>
                <w:lang w:val="en-GB"/>
              </w:rPr>
              <w:t>1</w:t>
            </w:r>
          </w:p>
        </w:tc>
        <w:tc>
          <w:tcPr>
            <w:tcW w:w="1361" w:type="dxa"/>
          </w:tcPr>
          <w:p w14:paraId="3E201982" w14:textId="77777777" w:rsidR="0057187E" w:rsidRPr="00800B07" w:rsidRDefault="0057187E" w:rsidP="0057187E">
            <w:pPr>
              <w:rPr>
                <w:sz w:val="18"/>
                <w:szCs w:val="18"/>
                <w:lang w:val="en-GB"/>
              </w:rPr>
            </w:pPr>
            <w:r w:rsidRPr="00800B07">
              <w:rPr>
                <w:sz w:val="18"/>
                <w:szCs w:val="18"/>
                <w:lang w:val="fr-BE"/>
              </w:rPr>
              <w:t>58</w:t>
            </w:r>
            <w:r>
              <w:rPr>
                <w:sz w:val="18"/>
                <w:szCs w:val="18"/>
                <w:lang w:val="fr-BE"/>
              </w:rPr>
              <w:t>.</w:t>
            </w:r>
            <w:r w:rsidRPr="00800B07">
              <w:rPr>
                <w:sz w:val="18"/>
                <w:szCs w:val="18"/>
                <w:lang w:val="fr-BE"/>
              </w:rPr>
              <w:t>2</w:t>
            </w:r>
            <w:r w:rsidRPr="00800B07">
              <w:rPr>
                <w:rFonts w:ascii="Calibri" w:hAnsi="Calibri"/>
                <w:sz w:val="18"/>
                <w:szCs w:val="18"/>
                <w:lang w:val="en-GB"/>
              </w:rPr>
              <w:sym w:font="Symbol" w:char="F0B1"/>
            </w:r>
            <w:r w:rsidRPr="00800B07">
              <w:rPr>
                <w:rFonts w:ascii="Calibri" w:hAnsi="Calibri"/>
                <w:sz w:val="18"/>
                <w:szCs w:val="18"/>
                <w:lang w:val="en-GB"/>
              </w:rPr>
              <w:t>9</w:t>
            </w:r>
            <w:r>
              <w:rPr>
                <w:rFonts w:ascii="Calibri" w:hAnsi="Calibri"/>
                <w:sz w:val="18"/>
                <w:szCs w:val="18"/>
                <w:lang w:val="en-GB"/>
              </w:rPr>
              <w:t>.</w:t>
            </w:r>
            <w:r w:rsidRPr="00800B07">
              <w:rPr>
                <w:rFonts w:ascii="Calibri" w:hAnsi="Calibri"/>
                <w:sz w:val="18"/>
                <w:szCs w:val="18"/>
                <w:lang w:val="en-GB"/>
              </w:rPr>
              <w:t>7</w:t>
            </w:r>
          </w:p>
        </w:tc>
      </w:tr>
      <w:tr w:rsidR="0057187E" w:rsidRPr="00800B07" w14:paraId="27C3C359" w14:textId="77777777" w:rsidTr="0057187E">
        <w:trPr>
          <w:trHeight w:val="449"/>
        </w:trPr>
        <w:tc>
          <w:tcPr>
            <w:tcW w:w="4320" w:type="dxa"/>
            <w:tcBorders>
              <w:right w:val="single" w:sz="12" w:space="0" w:color="auto"/>
            </w:tcBorders>
          </w:tcPr>
          <w:p w14:paraId="646DD054" w14:textId="77777777" w:rsidR="0057187E" w:rsidRPr="00800B07" w:rsidRDefault="0057187E" w:rsidP="0057187E">
            <w:pPr>
              <w:rPr>
                <w:b/>
                <w:bCs/>
                <w:sz w:val="18"/>
                <w:szCs w:val="18"/>
                <w:lang w:val="en-GB"/>
              </w:rPr>
            </w:pPr>
            <w:r w:rsidRPr="00800B07">
              <w:rPr>
                <w:b/>
                <w:bCs/>
                <w:sz w:val="18"/>
                <w:szCs w:val="18"/>
                <w:lang w:val="en-GB"/>
              </w:rPr>
              <w:t xml:space="preserve">Hypercalciuria, </w:t>
            </w: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SD (mmol/24h)</w:t>
            </w:r>
          </w:p>
        </w:tc>
        <w:tc>
          <w:tcPr>
            <w:tcW w:w="136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3DE0440" w14:textId="1F1CC08F" w:rsidR="0057187E" w:rsidRPr="00800B07" w:rsidRDefault="00662FE1" w:rsidP="0057187E">
            <w:pPr>
              <w:rPr>
                <w:sz w:val="18"/>
                <w:szCs w:val="18"/>
                <w:lang w:val="en-GB"/>
              </w:rPr>
            </w:pPr>
            <w:r>
              <w:rPr>
                <w:sz w:val="18"/>
                <w:szCs w:val="18"/>
                <w:lang w:val="fr-BE"/>
              </w:rPr>
              <w:t>10</w:t>
            </w:r>
            <w:r w:rsidR="0057187E">
              <w:rPr>
                <w:sz w:val="18"/>
                <w:szCs w:val="18"/>
                <w:lang w:val="fr-BE"/>
              </w:rPr>
              <w:t>.</w:t>
            </w:r>
            <w:r>
              <w:rPr>
                <w:sz w:val="18"/>
                <w:szCs w:val="18"/>
                <w:lang w:val="fr-BE"/>
              </w:rPr>
              <w:t>0</w:t>
            </w:r>
            <w:r w:rsidR="0057187E" w:rsidRPr="00800B07">
              <w:rPr>
                <w:rFonts w:ascii="Calibri" w:hAnsi="Calibri"/>
                <w:sz w:val="18"/>
                <w:szCs w:val="18"/>
                <w:lang w:val="en-GB"/>
              </w:rPr>
              <w:sym w:font="Symbol" w:char="F0B1"/>
            </w:r>
            <w:r>
              <w:rPr>
                <w:rFonts w:ascii="Calibri" w:hAnsi="Calibri"/>
                <w:sz w:val="18"/>
                <w:szCs w:val="18"/>
                <w:lang w:val="en-GB"/>
              </w:rPr>
              <w:t>7</w:t>
            </w:r>
            <w:r w:rsidR="0057187E">
              <w:rPr>
                <w:sz w:val="18"/>
                <w:szCs w:val="18"/>
                <w:lang w:val="fr-BE"/>
              </w:rPr>
              <w:t>.</w:t>
            </w:r>
            <w:r>
              <w:rPr>
                <w:sz w:val="18"/>
                <w:szCs w:val="18"/>
                <w:lang w:val="fr-BE"/>
              </w:rPr>
              <w:t>6</w:t>
            </w:r>
          </w:p>
        </w:tc>
        <w:tc>
          <w:tcPr>
            <w:tcW w:w="1361" w:type="dxa"/>
            <w:tcBorders>
              <w:left w:val="single" w:sz="12" w:space="0" w:color="auto"/>
            </w:tcBorders>
          </w:tcPr>
          <w:p w14:paraId="5755EE01" w14:textId="0AB4D3B9" w:rsidR="0057187E" w:rsidRPr="00800B07" w:rsidRDefault="00662FE1" w:rsidP="0057187E">
            <w:pPr>
              <w:rPr>
                <w:sz w:val="18"/>
                <w:szCs w:val="18"/>
                <w:lang w:val="en-GB"/>
              </w:rPr>
            </w:pPr>
            <w:r>
              <w:rPr>
                <w:sz w:val="18"/>
                <w:szCs w:val="18"/>
                <w:lang w:val="fr-BE"/>
              </w:rPr>
              <w:t>9</w:t>
            </w:r>
            <w:r w:rsidR="0057187E">
              <w:rPr>
                <w:sz w:val="18"/>
                <w:szCs w:val="18"/>
                <w:lang w:val="fr-BE"/>
              </w:rPr>
              <w:t>.</w:t>
            </w:r>
            <w:r>
              <w:rPr>
                <w:sz w:val="18"/>
                <w:szCs w:val="18"/>
                <w:lang w:val="fr-BE"/>
              </w:rPr>
              <w:t>7</w:t>
            </w:r>
            <w:r w:rsidR="0057187E" w:rsidRPr="00800B07">
              <w:rPr>
                <w:rFonts w:ascii="Calibri" w:hAnsi="Calibri"/>
                <w:sz w:val="18"/>
                <w:szCs w:val="18"/>
                <w:lang w:val="en-GB"/>
              </w:rPr>
              <w:sym w:font="Symbol" w:char="F0B1"/>
            </w:r>
            <w:r>
              <w:rPr>
                <w:rFonts w:ascii="Calibri" w:hAnsi="Calibri"/>
                <w:sz w:val="18"/>
                <w:szCs w:val="18"/>
                <w:lang w:val="en-GB"/>
              </w:rPr>
              <w:t>3.6</w:t>
            </w:r>
          </w:p>
        </w:tc>
        <w:tc>
          <w:tcPr>
            <w:tcW w:w="1361" w:type="dxa"/>
          </w:tcPr>
          <w:p w14:paraId="169885A4" w14:textId="6806814C" w:rsidR="0057187E" w:rsidRPr="00800B07" w:rsidRDefault="00662FE1" w:rsidP="0057187E">
            <w:pPr>
              <w:rPr>
                <w:sz w:val="18"/>
                <w:szCs w:val="18"/>
                <w:lang w:val="en-GB"/>
              </w:rPr>
            </w:pPr>
            <w:r>
              <w:rPr>
                <w:sz w:val="18"/>
                <w:szCs w:val="18"/>
                <w:lang w:val="fr-BE"/>
              </w:rPr>
              <w:t>8</w:t>
            </w:r>
            <w:r w:rsidR="0057187E">
              <w:rPr>
                <w:sz w:val="18"/>
                <w:szCs w:val="18"/>
                <w:lang w:val="fr-BE"/>
              </w:rPr>
              <w:t>.</w:t>
            </w:r>
            <w:r>
              <w:rPr>
                <w:sz w:val="18"/>
                <w:szCs w:val="18"/>
                <w:lang w:val="fr-BE"/>
              </w:rPr>
              <w:t>9</w:t>
            </w:r>
            <w:r w:rsidR="0057187E" w:rsidRPr="00800B07">
              <w:rPr>
                <w:rFonts w:ascii="Calibri" w:hAnsi="Calibri"/>
                <w:sz w:val="18"/>
                <w:szCs w:val="18"/>
                <w:lang w:val="en-GB"/>
              </w:rPr>
              <w:sym w:font="Symbol" w:char="F0B1"/>
            </w:r>
            <w:r>
              <w:rPr>
                <w:rFonts w:ascii="Calibri" w:hAnsi="Calibri"/>
                <w:sz w:val="18"/>
                <w:szCs w:val="18"/>
                <w:lang w:val="en-GB"/>
              </w:rPr>
              <w:t>1</w:t>
            </w:r>
            <w:r w:rsidR="0057187E">
              <w:rPr>
                <w:rFonts w:ascii="Calibri" w:hAnsi="Calibri"/>
                <w:sz w:val="18"/>
                <w:szCs w:val="18"/>
                <w:lang w:val="en-GB"/>
              </w:rPr>
              <w:t>.</w:t>
            </w:r>
            <w:r>
              <w:rPr>
                <w:rFonts w:ascii="Calibri" w:hAnsi="Calibri"/>
                <w:sz w:val="18"/>
                <w:szCs w:val="18"/>
                <w:lang w:val="en-GB"/>
              </w:rPr>
              <w:t>6</w:t>
            </w:r>
          </w:p>
        </w:tc>
        <w:tc>
          <w:tcPr>
            <w:tcW w:w="1361" w:type="dxa"/>
          </w:tcPr>
          <w:p w14:paraId="744B9FEB" w14:textId="688E97DC" w:rsidR="0057187E" w:rsidRPr="00800B07" w:rsidRDefault="00662FE1" w:rsidP="0057187E">
            <w:pPr>
              <w:rPr>
                <w:sz w:val="18"/>
                <w:szCs w:val="18"/>
                <w:lang w:val="en-GB"/>
              </w:rPr>
            </w:pPr>
            <w:r>
              <w:rPr>
                <w:sz w:val="18"/>
                <w:szCs w:val="18"/>
                <w:lang w:val="fr-BE"/>
              </w:rPr>
              <w:t>15</w:t>
            </w:r>
            <w:r w:rsidR="0057187E">
              <w:rPr>
                <w:sz w:val="18"/>
                <w:szCs w:val="18"/>
                <w:lang w:val="fr-BE"/>
              </w:rPr>
              <w:t>.</w:t>
            </w:r>
            <w:r>
              <w:rPr>
                <w:sz w:val="18"/>
                <w:szCs w:val="18"/>
                <w:lang w:val="fr-BE"/>
              </w:rPr>
              <w:t>8</w:t>
            </w:r>
            <w:r w:rsidR="0057187E" w:rsidRPr="00800B07">
              <w:rPr>
                <w:rFonts w:ascii="Calibri" w:hAnsi="Calibri"/>
                <w:sz w:val="18"/>
                <w:szCs w:val="18"/>
                <w:lang w:val="en-GB"/>
              </w:rPr>
              <w:sym w:font="Symbol" w:char="F0B1"/>
            </w:r>
            <w:r>
              <w:rPr>
                <w:rFonts w:ascii="Calibri" w:hAnsi="Calibri"/>
                <w:sz w:val="18"/>
                <w:szCs w:val="18"/>
                <w:lang w:val="en-GB"/>
              </w:rPr>
              <w:t>20</w:t>
            </w:r>
            <w:r w:rsidR="0057187E">
              <w:rPr>
                <w:rFonts w:ascii="Calibri" w:hAnsi="Calibri"/>
                <w:sz w:val="18"/>
                <w:szCs w:val="18"/>
                <w:lang w:val="en-GB"/>
              </w:rPr>
              <w:t>.</w:t>
            </w:r>
            <w:r>
              <w:rPr>
                <w:rFonts w:ascii="Calibri" w:hAnsi="Calibri"/>
                <w:sz w:val="18"/>
                <w:szCs w:val="18"/>
                <w:lang w:val="en-GB"/>
              </w:rPr>
              <w:t>1</w:t>
            </w:r>
          </w:p>
        </w:tc>
        <w:tc>
          <w:tcPr>
            <w:tcW w:w="1361" w:type="dxa"/>
          </w:tcPr>
          <w:p w14:paraId="1442F52E" w14:textId="5DC98219" w:rsidR="0057187E" w:rsidRPr="00800B07" w:rsidRDefault="00662FE1" w:rsidP="0057187E">
            <w:pPr>
              <w:rPr>
                <w:sz w:val="18"/>
                <w:szCs w:val="18"/>
                <w:lang w:val="en-GB"/>
              </w:rPr>
            </w:pPr>
            <w:r>
              <w:rPr>
                <w:sz w:val="18"/>
                <w:szCs w:val="18"/>
                <w:lang w:val="fr-BE"/>
              </w:rPr>
              <w:t>9</w:t>
            </w:r>
            <w:r w:rsidR="0057187E">
              <w:rPr>
                <w:sz w:val="18"/>
                <w:szCs w:val="18"/>
                <w:lang w:val="fr-BE"/>
              </w:rPr>
              <w:t>.</w:t>
            </w:r>
            <w:r>
              <w:rPr>
                <w:sz w:val="18"/>
                <w:szCs w:val="18"/>
                <w:lang w:val="fr-BE"/>
              </w:rPr>
              <w:t>6</w:t>
            </w:r>
            <w:r w:rsidR="0057187E" w:rsidRPr="00800B07">
              <w:rPr>
                <w:rFonts w:ascii="Calibri" w:hAnsi="Calibri"/>
                <w:sz w:val="18"/>
                <w:szCs w:val="18"/>
                <w:lang w:val="en-GB"/>
              </w:rPr>
              <w:sym w:font="Symbol" w:char="F0B1"/>
            </w:r>
            <w:r>
              <w:rPr>
                <w:rFonts w:ascii="Calibri" w:hAnsi="Calibri"/>
                <w:sz w:val="18"/>
                <w:szCs w:val="18"/>
                <w:lang w:val="en-GB"/>
              </w:rPr>
              <w:t>2</w:t>
            </w:r>
            <w:r w:rsidR="0057187E">
              <w:rPr>
                <w:rFonts w:ascii="Calibri" w:hAnsi="Calibri"/>
                <w:sz w:val="18"/>
                <w:szCs w:val="18"/>
                <w:lang w:val="en-GB"/>
              </w:rPr>
              <w:t>.</w:t>
            </w:r>
            <w:r>
              <w:rPr>
                <w:rFonts w:ascii="Calibri" w:hAnsi="Calibri"/>
                <w:sz w:val="18"/>
                <w:szCs w:val="18"/>
                <w:lang w:val="en-GB"/>
              </w:rPr>
              <w:t>7</w:t>
            </w:r>
          </w:p>
        </w:tc>
        <w:tc>
          <w:tcPr>
            <w:tcW w:w="1361" w:type="dxa"/>
          </w:tcPr>
          <w:p w14:paraId="67C4B475" w14:textId="1E0D8A9E" w:rsidR="0057187E" w:rsidRPr="00800B07" w:rsidRDefault="00662FE1" w:rsidP="0057187E">
            <w:pPr>
              <w:rPr>
                <w:sz w:val="18"/>
                <w:szCs w:val="18"/>
                <w:lang w:val="en-GB"/>
              </w:rPr>
            </w:pPr>
            <w:r>
              <w:rPr>
                <w:sz w:val="18"/>
                <w:szCs w:val="18"/>
                <w:lang w:val="fr-BE"/>
              </w:rPr>
              <w:t>7</w:t>
            </w:r>
            <w:r w:rsidR="0057187E">
              <w:rPr>
                <w:sz w:val="18"/>
                <w:szCs w:val="18"/>
                <w:lang w:val="fr-BE"/>
              </w:rPr>
              <w:t>.</w:t>
            </w:r>
            <w:r>
              <w:rPr>
                <w:sz w:val="18"/>
                <w:szCs w:val="18"/>
                <w:lang w:val="fr-BE"/>
              </w:rPr>
              <w:t>5</w:t>
            </w:r>
            <w:r w:rsidR="0057187E" w:rsidRPr="00800B07">
              <w:rPr>
                <w:rFonts w:ascii="Calibri" w:hAnsi="Calibri"/>
                <w:sz w:val="18"/>
                <w:szCs w:val="18"/>
                <w:lang w:val="en-GB"/>
              </w:rPr>
              <w:sym w:font="Symbol" w:char="F0B1"/>
            </w:r>
            <w:r>
              <w:rPr>
                <w:rFonts w:ascii="Calibri" w:hAnsi="Calibri"/>
                <w:sz w:val="18"/>
                <w:szCs w:val="18"/>
                <w:lang w:val="en-GB"/>
              </w:rPr>
              <w:t>3</w:t>
            </w:r>
            <w:r w:rsidR="0057187E">
              <w:rPr>
                <w:rFonts w:ascii="Calibri" w:hAnsi="Calibri"/>
                <w:sz w:val="18"/>
                <w:szCs w:val="18"/>
                <w:lang w:val="en-GB"/>
              </w:rPr>
              <w:t>.</w:t>
            </w:r>
            <w:r>
              <w:rPr>
                <w:rFonts w:ascii="Calibri" w:hAnsi="Calibri"/>
                <w:sz w:val="18"/>
                <w:szCs w:val="18"/>
                <w:lang w:val="en-GB"/>
              </w:rPr>
              <w:t>6</w:t>
            </w:r>
          </w:p>
        </w:tc>
        <w:tc>
          <w:tcPr>
            <w:tcW w:w="1361" w:type="dxa"/>
          </w:tcPr>
          <w:p w14:paraId="004BE90A" w14:textId="7F3C0FEF" w:rsidR="0057187E" w:rsidRPr="00800B07" w:rsidRDefault="00662FE1" w:rsidP="0057187E">
            <w:pPr>
              <w:rPr>
                <w:sz w:val="18"/>
                <w:szCs w:val="18"/>
                <w:lang w:val="en-GB"/>
              </w:rPr>
            </w:pPr>
            <w:r>
              <w:rPr>
                <w:sz w:val="18"/>
                <w:szCs w:val="18"/>
                <w:lang w:val="fr-BE"/>
              </w:rPr>
              <w:t>9</w:t>
            </w:r>
            <w:r w:rsidR="0057187E">
              <w:rPr>
                <w:sz w:val="18"/>
                <w:szCs w:val="18"/>
                <w:lang w:val="fr-BE"/>
              </w:rPr>
              <w:t>.</w:t>
            </w:r>
            <w:r>
              <w:rPr>
                <w:sz w:val="18"/>
                <w:szCs w:val="18"/>
                <w:lang w:val="fr-BE"/>
              </w:rPr>
              <w:t>7</w:t>
            </w:r>
            <w:r w:rsidR="0057187E" w:rsidRPr="00800B07">
              <w:rPr>
                <w:rFonts w:ascii="Calibri" w:hAnsi="Calibri"/>
                <w:sz w:val="18"/>
                <w:szCs w:val="18"/>
                <w:lang w:val="en-GB"/>
              </w:rPr>
              <w:sym w:font="Symbol" w:char="F0B1"/>
            </w:r>
            <w:r>
              <w:rPr>
                <w:rFonts w:ascii="Calibri" w:hAnsi="Calibri"/>
                <w:sz w:val="18"/>
                <w:szCs w:val="18"/>
                <w:lang w:val="en-GB"/>
              </w:rPr>
              <w:t>3</w:t>
            </w:r>
            <w:r w:rsidR="0057187E">
              <w:rPr>
                <w:rFonts w:ascii="Calibri" w:hAnsi="Calibri"/>
                <w:sz w:val="18"/>
                <w:szCs w:val="18"/>
                <w:lang w:val="en-GB"/>
              </w:rPr>
              <w:t>.</w:t>
            </w:r>
            <w:r>
              <w:rPr>
                <w:rFonts w:ascii="Calibri" w:hAnsi="Calibri"/>
                <w:sz w:val="18"/>
                <w:szCs w:val="18"/>
                <w:lang w:val="en-GB"/>
              </w:rPr>
              <w:t>7</w:t>
            </w:r>
          </w:p>
        </w:tc>
        <w:tc>
          <w:tcPr>
            <w:tcW w:w="1361" w:type="dxa"/>
          </w:tcPr>
          <w:p w14:paraId="7B37D3C2" w14:textId="12FFF529" w:rsidR="0057187E" w:rsidRPr="00800B07" w:rsidRDefault="00662FE1" w:rsidP="0057187E">
            <w:pPr>
              <w:rPr>
                <w:sz w:val="18"/>
                <w:szCs w:val="18"/>
                <w:lang w:val="en-GB"/>
              </w:rPr>
            </w:pPr>
            <w:r>
              <w:rPr>
                <w:sz w:val="18"/>
                <w:szCs w:val="18"/>
                <w:lang w:val="fr-BE"/>
              </w:rPr>
              <w:t>12</w:t>
            </w:r>
            <w:r w:rsidR="0057187E">
              <w:rPr>
                <w:sz w:val="18"/>
                <w:szCs w:val="18"/>
                <w:lang w:val="fr-BE"/>
              </w:rPr>
              <w:t>.</w:t>
            </w:r>
            <w:r>
              <w:rPr>
                <w:sz w:val="18"/>
                <w:szCs w:val="18"/>
                <w:lang w:val="fr-BE"/>
              </w:rPr>
              <w:t>7</w:t>
            </w:r>
            <w:r w:rsidR="0057187E" w:rsidRPr="00800B07">
              <w:rPr>
                <w:rFonts w:ascii="Calibri" w:hAnsi="Calibri"/>
                <w:sz w:val="18"/>
                <w:szCs w:val="18"/>
                <w:lang w:val="en-GB"/>
              </w:rPr>
              <w:sym w:font="Symbol" w:char="F0B1"/>
            </w:r>
            <w:r>
              <w:rPr>
                <w:rFonts w:ascii="Calibri" w:hAnsi="Calibri"/>
                <w:sz w:val="18"/>
                <w:szCs w:val="18"/>
                <w:lang w:val="en-GB"/>
              </w:rPr>
              <w:t>6</w:t>
            </w:r>
            <w:r w:rsidR="0057187E">
              <w:rPr>
                <w:rFonts w:ascii="Calibri" w:hAnsi="Calibri"/>
                <w:sz w:val="18"/>
                <w:szCs w:val="18"/>
                <w:lang w:val="en-GB"/>
              </w:rPr>
              <w:t>.</w:t>
            </w:r>
            <w:r>
              <w:rPr>
                <w:rFonts w:ascii="Calibri" w:hAnsi="Calibri"/>
                <w:sz w:val="18"/>
                <w:szCs w:val="18"/>
                <w:lang w:val="en-GB"/>
              </w:rPr>
              <w:t>0</w:t>
            </w:r>
          </w:p>
        </w:tc>
      </w:tr>
      <w:tr w:rsidR="0057187E" w:rsidRPr="00800B07" w14:paraId="3C33D246" w14:textId="77777777" w:rsidTr="0057187E">
        <w:trPr>
          <w:trHeight w:val="449"/>
        </w:trPr>
        <w:tc>
          <w:tcPr>
            <w:tcW w:w="4320" w:type="dxa"/>
            <w:tcBorders>
              <w:right w:val="single" w:sz="12" w:space="0" w:color="auto"/>
            </w:tcBorders>
          </w:tcPr>
          <w:p w14:paraId="1C29F797" w14:textId="77777777" w:rsidR="0057187E" w:rsidRPr="00800B07" w:rsidRDefault="0057187E" w:rsidP="0057187E">
            <w:pPr>
              <w:rPr>
                <w:sz w:val="18"/>
                <w:szCs w:val="18"/>
                <w:lang w:val="en-GB"/>
              </w:rPr>
            </w:pPr>
            <w:proofErr w:type="spellStart"/>
            <w:r w:rsidRPr="00800B07">
              <w:rPr>
                <w:b/>
                <w:bCs/>
                <w:sz w:val="18"/>
                <w:szCs w:val="18"/>
                <w:lang w:val="en-GB"/>
              </w:rPr>
              <w:t>Hyperphosphaturia</w:t>
            </w:r>
            <w:proofErr w:type="spellEnd"/>
            <w:r w:rsidRPr="00800B07">
              <w:rPr>
                <w:b/>
                <w:bCs/>
                <w:sz w:val="18"/>
                <w:szCs w:val="18"/>
                <w:lang w:val="en-GB"/>
              </w:rPr>
              <w:t xml:space="preserve">, </w:t>
            </w: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SD (mmol/24h)</w:t>
            </w:r>
          </w:p>
        </w:tc>
        <w:tc>
          <w:tcPr>
            <w:tcW w:w="136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0C0F8F" w14:textId="77777777" w:rsidR="0057187E" w:rsidRPr="00800B07" w:rsidRDefault="0057187E" w:rsidP="0057187E">
            <w:pPr>
              <w:rPr>
                <w:sz w:val="18"/>
                <w:szCs w:val="18"/>
                <w:lang w:val="en-GB"/>
              </w:rPr>
            </w:pPr>
            <w:r w:rsidRPr="00800B07">
              <w:rPr>
                <w:sz w:val="18"/>
                <w:szCs w:val="18"/>
                <w:lang w:val="fr-BE"/>
              </w:rPr>
              <w:t>58</w:t>
            </w:r>
            <w:r>
              <w:rPr>
                <w:sz w:val="18"/>
                <w:szCs w:val="18"/>
                <w:lang w:val="fr-BE"/>
              </w:rPr>
              <w:t>.</w:t>
            </w:r>
            <w:r w:rsidRPr="00800B07">
              <w:rPr>
                <w:sz w:val="18"/>
                <w:szCs w:val="18"/>
                <w:lang w:val="fr-BE"/>
              </w:rPr>
              <w:t>9</w:t>
            </w:r>
            <w:r w:rsidRPr="00800B07">
              <w:rPr>
                <w:rFonts w:ascii="Calibri" w:hAnsi="Calibri"/>
                <w:sz w:val="18"/>
                <w:szCs w:val="18"/>
                <w:lang w:val="en-GB"/>
              </w:rPr>
              <w:sym w:font="Symbol" w:char="F0B1"/>
            </w:r>
            <w:r w:rsidRPr="00800B07">
              <w:rPr>
                <w:sz w:val="18"/>
                <w:szCs w:val="18"/>
                <w:lang w:val="fr-BE"/>
              </w:rPr>
              <w:t>77</w:t>
            </w:r>
            <w:r>
              <w:rPr>
                <w:sz w:val="18"/>
                <w:szCs w:val="18"/>
                <w:lang w:val="fr-BE"/>
              </w:rPr>
              <w:t>.</w:t>
            </w:r>
            <w:r w:rsidRPr="00800B07">
              <w:rPr>
                <w:sz w:val="18"/>
                <w:szCs w:val="18"/>
                <w:lang w:val="fr-BE"/>
              </w:rPr>
              <w:t>5</w:t>
            </w:r>
          </w:p>
        </w:tc>
        <w:tc>
          <w:tcPr>
            <w:tcW w:w="1361" w:type="dxa"/>
            <w:tcBorders>
              <w:left w:val="single" w:sz="12" w:space="0" w:color="auto"/>
            </w:tcBorders>
          </w:tcPr>
          <w:p w14:paraId="16BDA12A" w14:textId="77777777" w:rsidR="0057187E" w:rsidRPr="00800B07" w:rsidRDefault="0057187E" w:rsidP="0057187E">
            <w:pPr>
              <w:rPr>
                <w:sz w:val="18"/>
                <w:szCs w:val="18"/>
                <w:lang w:val="en-GB"/>
              </w:rPr>
            </w:pPr>
            <w:r w:rsidRPr="00800B07">
              <w:rPr>
                <w:sz w:val="18"/>
                <w:szCs w:val="18"/>
                <w:lang w:val="fr-BE"/>
              </w:rPr>
              <w:t>51</w:t>
            </w:r>
            <w:r>
              <w:rPr>
                <w:sz w:val="18"/>
                <w:szCs w:val="18"/>
                <w:lang w:val="fr-BE"/>
              </w:rPr>
              <w:t>.</w:t>
            </w:r>
            <w:r w:rsidRPr="00800B07">
              <w:rPr>
                <w:sz w:val="18"/>
                <w:szCs w:val="18"/>
                <w:lang w:val="fr-BE"/>
              </w:rPr>
              <w:t>5</w:t>
            </w:r>
            <w:r w:rsidRPr="00800B07">
              <w:rPr>
                <w:rFonts w:ascii="Calibri" w:hAnsi="Calibri"/>
                <w:sz w:val="18"/>
                <w:szCs w:val="18"/>
                <w:lang w:val="en-GB"/>
              </w:rPr>
              <w:sym w:font="Symbol" w:char="F0B1"/>
            </w:r>
            <w:r w:rsidRPr="00800B07">
              <w:rPr>
                <w:rFonts w:ascii="Calibri" w:hAnsi="Calibri"/>
                <w:sz w:val="18"/>
                <w:szCs w:val="18"/>
                <w:lang w:val="en-GB"/>
              </w:rPr>
              <w:t>10</w:t>
            </w:r>
            <w:r>
              <w:rPr>
                <w:rFonts w:ascii="Calibri" w:hAnsi="Calibri"/>
                <w:sz w:val="18"/>
                <w:szCs w:val="18"/>
                <w:lang w:val="en-GB"/>
              </w:rPr>
              <w:t>.</w:t>
            </w:r>
            <w:r w:rsidRPr="00800B07">
              <w:rPr>
                <w:rFonts w:ascii="Calibri" w:hAnsi="Calibri"/>
                <w:sz w:val="18"/>
                <w:szCs w:val="18"/>
                <w:lang w:val="en-GB"/>
              </w:rPr>
              <w:t>2</w:t>
            </w:r>
          </w:p>
        </w:tc>
        <w:tc>
          <w:tcPr>
            <w:tcW w:w="1361" w:type="dxa"/>
          </w:tcPr>
          <w:p w14:paraId="03DC954A" w14:textId="77777777" w:rsidR="0057187E" w:rsidRPr="00800B07" w:rsidRDefault="0057187E" w:rsidP="0057187E">
            <w:pPr>
              <w:rPr>
                <w:sz w:val="18"/>
                <w:szCs w:val="18"/>
                <w:lang w:val="en-GB"/>
              </w:rPr>
            </w:pPr>
            <w:r w:rsidRPr="00800B07">
              <w:rPr>
                <w:sz w:val="18"/>
                <w:szCs w:val="18"/>
                <w:lang w:val="fr-BE"/>
              </w:rPr>
              <w:t>52</w:t>
            </w:r>
            <w:r>
              <w:rPr>
                <w:sz w:val="18"/>
                <w:szCs w:val="18"/>
                <w:lang w:val="fr-BE"/>
              </w:rPr>
              <w:t>.</w:t>
            </w:r>
            <w:r w:rsidRPr="00800B07">
              <w:rPr>
                <w:sz w:val="18"/>
                <w:szCs w:val="18"/>
                <w:lang w:val="fr-BE"/>
              </w:rPr>
              <w:t>4</w:t>
            </w:r>
            <w:r w:rsidRPr="00800B07">
              <w:rPr>
                <w:rFonts w:ascii="Calibri" w:hAnsi="Calibri"/>
                <w:sz w:val="18"/>
                <w:szCs w:val="18"/>
                <w:lang w:val="en-GB"/>
              </w:rPr>
              <w:sym w:font="Symbol" w:char="F0B1"/>
            </w:r>
            <w:r w:rsidRPr="00800B07">
              <w:rPr>
                <w:rFonts w:ascii="Calibri" w:hAnsi="Calibri"/>
                <w:sz w:val="18"/>
                <w:szCs w:val="18"/>
                <w:lang w:val="en-GB"/>
              </w:rPr>
              <w:t>13</w:t>
            </w:r>
            <w:r>
              <w:rPr>
                <w:rFonts w:ascii="Calibri" w:hAnsi="Calibri"/>
                <w:sz w:val="18"/>
                <w:szCs w:val="18"/>
                <w:lang w:val="en-GB"/>
              </w:rPr>
              <w:t>.</w:t>
            </w:r>
            <w:r w:rsidRPr="00800B07">
              <w:rPr>
                <w:rFonts w:ascii="Calibri" w:hAnsi="Calibri"/>
                <w:sz w:val="18"/>
                <w:szCs w:val="18"/>
                <w:lang w:val="en-GB"/>
              </w:rPr>
              <w:t>9</w:t>
            </w:r>
          </w:p>
        </w:tc>
        <w:tc>
          <w:tcPr>
            <w:tcW w:w="1361" w:type="dxa"/>
          </w:tcPr>
          <w:p w14:paraId="4057E0DE" w14:textId="77777777" w:rsidR="0057187E" w:rsidRPr="00800B07" w:rsidRDefault="0057187E" w:rsidP="0057187E">
            <w:pPr>
              <w:rPr>
                <w:sz w:val="18"/>
                <w:szCs w:val="18"/>
                <w:lang w:val="en-GB"/>
              </w:rPr>
            </w:pPr>
            <w:r w:rsidRPr="00800B07">
              <w:rPr>
                <w:sz w:val="18"/>
                <w:szCs w:val="18"/>
                <w:lang w:val="fr-BE"/>
              </w:rPr>
              <w:t>NA</w:t>
            </w:r>
          </w:p>
        </w:tc>
        <w:tc>
          <w:tcPr>
            <w:tcW w:w="1361" w:type="dxa"/>
          </w:tcPr>
          <w:p w14:paraId="065A8C34" w14:textId="77777777" w:rsidR="0057187E" w:rsidRPr="00800B07" w:rsidRDefault="0057187E" w:rsidP="0057187E">
            <w:pPr>
              <w:rPr>
                <w:sz w:val="18"/>
                <w:szCs w:val="18"/>
                <w:lang w:val="en-GB"/>
              </w:rPr>
            </w:pPr>
            <w:r w:rsidRPr="00800B07">
              <w:rPr>
                <w:sz w:val="18"/>
                <w:szCs w:val="18"/>
                <w:lang w:val="fr-BE"/>
              </w:rPr>
              <w:t>490</w:t>
            </w:r>
            <w:r>
              <w:rPr>
                <w:sz w:val="18"/>
                <w:szCs w:val="18"/>
                <w:lang w:val="fr-BE"/>
              </w:rPr>
              <w:t>.</w:t>
            </w:r>
            <w:r w:rsidRPr="00800B07">
              <w:rPr>
                <w:sz w:val="18"/>
                <w:szCs w:val="18"/>
                <w:lang w:val="fr-BE"/>
              </w:rPr>
              <w:t>9</w:t>
            </w:r>
            <w:r w:rsidRPr="00800B07">
              <w:rPr>
                <w:rFonts w:ascii="Calibri" w:hAnsi="Calibri"/>
                <w:sz w:val="18"/>
                <w:szCs w:val="18"/>
                <w:lang w:val="en-GB"/>
              </w:rPr>
              <w:sym w:font="Symbol" w:char="F0B1"/>
            </w:r>
            <w:r w:rsidRPr="00800B07">
              <w:rPr>
                <w:rFonts w:ascii="Calibri" w:hAnsi="Calibri"/>
                <w:sz w:val="18"/>
                <w:szCs w:val="18"/>
                <w:lang w:val="en-GB"/>
              </w:rPr>
              <w:t>606</w:t>
            </w:r>
            <w:r>
              <w:rPr>
                <w:rFonts w:ascii="Calibri" w:hAnsi="Calibri"/>
                <w:sz w:val="18"/>
                <w:szCs w:val="18"/>
                <w:lang w:val="en-GB"/>
              </w:rPr>
              <w:t>.</w:t>
            </w:r>
            <w:r w:rsidRPr="00800B07">
              <w:rPr>
                <w:rFonts w:ascii="Calibri" w:hAnsi="Calibri"/>
                <w:sz w:val="18"/>
                <w:szCs w:val="18"/>
                <w:lang w:val="en-GB"/>
              </w:rPr>
              <w:t>9</w:t>
            </w:r>
          </w:p>
        </w:tc>
        <w:tc>
          <w:tcPr>
            <w:tcW w:w="1361" w:type="dxa"/>
          </w:tcPr>
          <w:p w14:paraId="5AC15B6A" w14:textId="77777777" w:rsidR="0057187E" w:rsidRPr="00800B07" w:rsidRDefault="0057187E" w:rsidP="0057187E">
            <w:pPr>
              <w:rPr>
                <w:sz w:val="18"/>
                <w:szCs w:val="18"/>
                <w:lang w:val="fr-BE"/>
              </w:rPr>
            </w:pPr>
            <w:r w:rsidRPr="00800B07">
              <w:rPr>
                <w:sz w:val="18"/>
                <w:szCs w:val="18"/>
                <w:lang w:val="fr-BE"/>
              </w:rPr>
              <w:t>66</w:t>
            </w:r>
            <w:r>
              <w:rPr>
                <w:sz w:val="18"/>
                <w:szCs w:val="18"/>
                <w:lang w:val="fr-BE"/>
              </w:rPr>
              <w:t>.</w:t>
            </w:r>
            <w:r w:rsidRPr="00800B07">
              <w:rPr>
                <w:sz w:val="18"/>
                <w:szCs w:val="18"/>
                <w:lang w:val="fr-BE"/>
              </w:rPr>
              <w:t xml:space="preserve">0 </w:t>
            </w:r>
          </w:p>
        </w:tc>
        <w:tc>
          <w:tcPr>
            <w:tcW w:w="1361" w:type="dxa"/>
          </w:tcPr>
          <w:p w14:paraId="46DCD802" w14:textId="77777777" w:rsidR="0057187E" w:rsidRPr="00800B07" w:rsidRDefault="0057187E" w:rsidP="0057187E">
            <w:pPr>
              <w:rPr>
                <w:sz w:val="18"/>
                <w:szCs w:val="18"/>
                <w:lang w:val="fr-BE"/>
              </w:rPr>
            </w:pPr>
            <w:r w:rsidRPr="00800B07">
              <w:rPr>
                <w:sz w:val="18"/>
                <w:szCs w:val="18"/>
                <w:lang w:val="fr-BE"/>
              </w:rPr>
              <w:t>59</w:t>
            </w:r>
            <w:r>
              <w:rPr>
                <w:sz w:val="18"/>
                <w:szCs w:val="18"/>
                <w:lang w:val="fr-BE"/>
              </w:rPr>
              <w:t>.</w:t>
            </w:r>
            <w:r w:rsidRPr="00800B07">
              <w:rPr>
                <w:sz w:val="18"/>
                <w:szCs w:val="18"/>
                <w:lang w:val="fr-BE"/>
              </w:rPr>
              <w:t xml:space="preserve">4 </w:t>
            </w:r>
          </w:p>
        </w:tc>
        <w:tc>
          <w:tcPr>
            <w:tcW w:w="1361" w:type="dxa"/>
          </w:tcPr>
          <w:p w14:paraId="2157B126" w14:textId="77777777" w:rsidR="0057187E" w:rsidRPr="00800B07" w:rsidRDefault="0057187E" w:rsidP="0057187E">
            <w:pPr>
              <w:rPr>
                <w:rFonts w:ascii="Calibri" w:hAnsi="Calibri"/>
                <w:sz w:val="18"/>
                <w:szCs w:val="18"/>
                <w:lang w:val="en-GB"/>
              </w:rPr>
            </w:pPr>
            <w:r w:rsidRPr="00800B07">
              <w:rPr>
                <w:sz w:val="18"/>
                <w:szCs w:val="18"/>
                <w:lang w:val="fr-BE"/>
              </w:rPr>
              <w:t>57</w:t>
            </w:r>
            <w:r>
              <w:rPr>
                <w:sz w:val="18"/>
                <w:szCs w:val="18"/>
                <w:lang w:val="fr-BE"/>
              </w:rPr>
              <w:t>.</w:t>
            </w:r>
            <w:r w:rsidRPr="00800B07">
              <w:rPr>
                <w:sz w:val="18"/>
                <w:szCs w:val="18"/>
                <w:lang w:val="fr-BE"/>
              </w:rPr>
              <w:t>1</w:t>
            </w:r>
            <w:r w:rsidRPr="00800B07">
              <w:rPr>
                <w:rFonts w:ascii="Calibri" w:hAnsi="Calibri"/>
                <w:sz w:val="18"/>
                <w:szCs w:val="18"/>
                <w:lang w:val="en-GB"/>
              </w:rPr>
              <w:sym w:font="Symbol" w:char="F0B1"/>
            </w:r>
            <w:r w:rsidRPr="00800B07">
              <w:rPr>
                <w:rFonts w:ascii="Calibri" w:hAnsi="Calibri"/>
                <w:sz w:val="18"/>
                <w:szCs w:val="18"/>
                <w:lang w:val="en-GB"/>
              </w:rPr>
              <w:t>6</w:t>
            </w:r>
            <w:r>
              <w:rPr>
                <w:rFonts w:ascii="Calibri" w:hAnsi="Calibri"/>
                <w:sz w:val="18"/>
                <w:szCs w:val="18"/>
                <w:lang w:val="en-GB"/>
              </w:rPr>
              <w:t>.</w:t>
            </w:r>
            <w:r w:rsidRPr="00800B07">
              <w:rPr>
                <w:rFonts w:ascii="Calibri" w:hAnsi="Calibri"/>
                <w:sz w:val="18"/>
                <w:szCs w:val="18"/>
                <w:lang w:val="en-GB"/>
              </w:rPr>
              <w:t>4</w:t>
            </w:r>
          </w:p>
        </w:tc>
      </w:tr>
      <w:tr w:rsidR="0057187E" w:rsidRPr="00800B07" w14:paraId="557737FD" w14:textId="77777777" w:rsidTr="0057187E">
        <w:trPr>
          <w:trHeight w:val="449"/>
        </w:trPr>
        <w:tc>
          <w:tcPr>
            <w:tcW w:w="4320" w:type="dxa"/>
            <w:tcBorders>
              <w:right w:val="single" w:sz="12" w:space="0" w:color="auto"/>
            </w:tcBorders>
          </w:tcPr>
          <w:p w14:paraId="2B16AE9C" w14:textId="77777777" w:rsidR="0057187E" w:rsidRPr="00800B07" w:rsidRDefault="0057187E" w:rsidP="0057187E">
            <w:pPr>
              <w:rPr>
                <w:b/>
                <w:bCs/>
                <w:sz w:val="18"/>
                <w:szCs w:val="18"/>
                <w:lang w:val="en-GB"/>
              </w:rPr>
            </w:pPr>
            <w:r w:rsidRPr="00800B07">
              <w:rPr>
                <w:b/>
                <w:bCs/>
                <w:sz w:val="18"/>
                <w:szCs w:val="18"/>
                <w:lang w:val="en-GB"/>
              </w:rPr>
              <w:t xml:space="preserve">Increased uric acid excretion, </w:t>
            </w: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SD (mg/24h)</w:t>
            </w:r>
          </w:p>
        </w:tc>
        <w:tc>
          <w:tcPr>
            <w:tcW w:w="136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0354EB8" w14:textId="77777777" w:rsidR="0057187E" w:rsidRPr="00800B07" w:rsidRDefault="0057187E" w:rsidP="0057187E">
            <w:pPr>
              <w:rPr>
                <w:sz w:val="18"/>
                <w:szCs w:val="18"/>
                <w:lang w:val="en-GB"/>
              </w:rPr>
            </w:pPr>
            <w:r w:rsidRPr="00800B07">
              <w:rPr>
                <w:sz w:val="18"/>
                <w:szCs w:val="18"/>
              </w:rPr>
              <w:t>1000</w:t>
            </w:r>
            <w:r>
              <w:rPr>
                <w:sz w:val="18"/>
                <w:szCs w:val="18"/>
              </w:rPr>
              <w:t>.</w:t>
            </w:r>
            <w:r w:rsidRPr="00800B07">
              <w:rPr>
                <w:sz w:val="18"/>
                <w:szCs w:val="18"/>
              </w:rPr>
              <w:t>3</w:t>
            </w:r>
            <w:r w:rsidRPr="00800B07">
              <w:rPr>
                <w:rFonts w:ascii="Calibri" w:hAnsi="Calibri"/>
                <w:sz w:val="18"/>
                <w:szCs w:val="18"/>
                <w:lang w:val="en-GB"/>
              </w:rPr>
              <w:sym w:font="Symbol" w:char="F0B1"/>
            </w:r>
            <w:r w:rsidRPr="00800B07">
              <w:rPr>
                <w:sz w:val="18"/>
                <w:szCs w:val="18"/>
              </w:rPr>
              <w:t>213</w:t>
            </w:r>
            <w:r>
              <w:rPr>
                <w:sz w:val="18"/>
                <w:szCs w:val="18"/>
              </w:rPr>
              <w:t>.</w:t>
            </w:r>
            <w:r w:rsidRPr="00800B07">
              <w:rPr>
                <w:sz w:val="18"/>
                <w:szCs w:val="18"/>
              </w:rPr>
              <w:t>8</w:t>
            </w:r>
          </w:p>
        </w:tc>
        <w:tc>
          <w:tcPr>
            <w:tcW w:w="1361" w:type="dxa"/>
            <w:tcBorders>
              <w:left w:val="single" w:sz="12" w:space="0" w:color="auto"/>
            </w:tcBorders>
          </w:tcPr>
          <w:p w14:paraId="3819BD97" w14:textId="77777777" w:rsidR="0057187E" w:rsidRPr="00800B07" w:rsidRDefault="0057187E" w:rsidP="0057187E">
            <w:pPr>
              <w:rPr>
                <w:sz w:val="18"/>
                <w:szCs w:val="18"/>
                <w:lang w:val="en-GB"/>
              </w:rPr>
            </w:pPr>
            <w:r w:rsidRPr="00800B07">
              <w:rPr>
                <w:sz w:val="18"/>
                <w:szCs w:val="18"/>
                <w:lang w:val="fr-BE"/>
              </w:rPr>
              <w:t>975</w:t>
            </w:r>
            <w:r>
              <w:rPr>
                <w:sz w:val="18"/>
                <w:szCs w:val="18"/>
                <w:lang w:val="fr-BE"/>
              </w:rPr>
              <w:t>.</w:t>
            </w:r>
            <w:r w:rsidRPr="00800B07">
              <w:rPr>
                <w:sz w:val="18"/>
                <w:szCs w:val="18"/>
                <w:lang w:val="fr-BE"/>
              </w:rPr>
              <w:t>5</w:t>
            </w:r>
            <w:r w:rsidRPr="00800B07">
              <w:rPr>
                <w:rFonts w:ascii="Calibri" w:hAnsi="Calibri"/>
                <w:sz w:val="18"/>
                <w:szCs w:val="18"/>
                <w:lang w:val="en-GB"/>
              </w:rPr>
              <w:sym w:font="Symbol" w:char="F0B1"/>
            </w:r>
            <w:r w:rsidRPr="00800B07">
              <w:rPr>
                <w:rFonts w:ascii="Calibri" w:hAnsi="Calibri"/>
                <w:sz w:val="18"/>
                <w:szCs w:val="18"/>
                <w:lang w:val="en-GB"/>
              </w:rPr>
              <w:t>157</w:t>
            </w:r>
            <w:r>
              <w:rPr>
                <w:rFonts w:ascii="Calibri" w:hAnsi="Calibri"/>
                <w:sz w:val="18"/>
                <w:szCs w:val="18"/>
                <w:lang w:val="en-GB"/>
              </w:rPr>
              <w:t>.</w:t>
            </w:r>
            <w:r w:rsidRPr="00800B07">
              <w:rPr>
                <w:rFonts w:ascii="Calibri" w:hAnsi="Calibri"/>
                <w:sz w:val="18"/>
                <w:szCs w:val="18"/>
                <w:lang w:val="en-GB"/>
              </w:rPr>
              <w:t>1</w:t>
            </w:r>
          </w:p>
        </w:tc>
        <w:tc>
          <w:tcPr>
            <w:tcW w:w="1361" w:type="dxa"/>
          </w:tcPr>
          <w:p w14:paraId="4E8B0E0A" w14:textId="77777777" w:rsidR="0057187E" w:rsidRPr="00800B07" w:rsidRDefault="0057187E" w:rsidP="0057187E">
            <w:pPr>
              <w:rPr>
                <w:sz w:val="18"/>
                <w:szCs w:val="18"/>
                <w:lang w:val="en-GB"/>
              </w:rPr>
            </w:pPr>
            <w:r w:rsidRPr="00800B07">
              <w:rPr>
                <w:sz w:val="18"/>
                <w:szCs w:val="18"/>
                <w:lang w:val="fr-BE"/>
              </w:rPr>
              <w:t>1072</w:t>
            </w:r>
            <w:r>
              <w:rPr>
                <w:sz w:val="18"/>
                <w:szCs w:val="18"/>
                <w:lang w:val="fr-BE"/>
              </w:rPr>
              <w:t>.</w:t>
            </w:r>
            <w:r w:rsidRPr="00800B07">
              <w:rPr>
                <w:sz w:val="18"/>
                <w:szCs w:val="18"/>
                <w:lang w:val="fr-BE"/>
              </w:rPr>
              <w:t>2</w:t>
            </w:r>
            <w:r w:rsidRPr="00800B07">
              <w:rPr>
                <w:rFonts w:ascii="Calibri" w:hAnsi="Calibri"/>
                <w:sz w:val="18"/>
                <w:szCs w:val="18"/>
                <w:lang w:val="en-GB"/>
              </w:rPr>
              <w:sym w:font="Symbol" w:char="F0B1"/>
            </w:r>
            <w:r w:rsidRPr="00800B07">
              <w:rPr>
                <w:rFonts w:ascii="Calibri" w:hAnsi="Calibri"/>
                <w:sz w:val="18"/>
                <w:szCs w:val="18"/>
                <w:lang w:val="en-GB"/>
              </w:rPr>
              <w:t>419</w:t>
            </w:r>
            <w:r>
              <w:rPr>
                <w:rFonts w:ascii="Calibri" w:hAnsi="Calibri"/>
                <w:sz w:val="18"/>
                <w:szCs w:val="18"/>
                <w:lang w:val="en-GB"/>
              </w:rPr>
              <w:t>.</w:t>
            </w:r>
            <w:r w:rsidRPr="00800B07">
              <w:rPr>
                <w:rFonts w:ascii="Calibri" w:hAnsi="Calibri"/>
                <w:sz w:val="18"/>
                <w:szCs w:val="18"/>
                <w:lang w:val="en-GB"/>
              </w:rPr>
              <w:t>4</w:t>
            </w:r>
          </w:p>
        </w:tc>
        <w:tc>
          <w:tcPr>
            <w:tcW w:w="1361" w:type="dxa"/>
          </w:tcPr>
          <w:p w14:paraId="47A67AB6" w14:textId="77777777" w:rsidR="0057187E" w:rsidRPr="00800B07" w:rsidRDefault="0057187E" w:rsidP="0057187E">
            <w:pPr>
              <w:rPr>
                <w:sz w:val="18"/>
                <w:szCs w:val="18"/>
                <w:lang w:val="en-GB"/>
              </w:rPr>
            </w:pPr>
            <w:r w:rsidRPr="00800B07">
              <w:rPr>
                <w:sz w:val="18"/>
                <w:szCs w:val="18"/>
              </w:rPr>
              <w:t>NA</w:t>
            </w:r>
          </w:p>
        </w:tc>
        <w:tc>
          <w:tcPr>
            <w:tcW w:w="1361" w:type="dxa"/>
          </w:tcPr>
          <w:p w14:paraId="58BE733B" w14:textId="77777777" w:rsidR="0057187E" w:rsidRPr="00800B07" w:rsidRDefault="0057187E" w:rsidP="0057187E">
            <w:pPr>
              <w:rPr>
                <w:sz w:val="18"/>
                <w:szCs w:val="18"/>
                <w:lang w:val="en-GB"/>
              </w:rPr>
            </w:pPr>
            <w:r w:rsidRPr="00800B07">
              <w:rPr>
                <w:sz w:val="18"/>
                <w:szCs w:val="18"/>
                <w:lang w:val="fr-BE"/>
              </w:rPr>
              <w:t>912</w:t>
            </w:r>
            <w:r>
              <w:rPr>
                <w:sz w:val="18"/>
                <w:szCs w:val="18"/>
                <w:lang w:val="fr-BE"/>
              </w:rPr>
              <w:t>.</w:t>
            </w:r>
            <w:r w:rsidRPr="00800B07">
              <w:rPr>
                <w:sz w:val="18"/>
                <w:szCs w:val="18"/>
                <w:lang w:val="fr-BE"/>
              </w:rPr>
              <w:t>0</w:t>
            </w:r>
            <w:r w:rsidRPr="00800B07">
              <w:rPr>
                <w:rFonts w:ascii="Calibri" w:hAnsi="Calibri"/>
                <w:sz w:val="18"/>
                <w:szCs w:val="18"/>
                <w:lang w:val="en-GB"/>
              </w:rPr>
              <w:sym w:font="Symbol" w:char="F0B1"/>
            </w:r>
            <w:r w:rsidRPr="00800B07">
              <w:rPr>
                <w:rFonts w:ascii="Calibri" w:hAnsi="Calibri"/>
                <w:sz w:val="18"/>
                <w:szCs w:val="18"/>
                <w:lang w:val="en-GB"/>
              </w:rPr>
              <w:t>134</w:t>
            </w:r>
            <w:r>
              <w:rPr>
                <w:rFonts w:ascii="Calibri" w:hAnsi="Calibri"/>
                <w:sz w:val="18"/>
                <w:szCs w:val="18"/>
                <w:lang w:val="en-GB"/>
              </w:rPr>
              <w:t>.</w:t>
            </w:r>
            <w:r w:rsidRPr="00800B07">
              <w:rPr>
                <w:rFonts w:ascii="Calibri" w:hAnsi="Calibri"/>
                <w:sz w:val="18"/>
                <w:szCs w:val="18"/>
                <w:lang w:val="en-GB"/>
              </w:rPr>
              <w:t>2</w:t>
            </w:r>
          </w:p>
        </w:tc>
        <w:tc>
          <w:tcPr>
            <w:tcW w:w="1361" w:type="dxa"/>
          </w:tcPr>
          <w:p w14:paraId="1D57737B" w14:textId="77777777" w:rsidR="0057187E" w:rsidRPr="00800B07" w:rsidRDefault="0057187E" w:rsidP="0057187E">
            <w:pPr>
              <w:rPr>
                <w:sz w:val="18"/>
                <w:szCs w:val="18"/>
                <w:lang w:val="en-GB"/>
              </w:rPr>
            </w:pPr>
            <w:r w:rsidRPr="00800B07">
              <w:rPr>
                <w:sz w:val="18"/>
                <w:szCs w:val="18"/>
                <w:lang w:val="fr-BE"/>
              </w:rPr>
              <w:t>881</w:t>
            </w:r>
            <w:r>
              <w:rPr>
                <w:sz w:val="18"/>
                <w:szCs w:val="18"/>
                <w:lang w:val="fr-BE"/>
              </w:rPr>
              <w:t>.</w:t>
            </w:r>
            <w:r w:rsidRPr="00800B07">
              <w:rPr>
                <w:sz w:val="18"/>
                <w:szCs w:val="18"/>
                <w:lang w:val="fr-BE"/>
              </w:rPr>
              <w:t>5</w:t>
            </w:r>
            <w:r w:rsidRPr="00800B07">
              <w:rPr>
                <w:rFonts w:ascii="Calibri" w:hAnsi="Calibri"/>
                <w:sz w:val="18"/>
                <w:szCs w:val="18"/>
                <w:lang w:val="en-GB"/>
              </w:rPr>
              <w:sym w:font="Symbol" w:char="F0B1"/>
            </w:r>
            <w:r w:rsidRPr="00800B07">
              <w:rPr>
                <w:rFonts w:ascii="Calibri" w:hAnsi="Calibri"/>
                <w:sz w:val="18"/>
                <w:szCs w:val="18"/>
                <w:lang w:val="en-GB"/>
              </w:rPr>
              <w:t>112</w:t>
            </w:r>
            <w:r>
              <w:rPr>
                <w:rFonts w:ascii="Calibri" w:hAnsi="Calibri"/>
                <w:sz w:val="18"/>
                <w:szCs w:val="18"/>
                <w:lang w:val="en-GB"/>
              </w:rPr>
              <w:t>.</w:t>
            </w:r>
            <w:r w:rsidRPr="00800B07">
              <w:rPr>
                <w:rFonts w:ascii="Calibri" w:hAnsi="Calibri"/>
                <w:sz w:val="18"/>
                <w:szCs w:val="18"/>
                <w:lang w:val="en-GB"/>
              </w:rPr>
              <w:t>0</w:t>
            </w:r>
          </w:p>
        </w:tc>
        <w:tc>
          <w:tcPr>
            <w:tcW w:w="1361" w:type="dxa"/>
          </w:tcPr>
          <w:p w14:paraId="3EF5EF61" w14:textId="77777777" w:rsidR="0057187E" w:rsidRPr="00800B07" w:rsidRDefault="0057187E" w:rsidP="0057187E">
            <w:pPr>
              <w:rPr>
                <w:sz w:val="18"/>
                <w:szCs w:val="18"/>
                <w:lang w:val="en-GB"/>
              </w:rPr>
            </w:pPr>
            <w:r w:rsidRPr="00800B07">
              <w:rPr>
                <w:sz w:val="18"/>
                <w:szCs w:val="18"/>
                <w:lang w:val="fr-BE"/>
              </w:rPr>
              <w:t>785</w:t>
            </w:r>
            <w:r>
              <w:rPr>
                <w:sz w:val="18"/>
                <w:szCs w:val="18"/>
                <w:lang w:val="fr-BE"/>
              </w:rPr>
              <w:t>.</w:t>
            </w:r>
            <w:r w:rsidRPr="00800B07">
              <w:rPr>
                <w:sz w:val="18"/>
                <w:szCs w:val="18"/>
                <w:lang w:val="fr-BE"/>
              </w:rPr>
              <w:t>0</w:t>
            </w:r>
          </w:p>
        </w:tc>
        <w:tc>
          <w:tcPr>
            <w:tcW w:w="1361" w:type="dxa"/>
          </w:tcPr>
          <w:p w14:paraId="7BED30D4" w14:textId="77777777" w:rsidR="0057187E" w:rsidRPr="00800B07" w:rsidRDefault="0057187E" w:rsidP="0057187E">
            <w:pPr>
              <w:rPr>
                <w:sz w:val="18"/>
                <w:szCs w:val="18"/>
                <w:lang w:val="en-GB"/>
              </w:rPr>
            </w:pPr>
            <w:r w:rsidRPr="00800B07">
              <w:rPr>
                <w:sz w:val="18"/>
                <w:szCs w:val="18"/>
                <w:lang w:val="fr-BE"/>
              </w:rPr>
              <w:t>930</w:t>
            </w:r>
            <w:r>
              <w:rPr>
                <w:sz w:val="18"/>
                <w:szCs w:val="18"/>
                <w:lang w:val="fr-BE"/>
              </w:rPr>
              <w:t>.</w:t>
            </w:r>
            <w:r w:rsidRPr="00800B07">
              <w:rPr>
                <w:sz w:val="18"/>
                <w:szCs w:val="18"/>
                <w:lang w:val="fr-BE"/>
              </w:rPr>
              <w:t>0</w:t>
            </w:r>
            <w:r w:rsidRPr="00800B07">
              <w:rPr>
                <w:rFonts w:ascii="Calibri" w:hAnsi="Calibri"/>
                <w:sz w:val="18"/>
                <w:szCs w:val="18"/>
                <w:lang w:val="en-GB"/>
              </w:rPr>
              <w:sym w:font="Symbol" w:char="F0B1"/>
            </w:r>
            <w:r w:rsidRPr="00800B07">
              <w:rPr>
                <w:rFonts w:ascii="Calibri" w:hAnsi="Calibri"/>
                <w:sz w:val="18"/>
                <w:szCs w:val="18"/>
                <w:lang w:val="en-GB"/>
              </w:rPr>
              <w:t>176</w:t>
            </w:r>
            <w:r>
              <w:rPr>
                <w:rFonts w:ascii="Calibri" w:hAnsi="Calibri"/>
                <w:sz w:val="18"/>
                <w:szCs w:val="18"/>
                <w:lang w:val="en-GB"/>
              </w:rPr>
              <w:t>.</w:t>
            </w:r>
            <w:r w:rsidRPr="00800B07">
              <w:rPr>
                <w:rFonts w:ascii="Calibri" w:hAnsi="Calibri"/>
                <w:sz w:val="18"/>
                <w:szCs w:val="18"/>
                <w:lang w:val="en-GB"/>
              </w:rPr>
              <w:t>8</w:t>
            </w:r>
          </w:p>
        </w:tc>
      </w:tr>
      <w:tr w:rsidR="0057187E" w:rsidRPr="00800B07" w14:paraId="4BFE8DEC" w14:textId="77777777" w:rsidTr="0057187E">
        <w:trPr>
          <w:trHeight w:val="449"/>
        </w:trPr>
        <w:tc>
          <w:tcPr>
            <w:tcW w:w="4320" w:type="dxa"/>
            <w:tcBorders>
              <w:right w:val="single" w:sz="12" w:space="0" w:color="auto"/>
            </w:tcBorders>
          </w:tcPr>
          <w:p w14:paraId="59ABD23B" w14:textId="77777777" w:rsidR="0057187E" w:rsidRPr="00800B07" w:rsidRDefault="0057187E" w:rsidP="0057187E">
            <w:pPr>
              <w:rPr>
                <w:b/>
                <w:bCs/>
                <w:sz w:val="18"/>
                <w:szCs w:val="18"/>
                <w:lang w:val="en-GB"/>
              </w:rPr>
            </w:pPr>
            <w:r w:rsidRPr="00800B07">
              <w:rPr>
                <w:b/>
                <w:bCs/>
                <w:sz w:val="18"/>
                <w:szCs w:val="18"/>
                <w:lang w:val="en-GB"/>
              </w:rPr>
              <w:t xml:space="preserve">Increased sodium excretion, </w:t>
            </w: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SD (mmol/24h)</w:t>
            </w:r>
          </w:p>
        </w:tc>
        <w:tc>
          <w:tcPr>
            <w:tcW w:w="136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FACFBCC" w14:textId="77777777" w:rsidR="0057187E" w:rsidRPr="00800B07" w:rsidRDefault="0057187E" w:rsidP="0057187E">
            <w:pPr>
              <w:rPr>
                <w:sz w:val="18"/>
                <w:szCs w:val="18"/>
                <w:lang w:val="en-GB"/>
              </w:rPr>
            </w:pPr>
            <w:r w:rsidRPr="00800B07">
              <w:rPr>
                <w:sz w:val="18"/>
                <w:szCs w:val="18"/>
                <w:lang w:val="fr-BE"/>
              </w:rPr>
              <w:t>227</w:t>
            </w:r>
            <w:r>
              <w:rPr>
                <w:sz w:val="18"/>
                <w:szCs w:val="18"/>
                <w:lang w:val="fr-BE"/>
              </w:rPr>
              <w:t>.</w:t>
            </w:r>
            <w:r w:rsidRPr="00800B07">
              <w:rPr>
                <w:sz w:val="18"/>
                <w:szCs w:val="18"/>
                <w:lang w:val="fr-BE"/>
              </w:rPr>
              <w:t>3</w:t>
            </w:r>
            <w:r w:rsidRPr="00800B07">
              <w:rPr>
                <w:rFonts w:ascii="Calibri" w:hAnsi="Calibri"/>
                <w:sz w:val="18"/>
                <w:szCs w:val="18"/>
                <w:lang w:val="en-GB"/>
              </w:rPr>
              <w:sym w:font="Symbol" w:char="F0B1"/>
            </w:r>
            <w:r w:rsidRPr="00800B07">
              <w:rPr>
                <w:sz w:val="18"/>
                <w:szCs w:val="18"/>
                <w:lang w:val="fr-BE"/>
              </w:rPr>
              <w:t>68</w:t>
            </w:r>
            <w:r>
              <w:rPr>
                <w:sz w:val="18"/>
                <w:szCs w:val="18"/>
                <w:lang w:val="fr-BE"/>
              </w:rPr>
              <w:t>.</w:t>
            </w:r>
            <w:r w:rsidRPr="00800B07">
              <w:rPr>
                <w:sz w:val="18"/>
                <w:szCs w:val="18"/>
                <w:lang w:val="fr-BE"/>
              </w:rPr>
              <w:t>4</w:t>
            </w:r>
          </w:p>
        </w:tc>
        <w:tc>
          <w:tcPr>
            <w:tcW w:w="1361" w:type="dxa"/>
            <w:tcBorders>
              <w:left w:val="single" w:sz="12" w:space="0" w:color="auto"/>
            </w:tcBorders>
          </w:tcPr>
          <w:p w14:paraId="1A449D33" w14:textId="77777777" w:rsidR="0057187E" w:rsidRPr="00800B07" w:rsidRDefault="0057187E" w:rsidP="0057187E">
            <w:pPr>
              <w:rPr>
                <w:sz w:val="18"/>
                <w:szCs w:val="18"/>
                <w:lang w:val="en-GB"/>
              </w:rPr>
            </w:pPr>
            <w:r w:rsidRPr="00800B07">
              <w:rPr>
                <w:sz w:val="18"/>
                <w:szCs w:val="18"/>
                <w:lang w:val="fr-BE"/>
              </w:rPr>
              <w:t>231</w:t>
            </w:r>
            <w:r>
              <w:rPr>
                <w:sz w:val="18"/>
                <w:szCs w:val="18"/>
                <w:lang w:val="fr-BE"/>
              </w:rPr>
              <w:t>.</w:t>
            </w:r>
            <w:r w:rsidRPr="00800B07">
              <w:rPr>
                <w:sz w:val="18"/>
                <w:szCs w:val="18"/>
                <w:lang w:val="fr-BE"/>
              </w:rPr>
              <w:t>2</w:t>
            </w:r>
            <w:r w:rsidRPr="00800B07">
              <w:rPr>
                <w:rFonts w:ascii="Calibri" w:hAnsi="Calibri"/>
                <w:sz w:val="18"/>
                <w:szCs w:val="18"/>
                <w:lang w:val="en-GB"/>
              </w:rPr>
              <w:sym w:font="Symbol" w:char="F0B1"/>
            </w:r>
            <w:r w:rsidRPr="00800B07">
              <w:rPr>
                <w:rFonts w:ascii="Calibri" w:hAnsi="Calibri"/>
                <w:sz w:val="18"/>
                <w:szCs w:val="18"/>
                <w:lang w:val="en-GB"/>
              </w:rPr>
              <w:t>69</w:t>
            </w:r>
            <w:r>
              <w:rPr>
                <w:rFonts w:ascii="Calibri" w:hAnsi="Calibri"/>
                <w:sz w:val="18"/>
                <w:szCs w:val="18"/>
                <w:lang w:val="en-GB"/>
              </w:rPr>
              <w:t>.</w:t>
            </w:r>
            <w:r w:rsidRPr="00800B07">
              <w:rPr>
                <w:rFonts w:ascii="Calibri" w:hAnsi="Calibri"/>
                <w:sz w:val="18"/>
                <w:szCs w:val="18"/>
                <w:lang w:val="en-GB"/>
              </w:rPr>
              <w:t>1</w:t>
            </w:r>
          </w:p>
        </w:tc>
        <w:tc>
          <w:tcPr>
            <w:tcW w:w="1361" w:type="dxa"/>
          </w:tcPr>
          <w:p w14:paraId="554F6A12" w14:textId="77777777" w:rsidR="0057187E" w:rsidRPr="00800B07" w:rsidRDefault="0057187E" w:rsidP="0057187E">
            <w:pPr>
              <w:rPr>
                <w:sz w:val="18"/>
                <w:szCs w:val="18"/>
                <w:lang w:val="en-GB"/>
              </w:rPr>
            </w:pPr>
            <w:r w:rsidRPr="00800B07">
              <w:rPr>
                <w:sz w:val="18"/>
                <w:szCs w:val="18"/>
                <w:lang w:val="fr-BE"/>
              </w:rPr>
              <w:t>258</w:t>
            </w:r>
            <w:r>
              <w:rPr>
                <w:sz w:val="18"/>
                <w:szCs w:val="18"/>
                <w:lang w:val="fr-BE"/>
              </w:rPr>
              <w:t>.</w:t>
            </w:r>
            <w:r w:rsidRPr="00800B07">
              <w:rPr>
                <w:sz w:val="18"/>
                <w:szCs w:val="18"/>
                <w:lang w:val="fr-BE"/>
              </w:rPr>
              <w:t>1</w:t>
            </w:r>
            <w:r w:rsidRPr="00800B07">
              <w:rPr>
                <w:rFonts w:ascii="Calibri" w:hAnsi="Calibri"/>
                <w:sz w:val="18"/>
                <w:szCs w:val="18"/>
                <w:lang w:val="en-GB"/>
              </w:rPr>
              <w:sym w:font="Symbol" w:char="F0B1"/>
            </w:r>
            <w:r w:rsidRPr="00800B07">
              <w:rPr>
                <w:rFonts w:ascii="Calibri" w:hAnsi="Calibri"/>
                <w:sz w:val="18"/>
                <w:szCs w:val="18"/>
                <w:lang w:val="en-GB"/>
              </w:rPr>
              <w:t>102</w:t>
            </w:r>
            <w:r>
              <w:rPr>
                <w:rFonts w:ascii="Calibri" w:hAnsi="Calibri"/>
                <w:sz w:val="18"/>
                <w:szCs w:val="18"/>
                <w:lang w:val="en-GB"/>
              </w:rPr>
              <w:t>.</w:t>
            </w:r>
            <w:r w:rsidRPr="00800B07">
              <w:rPr>
                <w:rFonts w:ascii="Calibri" w:hAnsi="Calibri"/>
                <w:sz w:val="18"/>
                <w:szCs w:val="18"/>
                <w:lang w:val="en-GB"/>
              </w:rPr>
              <w:t>0</w:t>
            </w:r>
          </w:p>
        </w:tc>
        <w:tc>
          <w:tcPr>
            <w:tcW w:w="1361" w:type="dxa"/>
          </w:tcPr>
          <w:p w14:paraId="62A50563" w14:textId="77777777" w:rsidR="0057187E" w:rsidRPr="00800B07" w:rsidRDefault="0057187E" w:rsidP="0057187E">
            <w:pPr>
              <w:rPr>
                <w:rFonts w:ascii="Calibri" w:hAnsi="Calibri"/>
                <w:sz w:val="18"/>
                <w:szCs w:val="18"/>
                <w:lang w:val="en-GB"/>
              </w:rPr>
            </w:pPr>
            <w:r w:rsidRPr="00800B07">
              <w:rPr>
                <w:sz w:val="18"/>
                <w:szCs w:val="18"/>
                <w:lang w:val="fr-BE"/>
              </w:rPr>
              <w:t>225</w:t>
            </w:r>
            <w:r>
              <w:rPr>
                <w:sz w:val="18"/>
                <w:szCs w:val="18"/>
                <w:lang w:val="fr-BE"/>
              </w:rPr>
              <w:t>.</w:t>
            </w:r>
            <w:r w:rsidRPr="00800B07">
              <w:rPr>
                <w:sz w:val="18"/>
                <w:szCs w:val="18"/>
                <w:lang w:val="fr-BE"/>
              </w:rPr>
              <w:t>2</w:t>
            </w:r>
            <w:r w:rsidRPr="00800B07">
              <w:rPr>
                <w:rFonts w:ascii="Calibri" w:hAnsi="Calibri"/>
                <w:sz w:val="18"/>
                <w:szCs w:val="18"/>
                <w:lang w:val="en-GB"/>
              </w:rPr>
              <w:sym w:font="Symbol" w:char="F0B1"/>
            </w:r>
            <w:r w:rsidRPr="00800B07">
              <w:rPr>
                <w:rFonts w:ascii="Calibri" w:hAnsi="Calibri"/>
                <w:sz w:val="18"/>
                <w:szCs w:val="18"/>
                <w:lang w:val="en-GB"/>
              </w:rPr>
              <w:t>29</w:t>
            </w:r>
            <w:r>
              <w:rPr>
                <w:rFonts w:ascii="Calibri" w:hAnsi="Calibri"/>
                <w:sz w:val="18"/>
                <w:szCs w:val="18"/>
                <w:lang w:val="en-GB"/>
              </w:rPr>
              <w:t>.</w:t>
            </w:r>
            <w:r w:rsidRPr="00800B07">
              <w:rPr>
                <w:rFonts w:ascii="Calibri" w:hAnsi="Calibri"/>
                <w:sz w:val="18"/>
                <w:szCs w:val="18"/>
                <w:lang w:val="en-GB"/>
              </w:rPr>
              <w:t>4</w:t>
            </w:r>
          </w:p>
        </w:tc>
        <w:tc>
          <w:tcPr>
            <w:tcW w:w="1361" w:type="dxa"/>
          </w:tcPr>
          <w:p w14:paraId="6FCC806D" w14:textId="77777777" w:rsidR="0057187E" w:rsidRPr="00800B07" w:rsidRDefault="0057187E" w:rsidP="0057187E">
            <w:pPr>
              <w:rPr>
                <w:rFonts w:ascii="Calibri" w:hAnsi="Calibri"/>
                <w:sz w:val="18"/>
                <w:szCs w:val="18"/>
                <w:lang w:val="en-GB"/>
              </w:rPr>
            </w:pPr>
            <w:r w:rsidRPr="00800B07">
              <w:rPr>
                <w:sz w:val="18"/>
                <w:szCs w:val="18"/>
                <w:lang w:val="fr-BE"/>
              </w:rPr>
              <w:t>201</w:t>
            </w:r>
            <w:r>
              <w:rPr>
                <w:sz w:val="18"/>
                <w:szCs w:val="18"/>
                <w:lang w:val="fr-BE"/>
              </w:rPr>
              <w:t>.</w:t>
            </w:r>
            <w:r w:rsidRPr="00800B07">
              <w:rPr>
                <w:sz w:val="18"/>
                <w:szCs w:val="18"/>
                <w:lang w:val="fr-BE"/>
              </w:rPr>
              <w:t>9</w:t>
            </w:r>
            <w:r w:rsidRPr="00800B07">
              <w:rPr>
                <w:rFonts w:ascii="Calibri" w:hAnsi="Calibri"/>
                <w:sz w:val="18"/>
                <w:szCs w:val="18"/>
                <w:lang w:val="en-GB"/>
              </w:rPr>
              <w:sym w:font="Symbol" w:char="F0B1"/>
            </w:r>
            <w:r w:rsidRPr="00800B07">
              <w:rPr>
                <w:rFonts w:ascii="Calibri" w:hAnsi="Calibri"/>
                <w:sz w:val="18"/>
                <w:szCs w:val="18"/>
                <w:lang w:val="en-GB"/>
              </w:rPr>
              <w:t>37</w:t>
            </w:r>
            <w:r>
              <w:rPr>
                <w:rFonts w:ascii="Calibri" w:hAnsi="Calibri"/>
                <w:sz w:val="18"/>
                <w:szCs w:val="18"/>
                <w:lang w:val="en-GB"/>
              </w:rPr>
              <w:t>.</w:t>
            </w:r>
            <w:r w:rsidRPr="00800B07">
              <w:rPr>
                <w:rFonts w:ascii="Calibri" w:hAnsi="Calibri"/>
                <w:sz w:val="18"/>
                <w:szCs w:val="18"/>
                <w:lang w:val="en-GB"/>
              </w:rPr>
              <w:t>0</w:t>
            </w:r>
          </w:p>
        </w:tc>
        <w:tc>
          <w:tcPr>
            <w:tcW w:w="1361" w:type="dxa"/>
          </w:tcPr>
          <w:p w14:paraId="1367D128" w14:textId="77777777" w:rsidR="0057187E" w:rsidRPr="00800B07" w:rsidRDefault="0057187E" w:rsidP="0057187E">
            <w:pPr>
              <w:rPr>
                <w:sz w:val="18"/>
                <w:szCs w:val="18"/>
                <w:lang w:val="en-GB"/>
              </w:rPr>
            </w:pPr>
            <w:r w:rsidRPr="00800B07">
              <w:rPr>
                <w:sz w:val="18"/>
                <w:szCs w:val="18"/>
                <w:lang w:val="fr-BE"/>
              </w:rPr>
              <w:t>221</w:t>
            </w:r>
            <w:r>
              <w:rPr>
                <w:sz w:val="18"/>
                <w:szCs w:val="18"/>
                <w:lang w:val="fr-BE"/>
              </w:rPr>
              <w:t>.</w:t>
            </w:r>
            <w:r w:rsidRPr="00800B07">
              <w:rPr>
                <w:sz w:val="18"/>
                <w:szCs w:val="18"/>
                <w:lang w:val="fr-BE"/>
              </w:rPr>
              <w:t>5</w:t>
            </w:r>
            <w:r w:rsidRPr="00800B07">
              <w:rPr>
                <w:rFonts w:ascii="Calibri" w:hAnsi="Calibri"/>
                <w:sz w:val="18"/>
                <w:szCs w:val="18"/>
                <w:lang w:val="en-GB"/>
              </w:rPr>
              <w:sym w:font="Symbol" w:char="F0B1"/>
            </w:r>
            <w:r w:rsidRPr="00800B07">
              <w:rPr>
                <w:rFonts w:ascii="Calibri" w:hAnsi="Calibri"/>
                <w:sz w:val="18"/>
                <w:szCs w:val="18"/>
                <w:lang w:val="en-GB"/>
              </w:rPr>
              <w:t>42</w:t>
            </w:r>
            <w:r>
              <w:rPr>
                <w:rFonts w:ascii="Calibri" w:hAnsi="Calibri"/>
                <w:sz w:val="18"/>
                <w:szCs w:val="18"/>
                <w:lang w:val="en-GB"/>
              </w:rPr>
              <w:t>.</w:t>
            </w:r>
            <w:r w:rsidRPr="00800B07">
              <w:rPr>
                <w:rFonts w:ascii="Calibri" w:hAnsi="Calibri"/>
                <w:sz w:val="18"/>
                <w:szCs w:val="18"/>
                <w:lang w:val="en-GB"/>
              </w:rPr>
              <w:t>7</w:t>
            </w:r>
          </w:p>
        </w:tc>
        <w:tc>
          <w:tcPr>
            <w:tcW w:w="1361" w:type="dxa"/>
          </w:tcPr>
          <w:p w14:paraId="10CFB33E" w14:textId="77777777" w:rsidR="0057187E" w:rsidRPr="00800B07" w:rsidRDefault="0057187E" w:rsidP="0057187E">
            <w:pPr>
              <w:rPr>
                <w:sz w:val="18"/>
                <w:szCs w:val="18"/>
                <w:lang w:val="en-GB"/>
              </w:rPr>
            </w:pPr>
            <w:r w:rsidRPr="00800B07">
              <w:rPr>
                <w:sz w:val="18"/>
                <w:szCs w:val="18"/>
                <w:lang w:val="fr-BE"/>
              </w:rPr>
              <w:t>194</w:t>
            </w:r>
            <w:r>
              <w:rPr>
                <w:sz w:val="18"/>
                <w:szCs w:val="18"/>
                <w:lang w:val="fr-BE"/>
              </w:rPr>
              <w:t>.</w:t>
            </w:r>
            <w:r w:rsidRPr="00800B07">
              <w:rPr>
                <w:sz w:val="18"/>
                <w:szCs w:val="18"/>
                <w:lang w:val="fr-BE"/>
              </w:rPr>
              <w:t>0</w:t>
            </w:r>
            <w:r w:rsidRPr="00800B07">
              <w:rPr>
                <w:rFonts w:ascii="Calibri" w:hAnsi="Calibri"/>
                <w:sz w:val="18"/>
                <w:szCs w:val="18"/>
                <w:lang w:val="en-GB"/>
              </w:rPr>
              <w:sym w:font="Symbol" w:char="F0B1"/>
            </w:r>
            <w:r w:rsidRPr="00800B07">
              <w:rPr>
                <w:rFonts w:ascii="Calibri" w:hAnsi="Calibri"/>
                <w:sz w:val="18"/>
                <w:szCs w:val="18"/>
                <w:lang w:val="en-GB"/>
              </w:rPr>
              <w:t>32</w:t>
            </w:r>
            <w:r>
              <w:rPr>
                <w:rFonts w:ascii="Calibri" w:hAnsi="Calibri"/>
                <w:sz w:val="18"/>
                <w:szCs w:val="18"/>
                <w:lang w:val="en-GB"/>
              </w:rPr>
              <w:t>.</w:t>
            </w:r>
            <w:r w:rsidRPr="00800B07">
              <w:rPr>
                <w:rFonts w:ascii="Calibri" w:hAnsi="Calibri"/>
                <w:sz w:val="18"/>
                <w:szCs w:val="18"/>
                <w:lang w:val="en-GB"/>
              </w:rPr>
              <w:t>0</w:t>
            </w:r>
          </w:p>
        </w:tc>
        <w:tc>
          <w:tcPr>
            <w:tcW w:w="1361" w:type="dxa"/>
          </w:tcPr>
          <w:p w14:paraId="0B1BFE7C" w14:textId="77777777" w:rsidR="0057187E" w:rsidRPr="00800B07" w:rsidRDefault="0057187E" w:rsidP="0057187E">
            <w:pPr>
              <w:rPr>
                <w:sz w:val="18"/>
                <w:szCs w:val="18"/>
                <w:lang w:val="en-GB"/>
              </w:rPr>
            </w:pPr>
            <w:r w:rsidRPr="00800B07">
              <w:rPr>
                <w:sz w:val="18"/>
                <w:szCs w:val="18"/>
                <w:lang w:val="fr-BE"/>
              </w:rPr>
              <w:t>229</w:t>
            </w:r>
            <w:r>
              <w:rPr>
                <w:sz w:val="18"/>
                <w:szCs w:val="18"/>
                <w:lang w:val="fr-BE"/>
              </w:rPr>
              <w:t>.</w:t>
            </w:r>
            <w:r w:rsidRPr="00800B07">
              <w:rPr>
                <w:sz w:val="18"/>
                <w:szCs w:val="18"/>
                <w:lang w:val="fr-BE"/>
              </w:rPr>
              <w:t>4</w:t>
            </w:r>
            <w:r w:rsidRPr="00800B07">
              <w:rPr>
                <w:rFonts w:ascii="Calibri" w:hAnsi="Calibri"/>
                <w:sz w:val="18"/>
                <w:szCs w:val="18"/>
                <w:lang w:val="en-GB"/>
              </w:rPr>
              <w:sym w:font="Symbol" w:char="F0B1"/>
            </w:r>
            <w:r w:rsidRPr="00800B07">
              <w:rPr>
                <w:rFonts w:ascii="Calibri" w:hAnsi="Calibri"/>
                <w:sz w:val="18"/>
                <w:szCs w:val="18"/>
                <w:lang w:val="en-GB"/>
              </w:rPr>
              <w:t>62</w:t>
            </w:r>
            <w:r>
              <w:rPr>
                <w:rFonts w:ascii="Calibri" w:hAnsi="Calibri"/>
                <w:sz w:val="18"/>
                <w:szCs w:val="18"/>
                <w:lang w:val="en-GB"/>
              </w:rPr>
              <w:t>.</w:t>
            </w:r>
            <w:r w:rsidRPr="00800B07">
              <w:rPr>
                <w:rFonts w:ascii="Calibri" w:hAnsi="Calibri"/>
                <w:sz w:val="18"/>
                <w:szCs w:val="18"/>
                <w:lang w:val="en-GB"/>
              </w:rPr>
              <w:t>6</w:t>
            </w:r>
          </w:p>
        </w:tc>
      </w:tr>
      <w:tr w:rsidR="0057187E" w:rsidRPr="00800B07" w14:paraId="1F6E96D4" w14:textId="77777777" w:rsidTr="0057187E">
        <w:trPr>
          <w:trHeight w:val="449"/>
        </w:trPr>
        <w:tc>
          <w:tcPr>
            <w:tcW w:w="4320" w:type="dxa"/>
            <w:tcBorders>
              <w:right w:val="single" w:sz="12" w:space="0" w:color="auto"/>
            </w:tcBorders>
          </w:tcPr>
          <w:p w14:paraId="7F977D62" w14:textId="77777777" w:rsidR="0057187E" w:rsidRPr="00800B07" w:rsidRDefault="0057187E" w:rsidP="0057187E">
            <w:pPr>
              <w:rPr>
                <w:b/>
                <w:bCs/>
                <w:sz w:val="18"/>
                <w:szCs w:val="18"/>
                <w:lang w:val="en-GB"/>
              </w:rPr>
            </w:pPr>
            <w:r w:rsidRPr="00800B07">
              <w:rPr>
                <w:b/>
                <w:bCs/>
                <w:sz w:val="18"/>
                <w:szCs w:val="18"/>
                <w:lang w:val="en-GB"/>
              </w:rPr>
              <w:t xml:space="preserve">Increased protein intake, </w:t>
            </w: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SD (g/kg ideal weight per 24h)</w:t>
            </w:r>
          </w:p>
        </w:tc>
        <w:tc>
          <w:tcPr>
            <w:tcW w:w="136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1B212F5" w14:textId="77777777" w:rsidR="0057187E" w:rsidRPr="00800B07" w:rsidRDefault="0057187E" w:rsidP="0057187E">
            <w:pPr>
              <w:rPr>
                <w:sz w:val="18"/>
                <w:szCs w:val="18"/>
                <w:lang w:val="en-GB"/>
              </w:rPr>
            </w:pPr>
            <w:r w:rsidRPr="00800B07">
              <w:rPr>
                <w:sz w:val="18"/>
                <w:szCs w:val="18"/>
              </w:rPr>
              <w:t>1</w:t>
            </w:r>
            <w:r>
              <w:rPr>
                <w:sz w:val="18"/>
                <w:szCs w:val="18"/>
              </w:rPr>
              <w:t>.</w:t>
            </w:r>
            <w:r w:rsidRPr="00800B07">
              <w:rPr>
                <w:sz w:val="18"/>
                <w:szCs w:val="18"/>
              </w:rPr>
              <w:t>4</w:t>
            </w:r>
            <w:r w:rsidRPr="00800B07">
              <w:rPr>
                <w:rFonts w:ascii="Calibri" w:hAnsi="Calibri"/>
                <w:sz w:val="18"/>
                <w:szCs w:val="18"/>
                <w:lang w:val="en-GB"/>
              </w:rPr>
              <w:sym w:font="Symbol" w:char="F0B1"/>
            </w:r>
            <w:r w:rsidRPr="00800B07">
              <w:rPr>
                <w:sz w:val="18"/>
                <w:szCs w:val="18"/>
              </w:rPr>
              <w:t>0</w:t>
            </w:r>
            <w:r>
              <w:rPr>
                <w:sz w:val="18"/>
                <w:szCs w:val="18"/>
              </w:rPr>
              <w:t>.</w:t>
            </w:r>
            <w:r w:rsidRPr="00800B07">
              <w:rPr>
                <w:sz w:val="18"/>
                <w:szCs w:val="18"/>
              </w:rPr>
              <w:t>4</w:t>
            </w:r>
          </w:p>
        </w:tc>
        <w:tc>
          <w:tcPr>
            <w:tcW w:w="1361" w:type="dxa"/>
            <w:tcBorders>
              <w:left w:val="single" w:sz="12" w:space="0" w:color="auto"/>
            </w:tcBorders>
          </w:tcPr>
          <w:p w14:paraId="578E32AB" w14:textId="77777777" w:rsidR="0057187E" w:rsidRPr="00800B07" w:rsidRDefault="0057187E" w:rsidP="0057187E">
            <w:pPr>
              <w:rPr>
                <w:sz w:val="18"/>
                <w:szCs w:val="18"/>
                <w:lang w:val="en-GB"/>
              </w:rPr>
            </w:pPr>
            <w:r w:rsidRPr="00800B07">
              <w:rPr>
                <w:sz w:val="18"/>
                <w:szCs w:val="18"/>
                <w:lang w:val="fr-BE"/>
              </w:rPr>
              <w:t>1</w:t>
            </w:r>
            <w:r>
              <w:rPr>
                <w:sz w:val="18"/>
                <w:szCs w:val="18"/>
                <w:lang w:val="fr-BE"/>
              </w:rPr>
              <w:t>.</w:t>
            </w:r>
            <w:r w:rsidRPr="00800B07">
              <w:rPr>
                <w:sz w:val="18"/>
                <w:szCs w:val="18"/>
                <w:lang w:val="fr-BE"/>
              </w:rPr>
              <w:t>4</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3</w:t>
            </w:r>
          </w:p>
        </w:tc>
        <w:tc>
          <w:tcPr>
            <w:tcW w:w="1361" w:type="dxa"/>
          </w:tcPr>
          <w:p w14:paraId="053AB918" w14:textId="77777777" w:rsidR="0057187E" w:rsidRPr="00800B07" w:rsidRDefault="0057187E" w:rsidP="0057187E">
            <w:pPr>
              <w:rPr>
                <w:sz w:val="18"/>
                <w:szCs w:val="18"/>
                <w:lang w:val="en-GB"/>
              </w:rPr>
            </w:pPr>
            <w:r w:rsidRPr="00800B07">
              <w:rPr>
                <w:sz w:val="18"/>
                <w:szCs w:val="18"/>
                <w:lang w:val="fr-BE"/>
              </w:rPr>
              <w:t>1</w:t>
            </w:r>
            <w:r>
              <w:rPr>
                <w:sz w:val="18"/>
                <w:szCs w:val="18"/>
                <w:lang w:val="fr-BE"/>
              </w:rPr>
              <w:t>.</w:t>
            </w:r>
            <w:r w:rsidRPr="00800B07">
              <w:rPr>
                <w:sz w:val="18"/>
                <w:szCs w:val="18"/>
                <w:lang w:val="fr-BE"/>
              </w:rPr>
              <w:t>6</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5</w:t>
            </w:r>
          </w:p>
        </w:tc>
        <w:tc>
          <w:tcPr>
            <w:tcW w:w="1361" w:type="dxa"/>
          </w:tcPr>
          <w:p w14:paraId="38DB8192" w14:textId="77777777" w:rsidR="0057187E" w:rsidRPr="00800B07" w:rsidRDefault="0057187E" w:rsidP="0057187E">
            <w:pPr>
              <w:rPr>
                <w:sz w:val="18"/>
                <w:szCs w:val="18"/>
                <w:lang w:val="en-GB"/>
              </w:rPr>
            </w:pPr>
            <w:r w:rsidRPr="00800B07">
              <w:rPr>
                <w:sz w:val="18"/>
                <w:szCs w:val="18"/>
                <w:lang w:val="fr-BE"/>
              </w:rPr>
              <w:t>1</w:t>
            </w:r>
            <w:r>
              <w:rPr>
                <w:sz w:val="18"/>
                <w:szCs w:val="18"/>
                <w:lang w:val="fr-BE"/>
              </w:rPr>
              <w:t>.</w:t>
            </w:r>
            <w:r w:rsidRPr="00800B07">
              <w:rPr>
                <w:sz w:val="18"/>
                <w:szCs w:val="18"/>
                <w:lang w:val="fr-BE"/>
              </w:rPr>
              <w:t>3</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2</w:t>
            </w:r>
          </w:p>
        </w:tc>
        <w:tc>
          <w:tcPr>
            <w:tcW w:w="1361" w:type="dxa"/>
          </w:tcPr>
          <w:p w14:paraId="58068C30" w14:textId="77777777" w:rsidR="0057187E" w:rsidRPr="00800B07" w:rsidRDefault="0057187E" w:rsidP="0057187E">
            <w:pPr>
              <w:rPr>
                <w:sz w:val="18"/>
                <w:szCs w:val="18"/>
                <w:lang w:val="en-GB"/>
              </w:rPr>
            </w:pPr>
            <w:r w:rsidRPr="00800B07">
              <w:rPr>
                <w:sz w:val="18"/>
                <w:szCs w:val="18"/>
                <w:lang w:val="fr-BE"/>
              </w:rPr>
              <w:t>1</w:t>
            </w:r>
            <w:r>
              <w:rPr>
                <w:sz w:val="18"/>
                <w:szCs w:val="18"/>
                <w:lang w:val="fr-BE"/>
              </w:rPr>
              <w:t>.</w:t>
            </w:r>
            <w:r w:rsidRPr="00800B07">
              <w:rPr>
                <w:sz w:val="18"/>
                <w:szCs w:val="18"/>
                <w:lang w:val="fr-BE"/>
              </w:rPr>
              <w:t>4</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3</w:t>
            </w:r>
          </w:p>
        </w:tc>
        <w:tc>
          <w:tcPr>
            <w:tcW w:w="1361" w:type="dxa"/>
          </w:tcPr>
          <w:p w14:paraId="0E3CF897" w14:textId="77777777" w:rsidR="0057187E" w:rsidRPr="00800B07" w:rsidRDefault="0057187E" w:rsidP="0057187E">
            <w:pPr>
              <w:rPr>
                <w:sz w:val="18"/>
                <w:szCs w:val="18"/>
                <w:lang w:val="en-GB"/>
              </w:rPr>
            </w:pPr>
            <w:r w:rsidRPr="00800B07">
              <w:rPr>
                <w:sz w:val="18"/>
                <w:szCs w:val="18"/>
                <w:lang w:val="fr-BE"/>
              </w:rPr>
              <w:t>1</w:t>
            </w:r>
            <w:r>
              <w:rPr>
                <w:sz w:val="18"/>
                <w:szCs w:val="18"/>
                <w:lang w:val="fr-BE"/>
              </w:rPr>
              <w:t>.</w:t>
            </w:r>
            <w:r w:rsidRPr="00800B07">
              <w:rPr>
                <w:sz w:val="18"/>
                <w:szCs w:val="18"/>
                <w:lang w:val="fr-BE"/>
              </w:rPr>
              <w:t>6</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3</w:t>
            </w:r>
          </w:p>
        </w:tc>
        <w:tc>
          <w:tcPr>
            <w:tcW w:w="1361" w:type="dxa"/>
          </w:tcPr>
          <w:p w14:paraId="54196297" w14:textId="77777777" w:rsidR="0057187E" w:rsidRPr="00800B07" w:rsidRDefault="0057187E" w:rsidP="0057187E">
            <w:pPr>
              <w:rPr>
                <w:sz w:val="18"/>
                <w:szCs w:val="18"/>
                <w:lang w:val="en-GB"/>
              </w:rPr>
            </w:pPr>
            <w:r w:rsidRPr="00800B07">
              <w:rPr>
                <w:sz w:val="18"/>
                <w:szCs w:val="18"/>
                <w:lang w:val="fr-BE"/>
              </w:rPr>
              <w:t>1</w:t>
            </w:r>
            <w:r>
              <w:rPr>
                <w:sz w:val="18"/>
                <w:szCs w:val="18"/>
                <w:lang w:val="fr-BE"/>
              </w:rPr>
              <w:t>.</w:t>
            </w:r>
            <w:r w:rsidRPr="00800B07">
              <w:rPr>
                <w:sz w:val="18"/>
                <w:szCs w:val="18"/>
                <w:lang w:val="fr-BE"/>
              </w:rPr>
              <w:t>34</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26</w:t>
            </w:r>
          </w:p>
        </w:tc>
        <w:tc>
          <w:tcPr>
            <w:tcW w:w="1361" w:type="dxa"/>
          </w:tcPr>
          <w:p w14:paraId="6CE81B5C" w14:textId="77777777" w:rsidR="0057187E" w:rsidRPr="00800B07" w:rsidRDefault="0057187E" w:rsidP="0057187E">
            <w:pPr>
              <w:rPr>
                <w:sz w:val="18"/>
                <w:szCs w:val="18"/>
                <w:lang w:val="en-GB"/>
              </w:rPr>
            </w:pPr>
            <w:r w:rsidRPr="00800B07">
              <w:rPr>
                <w:sz w:val="18"/>
                <w:szCs w:val="18"/>
                <w:lang w:val="fr-BE"/>
              </w:rPr>
              <w:t>1</w:t>
            </w:r>
            <w:r>
              <w:rPr>
                <w:sz w:val="18"/>
                <w:szCs w:val="18"/>
                <w:lang w:val="fr-BE"/>
              </w:rPr>
              <w:t>.</w:t>
            </w:r>
            <w:r w:rsidRPr="00800B07">
              <w:rPr>
                <w:sz w:val="18"/>
                <w:szCs w:val="18"/>
                <w:lang w:val="fr-BE"/>
              </w:rPr>
              <w:t>4</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2</w:t>
            </w:r>
          </w:p>
        </w:tc>
      </w:tr>
      <w:tr w:rsidR="0057187E" w:rsidRPr="00800B07" w14:paraId="48105260" w14:textId="77777777" w:rsidTr="0057187E">
        <w:trPr>
          <w:trHeight w:val="449"/>
        </w:trPr>
        <w:tc>
          <w:tcPr>
            <w:tcW w:w="4320" w:type="dxa"/>
            <w:tcBorders>
              <w:right w:val="single" w:sz="12" w:space="0" w:color="auto"/>
            </w:tcBorders>
          </w:tcPr>
          <w:p w14:paraId="709D06F9" w14:textId="77777777" w:rsidR="0057187E" w:rsidRPr="00800B07" w:rsidRDefault="0057187E" w:rsidP="0057187E">
            <w:pPr>
              <w:rPr>
                <w:sz w:val="18"/>
                <w:szCs w:val="18"/>
                <w:lang w:val="en-GB"/>
              </w:rPr>
            </w:pPr>
            <w:r w:rsidRPr="00800B07">
              <w:rPr>
                <w:b/>
                <w:bCs/>
                <w:sz w:val="18"/>
                <w:szCs w:val="18"/>
                <w:lang w:val="en-GB"/>
              </w:rPr>
              <w:t xml:space="preserve">Low urinary output, </w:t>
            </w: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SD (mL/24h)</w:t>
            </w:r>
            <w:r w:rsidRPr="00800B07">
              <w:rPr>
                <w:b/>
                <w:bCs/>
                <w:sz w:val="18"/>
                <w:szCs w:val="18"/>
                <w:lang w:val="en-GB"/>
              </w:rPr>
              <w:t xml:space="preserve">    </w:t>
            </w:r>
          </w:p>
        </w:tc>
        <w:tc>
          <w:tcPr>
            <w:tcW w:w="136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32174FE" w14:textId="77777777" w:rsidR="0057187E" w:rsidRPr="00800B07" w:rsidRDefault="0057187E" w:rsidP="0057187E">
            <w:pPr>
              <w:rPr>
                <w:sz w:val="18"/>
                <w:szCs w:val="18"/>
                <w:lang w:val="en-GB"/>
              </w:rPr>
            </w:pPr>
            <w:r w:rsidRPr="00800B07">
              <w:rPr>
                <w:sz w:val="18"/>
                <w:szCs w:val="18"/>
              </w:rPr>
              <w:t>1318</w:t>
            </w:r>
            <w:r>
              <w:rPr>
                <w:sz w:val="18"/>
                <w:szCs w:val="18"/>
              </w:rPr>
              <w:t>.</w:t>
            </w:r>
            <w:r w:rsidRPr="00800B07">
              <w:rPr>
                <w:sz w:val="18"/>
                <w:szCs w:val="18"/>
              </w:rPr>
              <w:t>1</w:t>
            </w:r>
            <w:r w:rsidRPr="00800B07">
              <w:rPr>
                <w:rFonts w:ascii="Calibri" w:hAnsi="Calibri"/>
                <w:sz w:val="18"/>
                <w:szCs w:val="18"/>
                <w:lang w:val="en-GB"/>
              </w:rPr>
              <w:sym w:font="Symbol" w:char="F0B1"/>
            </w:r>
            <w:r w:rsidRPr="00800B07">
              <w:rPr>
                <w:sz w:val="18"/>
                <w:szCs w:val="18"/>
              </w:rPr>
              <w:t>378</w:t>
            </w:r>
            <w:r>
              <w:rPr>
                <w:sz w:val="18"/>
                <w:szCs w:val="18"/>
              </w:rPr>
              <w:t>.</w:t>
            </w:r>
            <w:r w:rsidRPr="00800B07">
              <w:rPr>
                <w:sz w:val="18"/>
                <w:szCs w:val="18"/>
              </w:rPr>
              <w:t>4</w:t>
            </w:r>
          </w:p>
        </w:tc>
        <w:tc>
          <w:tcPr>
            <w:tcW w:w="1361" w:type="dxa"/>
            <w:tcBorders>
              <w:left w:val="single" w:sz="12" w:space="0" w:color="auto"/>
            </w:tcBorders>
          </w:tcPr>
          <w:p w14:paraId="45921BE6" w14:textId="77777777" w:rsidR="0057187E" w:rsidRPr="001F53E0" w:rsidRDefault="0057187E" w:rsidP="0057187E">
            <w:pPr>
              <w:rPr>
                <w:sz w:val="18"/>
                <w:szCs w:val="18"/>
                <w:lang w:val="fr-BE"/>
              </w:rPr>
            </w:pPr>
            <w:r w:rsidRPr="00800B07">
              <w:rPr>
                <w:sz w:val="18"/>
                <w:szCs w:val="18"/>
                <w:lang w:val="fr-BE"/>
              </w:rPr>
              <w:t>1274</w:t>
            </w:r>
            <w:r>
              <w:rPr>
                <w:sz w:val="18"/>
                <w:szCs w:val="18"/>
                <w:lang w:val="fr-BE"/>
              </w:rPr>
              <w:t>.</w:t>
            </w:r>
            <w:r w:rsidRPr="00800B07">
              <w:rPr>
                <w:sz w:val="18"/>
                <w:szCs w:val="18"/>
                <w:lang w:val="fr-BE"/>
              </w:rPr>
              <w:t>2</w:t>
            </w:r>
            <w:r w:rsidRPr="00800B07">
              <w:rPr>
                <w:rFonts w:ascii="Calibri" w:hAnsi="Calibri"/>
                <w:sz w:val="18"/>
                <w:szCs w:val="18"/>
                <w:lang w:val="en-GB"/>
              </w:rPr>
              <w:sym w:font="Symbol" w:char="F0B1"/>
            </w:r>
            <w:r w:rsidRPr="00800B07">
              <w:rPr>
                <w:rFonts w:ascii="Calibri" w:hAnsi="Calibri"/>
                <w:sz w:val="18"/>
                <w:szCs w:val="18"/>
                <w:lang w:val="en-GB"/>
              </w:rPr>
              <w:t>376</w:t>
            </w:r>
            <w:r>
              <w:rPr>
                <w:rFonts w:ascii="Calibri" w:hAnsi="Calibri"/>
                <w:sz w:val="18"/>
                <w:szCs w:val="18"/>
                <w:lang w:val="en-GB"/>
              </w:rPr>
              <w:t>.</w:t>
            </w:r>
            <w:r w:rsidRPr="00800B07">
              <w:rPr>
                <w:rFonts w:ascii="Calibri" w:hAnsi="Calibri"/>
                <w:sz w:val="18"/>
                <w:szCs w:val="18"/>
                <w:lang w:val="en-GB"/>
              </w:rPr>
              <w:t>0</w:t>
            </w:r>
          </w:p>
        </w:tc>
        <w:tc>
          <w:tcPr>
            <w:tcW w:w="1361" w:type="dxa"/>
          </w:tcPr>
          <w:p w14:paraId="1145286A" w14:textId="77777777" w:rsidR="0057187E" w:rsidRPr="00800B07" w:rsidRDefault="0057187E" w:rsidP="0057187E">
            <w:pPr>
              <w:rPr>
                <w:sz w:val="18"/>
                <w:szCs w:val="18"/>
                <w:lang w:val="en-GB"/>
              </w:rPr>
            </w:pPr>
            <w:r w:rsidRPr="00800B07">
              <w:rPr>
                <w:sz w:val="18"/>
                <w:szCs w:val="18"/>
                <w:lang w:val="fr-BE"/>
              </w:rPr>
              <w:t>1423</w:t>
            </w:r>
            <w:r>
              <w:rPr>
                <w:sz w:val="18"/>
                <w:szCs w:val="18"/>
                <w:lang w:val="fr-BE"/>
              </w:rPr>
              <w:t>.</w:t>
            </w:r>
            <w:r w:rsidRPr="00800B07">
              <w:rPr>
                <w:sz w:val="18"/>
                <w:szCs w:val="18"/>
                <w:lang w:val="fr-BE"/>
              </w:rPr>
              <w:t>1</w:t>
            </w:r>
            <w:r w:rsidRPr="00800B07">
              <w:rPr>
                <w:rFonts w:ascii="Calibri" w:hAnsi="Calibri"/>
                <w:sz w:val="18"/>
                <w:szCs w:val="18"/>
                <w:lang w:val="en-GB"/>
              </w:rPr>
              <w:sym w:font="Symbol" w:char="F0B1"/>
            </w:r>
            <w:r w:rsidRPr="00800B07">
              <w:rPr>
                <w:rFonts w:ascii="Calibri" w:hAnsi="Calibri"/>
                <w:sz w:val="18"/>
                <w:szCs w:val="18"/>
                <w:lang w:val="en-GB"/>
              </w:rPr>
              <w:t>315</w:t>
            </w:r>
            <w:r>
              <w:rPr>
                <w:rFonts w:ascii="Calibri" w:hAnsi="Calibri"/>
                <w:sz w:val="18"/>
                <w:szCs w:val="18"/>
                <w:lang w:val="en-GB"/>
              </w:rPr>
              <w:t>.</w:t>
            </w:r>
            <w:r w:rsidRPr="00800B07">
              <w:rPr>
                <w:rFonts w:ascii="Calibri" w:hAnsi="Calibri"/>
                <w:sz w:val="18"/>
                <w:szCs w:val="18"/>
                <w:lang w:val="en-GB"/>
              </w:rPr>
              <w:t>1</w:t>
            </w:r>
          </w:p>
        </w:tc>
        <w:tc>
          <w:tcPr>
            <w:tcW w:w="1361" w:type="dxa"/>
          </w:tcPr>
          <w:p w14:paraId="252C2687" w14:textId="77777777" w:rsidR="0057187E" w:rsidRPr="00800B07" w:rsidRDefault="0057187E" w:rsidP="0057187E">
            <w:pPr>
              <w:rPr>
                <w:sz w:val="18"/>
                <w:szCs w:val="18"/>
                <w:lang w:val="en-GB"/>
              </w:rPr>
            </w:pPr>
            <w:r w:rsidRPr="00800B07">
              <w:rPr>
                <w:sz w:val="18"/>
                <w:szCs w:val="18"/>
                <w:lang w:val="fr-BE"/>
              </w:rPr>
              <w:t>1548</w:t>
            </w:r>
            <w:r>
              <w:rPr>
                <w:sz w:val="18"/>
                <w:szCs w:val="18"/>
                <w:lang w:val="fr-BE"/>
              </w:rPr>
              <w:t>.</w:t>
            </w:r>
            <w:r w:rsidRPr="00800B07">
              <w:rPr>
                <w:sz w:val="18"/>
                <w:szCs w:val="18"/>
                <w:lang w:val="fr-BE"/>
              </w:rPr>
              <w:t>9</w:t>
            </w:r>
            <w:r w:rsidRPr="00800B07">
              <w:rPr>
                <w:rFonts w:ascii="Calibri" w:hAnsi="Calibri"/>
                <w:sz w:val="18"/>
                <w:szCs w:val="18"/>
                <w:lang w:val="en-GB"/>
              </w:rPr>
              <w:sym w:font="Symbol" w:char="F0B1"/>
            </w:r>
            <w:r w:rsidRPr="00800B07">
              <w:rPr>
                <w:rFonts w:ascii="Calibri" w:hAnsi="Calibri"/>
                <w:sz w:val="18"/>
                <w:szCs w:val="18"/>
                <w:lang w:val="en-GB"/>
              </w:rPr>
              <w:t>413</w:t>
            </w:r>
            <w:r>
              <w:rPr>
                <w:rFonts w:ascii="Calibri" w:hAnsi="Calibri"/>
                <w:sz w:val="18"/>
                <w:szCs w:val="18"/>
                <w:lang w:val="en-GB"/>
              </w:rPr>
              <w:t>.</w:t>
            </w:r>
            <w:r w:rsidRPr="00800B07">
              <w:rPr>
                <w:rFonts w:ascii="Calibri" w:hAnsi="Calibri"/>
                <w:sz w:val="18"/>
                <w:szCs w:val="18"/>
                <w:lang w:val="en-GB"/>
              </w:rPr>
              <w:t>5</w:t>
            </w:r>
          </w:p>
        </w:tc>
        <w:tc>
          <w:tcPr>
            <w:tcW w:w="1361" w:type="dxa"/>
          </w:tcPr>
          <w:p w14:paraId="29CECF7A" w14:textId="77777777" w:rsidR="0057187E" w:rsidRPr="00800B07" w:rsidRDefault="0057187E" w:rsidP="0057187E">
            <w:pPr>
              <w:rPr>
                <w:sz w:val="18"/>
                <w:szCs w:val="18"/>
                <w:lang w:val="en-GB"/>
              </w:rPr>
            </w:pPr>
            <w:r w:rsidRPr="00800B07">
              <w:rPr>
                <w:sz w:val="18"/>
                <w:szCs w:val="18"/>
                <w:lang w:val="fr-BE"/>
              </w:rPr>
              <w:t>1468</w:t>
            </w:r>
            <w:r>
              <w:rPr>
                <w:sz w:val="18"/>
                <w:szCs w:val="18"/>
                <w:lang w:val="fr-BE"/>
              </w:rPr>
              <w:t>.</w:t>
            </w:r>
            <w:r w:rsidRPr="00800B07">
              <w:rPr>
                <w:sz w:val="18"/>
                <w:szCs w:val="18"/>
                <w:lang w:val="fr-BE"/>
              </w:rPr>
              <w:t>9</w:t>
            </w:r>
            <w:r w:rsidRPr="00800B07">
              <w:rPr>
                <w:rFonts w:ascii="Calibri" w:hAnsi="Calibri"/>
                <w:sz w:val="18"/>
                <w:szCs w:val="18"/>
                <w:lang w:val="en-GB"/>
              </w:rPr>
              <w:sym w:font="Symbol" w:char="F0B1"/>
            </w:r>
            <w:r w:rsidRPr="00800B07">
              <w:rPr>
                <w:rFonts w:ascii="Calibri" w:hAnsi="Calibri"/>
                <w:sz w:val="18"/>
                <w:szCs w:val="18"/>
                <w:lang w:val="en-GB"/>
              </w:rPr>
              <w:t>299</w:t>
            </w:r>
            <w:r>
              <w:rPr>
                <w:rFonts w:ascii="Calibri" w:hAnsi="Calibri"/>
                <w:sz w:val="18"/>
                <w:szCs w:val="18"/>
                <w:lang w:val="en-GB"/>
              </w:rPr>
              <w:t>.</w:t>
            </w:r>
            <w:r w:rsidRPr="00800B07">
              <w:rPr>
                <w:rFonts w:ascii="Calibri" w:hAnsi="Calibri"/>
                <w:sz w:val="18"/>
                <w:szCs w:val="18"/>
                <w:lang w:val="en-GB"/>
              </w:rPr>
              <w:t>4</w:t>
            </w:r>
          </w:p>
        </w:tc>
        <w:tc>
          <w:tcPr>
            <w:tcW w:w="1361" w:type="dxa"/>
          </w:tcPr>
          <w:p w14:paraId="7DFA4B44" w14:textId="77777777" w:rsidR="0057187E" w:rsidRPr="00800B07" w:rsidRDefault="0057187E" w:rsidP="0057187E">
            <w:pPr>
              <w:rPr>
                <w:sz w:val="18"/>
                <w:szCs w:val="18"/>
                <w:lang w:val="en-GB"/>
              </w:rPr>
            </w:pPr>
            <w:r w:rsidRPr="00800B07">
              <w:rPr>
                <w:sz w:val="18"/>
                <w:szCs w:val="18"/>
                <w:lang w:val="fr-BE"/>
              </w:rPr>
              <w:t>1416</w:t>
            </w:r>
            <w:r>
              <w:rPr>
                <w:sz w:val="18"/>
                <w:szCs w:val="18"/>
                <w:lang w:val="fr-BE"/>
              </w:rPr>
              <w:t>.</w:t>
            </w:r>
            <w:r w:rsidRPr="00800B07">
              <w:rPr>
                <w:sz w:val="18"/>
                <w:szCs w:val="18"/>
                <w:lang w:val="fr-BE"/>
              </w:rPr>
              <w:t>3</w:t>
            </w:r>
            <w:r w:rsidRPr="00800B07">
              <w:rPr>
                <w:rFonts w:ascii="Calibri" w:hAnsi="Calibri"/>
                <w:sz w:val="18"/>
                <w:szCs w:val="18"/>
                <w:lang w:val="en-GB"/>
              </w:rPr>
              <w:sym w:font="Symbol" w:char="F0B1"/>
            </w:r>
            <w:r w:rsidRPr="00800B07">
              <w:rPr>
                <w:rFonts w:ascii="Calibri" w:hAnsi="Calibri"/>
                <w:sz w:val="18"/>
                <w:szCs w:val="18"/>
                <w:lang w:val="en-GB"/>
              </w:rPr>
              <w:t>347</w:t>
            </w:r>
            <w:r>
              <w:rPr>
                <w:rFonts w:ascii="Calibri" w:hAnsi="Calibri"/>
                <w:sz w:val="18"/>
                <w:szCs w:val="18"/>
                <w:lang w:val="en-GB"/>
              </w:rPr>
              <w:t>.</w:t>
            </w:r>
            <w:r w:rsidRPr="00800B07">
              <w:rPr>
                <w:rFonts w:ascii="Calibri" w:hAnsi="Calibri"/>
                <w:sz w:val="18"/>
                <w:szCs w:val="18"/>
                <w:lang w:val="en-GB"/>
              </w:rPr>
              <w:t>6</w:t>
            </w:r>
          </w:p>
        </w:tc>
        <w:tc>
          <w:tcPr>
            <w:tcW w:w="1361" w:type="dxa"/>
          </w:tcPr>
          <w:p w14:paraId="062668A4" w14:textId="77777777" w:rsidR="0057187E" w:rsidRPr="00800B07" w:rsidRDefault="0057187E" w:rsidP="0057187E">
            <w:pPr>
              <w:rPr>
                <w:sz w:val="18"/>
                <w:szCs w:val="18"/>
                <w:lang w:val="en-GB"/>
              </w:rPr>
            </w:pPr>
            <w:r w:rsidRPr="00800B07">
              <w:rPr>
                <w:sz w:val="18"/>
                <w:szCs w:val="18"/>
                <w:lang w:val="fr-BE"/>
              </w:rPr>
              <w:t>1534</w:t>
            </w:r>
            <w:r>
              <w:rPr>
                <w:sz w:val="18"/>
                <w:szCs w:val="18"/>
                <w:lang w:val="fr-BE"/>
              </w:rPr>
              <w:t>.</w:t>
            </w:r>
            <w:r w:rsidRPr="00800B07">
              <w:rPr>
                <w:sz w:val="18"/>
                <w:szCs w:val="18"/>
                <w:lang w:val="fr-BE"/>
              </w:rPr>
              <w:t>0</w:t>
            </w:r>
            <w:r w:rsidRPr="00800B07">
              <w:rPr>
                <w:rFonts w:ascii="Calibri" w:hAnsi="Calibri"/>
                <w:sz w:val="18"/>
                <w:szCs w:val="18"/>
                <w:lang w:val="en-GB"/>
              </w:rPr>
              <w:sym w:font="Symbol" w:char="F0B1"/>
            </w:r>
            <w:r w:rsidRPr="00800B07">
              <w:rPr>
                <w:rFonts w:ascii="Calibri" w:hAnsi="Calibri"/>
                <w:sz w:val="18"/>
                <w:szCs w:val="18"/>
                <w:lang w:val="en-GB"/>
              </w:rPr>
              <w:t>279</w:t>
            </w:r>
            <w:r>
              <w:rPr>
                <w:rFonts w:ascii="Calibri" w:hAnsi="Calibri"/>
                <w:sz w:val="18"/>
                <w:szCs w:val="18"/>
                <w:lang w:val="en-GB"/>
              </w:rPr>
              <w:t>.</w:t>
            </w:r>
            <w:r w:rsidRPr="00800B07">
              <w:rPr>
                <w:rFonts w:ascii="Calibri" w:hAnsi="Calibri"/>
                <w:sz w:val="18"/>
                <w:szCs w:val="18"/>
                <w:lang w:val="en-GB"/>
              </w:rPr>
              <w:t>7</w:t>
            </w:r>
          </w:p>
        </w:tc>
        <w:tc>
          <w:tcPr>
            <w:tcW w:w="1361" w:type="dxa"/>
          </w:tcPr>
          <w:p w14:paraId="0A8915A7" w14:textId="77777777" w:rsidR="0057187E" w:rsidRPr="00800B07" w:rsidRDefault="0057187E" w:rsidP="0057187E">
            <w:pPr>
              <w:rPr>
                <w:sz w:val="18"/>
                <w:szCs w:val="18"/>
                <w:lang w:val="en-GB"/>
              </w:rPr>
            </w:pPr>
            <w:r w:rsidRPr="00800B07">
              <w:rPr>
                <w:sz w:val="18"/>
                <w:szCs w:val="18"/>
                <w:lang w:val="fr-BE"/>
              </w:rPr>
              <w:t>1360</w:t>
            </w:r>
            <w:r>
              <w:rPr>
                <w:sz w:val="18"/>
                <w:szCs w:val="18"/>
                <w:lang w:val="fr-BE"/>
              </w:rPr>
              <w:t>.</w:t>
            </w:r>
            <w:r w:rsidRPr="00800B07">
              <w:rPr>
                <w:sz w:val="18"/>
                <w:szCs w:val="18"/>
                <w:lang w:val="fr-BE"/>
              </w:rPr>
              <w:t>0</w:t>
            </w:r>
            <w:r w:rsidRPr="00800B07">
              <w:rPr>
                <w:rFonts w:ascii="Calibri" w:hAnsi="Calibri"/>
                <w:sz w:val="18"/>
                <w:szCs w:val="18"/>
                <w:lang w:val="en-GB"/>
              </w:rPr>
              <w:sym w:font="Symbol" w:char="F0B1"/>
            </w:r>
            <w:r w:rsidRPr="00800B07">
              <w:rPr>
                <w:rFonts w:ascii="Calibri" w:hAnsi="Calibri"/>
                <w:sz w:val="18"/>
                <w:szCs w:val="18"/>
                <w:lang w:val="en-GB"/>
              </w:rPr>
              <w:t>242</w:t>
            </w:r>
            <w:r>
              <w:rPr>
                <w:rFonts w:ascii="Calibri" w:hAnsi="Calibri"/>
                <w:sz w:val="18"/>
                <w:szCs w:val="18"/>
                <w:lang w:val="en-GB"/>
              </w:rPr>
              <w:t>.</w:t>
            </w:r>
            <w:r w:rsidRPr="00800B07">
              <w:rPr>
                <w:rFonts w:ascii="Calibri" w:hAnsi="Calibri"/>
                <w:sz w:val="18"/>
                <w:szCs w:val="18"/>
                <w:lang w:val="en-GB"/>
              </w:rPr>
              <w:t>5</w:t>
            </w:r>
          </w:p>
        </w:tc>
      </w:tr>
      <w:tr w:rsidR="0057187E" w:rsidRPr="00800B07" w14:paraId="1EFE0129" w14:textId="77777777" w:rsidTr="0057187E">
        <w:trPr>
          <w:trHeight w:val="449"/>
        </w:trPr>
        <w:tc>
          <w:tcPr>
            <w:tcW w:w="4320" w:type="dxa"/>
            <w:tcBorders>
              <w:right w:val="single" w:sz="12" w:space="0" w:color="auto"/>
            </w:tcBorders>
          </w:tcPr>
          <w:p w14:paraId="35351B3F" w14:textId="77777777" w:rsidR="0057187E" w:rsidRPr="00800B07" w:rsidRDefault="0057187E" w:rsidP="0057187E">
            <w:pPr>
              <w:rPr>
                <w:b/>
                <w:bCs/>
                <w:sz w:val="18"/>
                <w:szCs w:val="18"/>
                <w:lang w:val="en-GB"/>
              </w:rPr>
            </w:pPr>
            <w:r w:rsidRPr="00800B07">
              <w:rPr>
                <w:b/>
                <w:bCs/>
                <w:sz w:val="18"/>
                <w:szCs w:val="18"/>
                <w:lang w:val="en-GB"/>
              </w:rPr>
              <w:t xml:space="preserve">Hypocitraturia, </w:t>
            </w: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 xml:space="preserve">SD (µmol/24h)    </w:t>
            </w:r>
          </w:p>
        </w:tc>
        <w:tc>
          <w:tcPr>
            <w:tcW w:w="136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16308B7" w14:textId="77777777" w:rsidR="0057187E" w:rsidRPr="00800B07" w:rsidRDefault="0057187E" w:rsidP="0057187E">
            <w:pPr>
              <w:rPr>
                <w:sz w:val="18"/>
                <w:szCs w:val="18"/>
              </w:rPr>
            </w:pPr>
            <w:r w:rsidRPr="00800B07">
              <w:rPr>
                <w:sz w:val="18"/>
                <w:szCs w:val="18"/>
              </w:rPr>
              <w:t>818</w:t>
            </w:r>
            <w:r>
              <w:rPr>
                <w:sz w:val="18"/>
                <w:szCs w:val="18"/>
              </w:rPr>
              <w:t>.</w:t>
            </w:r>
            <w:r w:rsidRPr="00800B07">
              <w:rPr>
                <w:sz w:val="18"/>
                <w:szCs w:val="18"/>
              </w:rPr>
              <w:t>4</w:t>
            </w:r>
            <w:r w:rsidRPr="00800B07">
              <w:rPr>
                <w:rFonts w:ascii="Calibri" w:hAnsi="Calibri"/>
                <w:sz w:val="18"/>
                <w:szCs w:val="18"/>
                <w:lang w:val="en-GB"/>
              </w:rPr>
              <w:sym w:font="Symbol" w:char="F0B1"/>
            </w:r>
            <w:r w:rsidRPr="00800B07">
              <w:rPr>
                <w:sz w:val="18"/>
                <w:szCs w:val="18"/>
              </w:rPr>
              <w:t>465</w:t>
            </w:r>
            <w:r>
              <w:rPr>
                <w:sz w:val="18"/>
                <w:szCs w:val="18"/>
              </w:rPr>
              <w:t>.</w:t>
            </w:r>
            <w:r w:rsidRPr="00800B07">
              <w:rPr>
                <w:sz w:val="18"/>
                <w:szCs w:val="18"/>
              </w:rPr>
              <w:t>8</w:t>
            </w:r>
          </w:p>
        </w:tc>
        <w:tc>
          <w:tcPr>
            <w:tcW w:w="1361" w:type="dxa"/>
            <w:tcBorders>
              <w:left w:val="single" w:sz="12" w:space="0" w:color="auto"/>
            </w:tcBorders>
          </w:tcPr>
          <w:p w14:paraId="5F524399" w14:textId="77777777" w:rsidR="0057187E" w:rsidRPr="00800B07" w:rsidRDefault="0057187E" w:rsidP="0057187E">
            <w:pPr>
              <w:rPr>
                <w:sz w:val="18"/>
                <w:szCs w:val="18"/>
                <w:lang w:val="en-GB"/>
              </w:rPr>
            </w:pPr>
            <w:r w:rsidRPr="00800B07">
              <w:rPr>
                <w:sz w:val="18"/>
                <w:szCs w:val="18"/>
                <w:lang w:val="fr-BE"/>
              </w:rPr>
              <w:t>860</w:t>
            </w:r>
            <w:r>
              <w:rPr>
                <w:sz w:val="18"/>
                <w:szCs w:val="18"/>
                <w:lang w:val="fr-BE"/>
              </w:rPr>
              <w:t>.</w:t>
            </w:r>
            <w:r w:rsidRPr="00800B07">
              <w:rPr>
                <w:sz w:val="18"/>
                <w:szCs w:val="18"/>
                <w:lang w:val="fr-BE"/>
              </w:rPr>
              <w:t>5</w:t>
            </w:r>
            <w:r w:rsidRPr="00800B07">
              <w:rPr>
                <w:rFonts w:ascii="Calibri" w:hAnsi="Calibri"/>
                <w:sz w:val="18"/>
                <w:szCs w:val="18"/>
                <w:lang w:val="en-GB"/>
              </w:rPr>
              <w:sym w:font="Symbol" w:char="F0B1"/>
            </w:r>
            <w:r w:rsidRPr="00800B07">
              <w:rPr>
                <w:rFonts w:ascii="Calibri" w:hAnsi="Calibri"/>
                <w:sz w:val="18"/>
                <w:szCs w:val="18"/>
                <w:lang w:val="en-GB"/>
              </w:rPr>
              <w:t>443</w:t>
            </w:r>
            <w:r>
              <w:rPr>
                <w:rFonts w:ascii="Calibri" w:hAnsi="Calibri"/>
                <w:sz w:val="18"/>
                <w:szCs w:val="18"/>
                <w:lang w:val="en-GB"/>
              </w:rPr>
              <w:t>.</w:t>
            </w:r>
            <w:r w:rsidRPr="00800B07">
              <w:rPr>
                <w:rFonts w:ascii="Calibri" w:hAnsi="Calibri"/>
                <w:sz w:val="18"/>
                <w:szCs w:val="18"/>
                <w:lang w:val="en-GB"/>
              </w:rPr>
              <w:t>1</w:t>
            </w:r>
          </w:p>
        </w:tc>
        <w:tc>
          <w:tcPr>
            <w:tcW w:w="1361" w:type="dxa"/>
          </w:tcPr>
          <w:p w14:paraId="71F82CBB" w14:textId="77777777" w:rsidR="0057187E" w:rsidRPr="00800B07" w:rsidRDefault="0057187E" w:rsidP="0057187E">
            <w:pPr>
              <w:rPr>
                <w:sz w:val="18"/>
                <w:szCs w:val="18"/>
                <w:lang w:val="en-GB"/>
              </w:rPr>
            </w:pPr>
            <w:r w:rsidRPr="00800B07">
              <w:rPr>
                <w:sz w:val="18"/>
                <w:szCs w:val="18"/>
                <w:lang w:val="fr-BE"/>
              </w:rPr>
              <w:t>719</w:t>
            </w:r>
            <w:r>
              <w:rPr>
                <w:sz w:val="18"/>
                <w:szCs w:val="18"/>
                <w:lang w:val="fr-BE"/>
              </w:rPr>
              <w:t>.</w:t>
            </w:r>
            <w:r w:rsidRPr="00800B07">
              <w:rPr>
                <w:sz w:val="18"/>
                <w:szCs w:val="18"/>
                <w:lang w:val="fr-BE"/>
              </w:rPr>
              <w:t>6</w:t>
            </w:r>
            <w:r w:rsidRPr="00800B07">
              <w:rPr>
                <w:rFonts w:ascii="Calibri" w:hAnsi="Calibri"/>
                <w:sz w:val="18"/>
                <w:szCs w:val="18"/>
                <w:lang w:val="en-GB"/>
              </w:rPr>
              <w:sym w:font="Symbol" w:char="F0B1"/>
            </w:r>
            <w:r w:rsidRPr="00800B07">
              <w:rPr>
                <w:rFonts w:ascii="Calibri" w:hAnsi="Calibri"/>
                <w:sz w:val="18"/>
                <w:szCs w:val="18"/>
                <w:lang w:val="en-GB"/>
              </w:rPr>
              <w:t>504</w:t>
            </w:r>
            <w:r>
              <w:rPr>
                <w:rFonts w:ascii="Calibri" w:hAnsi="Calibri"/>
                <w:sz w:val="18"/>
                <w:szCs w:val="18"/>
                <w:lang w:val="en-GB"/>
              </w:rPr>
              <w:t>.</w:t>
            </w:r>
            <w:r w:rsidRPr="00800B07">
              <w:rPr>
                <w:rFonts w:ascii="Calibri" w:hAnsi="Calibri"/>
                <w:sz w:val="18"/>
                <w:szCs w:val="18"/>
                <w:lang w:val="en-GB"/>
              </w:rPr>
              <w:t>9</w:t>
            </w:r>
          </w:p>
        </w:tc>
        <w:tc>
          <w:tcPr>
            <w:tcW w:w="1361" w:type="dxa"/>
          </w:tcPr>
          <w:p w14:paraId="58D8EE34" w14:textId="77777777" w:rsidR="0057187E" w:rsidRPr="00800B07" w:rsidRDefault="0057187E" w:rsidP="0057187E">
            <w:pPr>
              <w:rPr>
                <w:sz w:val="18"/>
                <w:szCs w:val="18"/>
                <w:lang w:val="en-GB"/>
              </w:rPr>
            </w:pPr>
            <w:r w:rsidRPr="00800B07">
              <w:rPr>
                <w:sz w:val="18"/>
                <w:szCs w:val="18"/>
                <w:lang w:val="fr-BE"/>
              </w:rPr>
              <w:t>1440</w:t>
            </w:r>
            <w:r>
              <w:rPr>
                <w:sz w:val="18"/>
                <w:szCs w:val="18"/>
                <w:lang w:val="fr-BE"/>
              </w:rPr>
              <w:t>.</w:t>
            </w:r>
            <w:r w:rsidRPr="00800B07">
              <w:rPr>
                <w:sz w:val="18"/>
                <w:szCs w:val="18"/>
                <w:lang w:val="fr-BE"/>
              </w:rPr>
              <w:t>0</w:t>
            </w:r>
          </w:p>
        </w:tc>
        <w:tc>
          <w:tcPr>
            <w:tcW w:w="1361" w:type="dxa"/>
          </w:tcPr>
          <w:p w14:paraId="15372CDD" w14:textId="77777777" w:rsidR="0057187E" w:rsidRPr="00800B07" w:rsidRDefault="0057187E" w:rsidP="0057187E">
            <w:pPr>
              <w:rPr>
                <w:sz w:val="18"/>
                <w:szCs w:val="18"/>
                <w:lang w:val="en-GB"/>
              </w:rPr>
            </w:pPr>
            <w:r w:rsidRPr="00800B07">
              <w:rPr>
                <w:sz w:val="18"/>
                <w:szCs w:val="18"/>
                <w:lang w:val="fr-BE"/>
              </w:rPr>
              <w:t>611</w:t>
            </w:r>
            <w:r>
              <w:rPr>
                <w:sz w:val="18"/>
                <w:szCs w:val="18"/>
                <w:lang w:val="fr-BE"/>
              </w:rPr>
              <w:t>.</w:t>
            </w:r>
            <w:r w:rsidRPr="00800B07">
              <w:rPr>
                <w:sz w:val="18"/>
                <w:szCs w:val="18"/>
                <w:lang w:val="fr-BE"/>
              </w:rPr>
              <w:t>0</w:t>
            </w:r>
            <w:r w:rsidRPr="00800B07">
              <w:rPr>
                <w:rFonts w:ascii="Calibri" w:hAnsi="Calibri"/>
                <w:sz w:val="18"/>
                <w:szCs w:val="18"/>
                <w:lang w:val="en-GB"/>
              </w:rPr>
              <w:sym w:font="Symbol" w:char="F0B1"/>
            </w:r>
            <w:r w:rsidRPr="00800B07">
              <w:rPr>
                <w:rFonts w:ascii="Calibri" w:hAnsi="Calibri"/>
                <w:sz w:val="18"/>
                <w:szCs w:val="18"/>
                <w:lang w:val="en-GB"/>
              </w:rPr>
              <w:t>524</w:t>
            </w:r>
            <w:r>
              <w:rPr>
                <w:rFonts w:ascii="Calibri" w:hAnsi="Calibri"/>
                <w:sz w:val="18"/>
                <w:szCs w:val="18"/>
                <w:lang w:val="en-GB"/>
              </w:rPr>
              <w:t>.</w:t>
            </w:r>
            <w:r w:rsidRPr="00800B07">
              <w:rPr>
                <w:rFonts w:ascii="Calibri" w:hAnsi="Calibri"/>
                <w:sz w:val="18"/>
                <w:szCs w:val="18"/>
                <w:lang w:val="en-GB"/>
              </w:rPr>
              <w:t>7</w:t>
            </w:r>
          </w:p>
        </w:tc>
        <w:tc>
          <w:tcPr>
            <w:tcW w:w="1361" w:type="dxa"/>
          </w:tcPr>
          <w:p w14:paraId="00C0EA50" w14:textId="77777777" w:rsidR="0057187E" w:rsidRPr="00800B07" w:rsidRDefault="0057187E" w:rsidP="0057187E">
            <w:pPr>
              <w:rPr>
                <w:sz w:val="18"/>
                <w:szCs w:val="18"/>
                <w:lang w:val="en-GB"/>
              </w:rPr>
            </w:pPr>
            <w:r w:rsidRPr="00800B07">
              <w:rPr>
                <w:sz w:val="18"/>
                <w:szCs w:val="18"/>
                <w:lang w:val="fr-BE"/>
              </w:rPr>
              <w:t>692</w:t>
            </w:r>
            <w:r>
              <w:rPr>
                <w:sz w:val="18"/>
                <w:szCs w:val="18"/>
                <w:lang w:val="fr-BE"/>
              </w:rPr>
              <w:t>.</w:t>
            </w:r>
            <w:r w:rsidRPr="00800B07">
              <w:rPr>
                <w:sz w:val="18"/>
                <w:szCs w:val="18"/>
                <w:lang w:val="fr-BE"/>
              </w:rPr>
              <w:t>8</w:t>
            </w:r>
            <w:r w:rsidRPr="00800B07">
              <w:rPr>
                <w:rFonts w:ascii="Calibri" w:hAnsi="Calibri"/>
                <w:sz w:val="18"/>
                <w:szCs w:val="18"/>
                <w:lang w:val="en-GB"/>
              </w:rPr>
              <w:sym w:font="Symbol" w:char="F0B1"/>
            </w:r>
            <w:r w:rsidRPr="00800B07">
              <w:rPr>
                <w:rFonts w:ascii="Calibri" w:hAnsi="Calibri"/>
                <w:sz w:val="18"/>
                <w:szCs w:val="18"/>
                <w:lang w:val="en-GB"/>
              </w:rPr>
              <w:t>529</w:t>
            </w:r>
            <w:r>
              <w:rPr>
                <w:rFonts w:ascii="Calibri" w:hAnsi="Calibri"/>
                <w:sz w:val="18"/>
                <w:szCs w:val="18"/>
                <w:lang w:val="en-GB"/>
              </w:rPr>
              <w:t>.</w:t>
            </w:r>
            <w:r w:rsidRPr="00800B07">
              <w:rPr>
                <w:rFonts w:ascii="Calibri" w:hAnsi="Calibri"/>
                <w:sz w:val="18"/>
                <w:szCs w:val="18"/>
                <w:lang w:val="en-GB"/>
              </w:rPr>
              <w:t>4</w:t>
            </w:r>
          </w:p>
        </w:tc>
        <w:tc>
          <w:tcPr>
            <w:tcW w:w="1361" w:type="dxa"/>
          </w:tcPr>
          <w:p w14:paraId="03E9B23E" w14:textId="77777777" w:rsidR="0057187E" w:rsidRPr="00800B07" w:rsidRDefault="0057187E" w:rsidP="0057187E">
            <w:pPr>
              <w:rPr>
                <w:sz w:val="18"/>
                <w:szCs w:val="18"/>
                <w:lang w:val="en-GB"/>
              </w:rPr>
            </w:pPr>
            <w:r w:rsidRPr="00800B07">
              <w:rPr>
                <w:sz w:val="18"/>
                <w:szCs w:val="18"/>
                <w:lang w:val="fr-BE"/>
              </w:rPr>
              <w:t>744</w:t>
            </w:r>
            <w:r>
              <w:rPr>
                <w:sz w:val="18"/>
                <w:szCs w:val="18"/>
                <w:lang w:val="fr-BE"/>
              </w:rPr>
              <w:t>.</w:t>
            </w:r>
            <w:r w:rsidRPr="00800B07">
              <w:rPr>
                <w:sz w:val="18"/>
                <w:szCs w:val="18"/>
                <w:lang w:val="fr-BE"/>
              </w:rPr>
              <w:t>6</w:t>
            </w:r>
            <w:r w:rsidRPr="00800B07">
              <w:rPr>
                <w:rFonts w:ascii="Calibri" w:hAnsi="Calibri"/>
                <w:sz w:val="18"/>
                <w:szCs w:val="18"/>
                <w:lang w:val="en-GB"/>
              </w:rPr>
              <w:sym w:font="Symbol" w:char="F0B1"/>
            </w:r>
            <w:r w:rsidRPr="00800B07">
              <w:rPr>
                <w:rFonts w:ascii="Calibri" w:hAnsi="Calibri"/>
                <w:sz w:val="18"/>
                <w:szCs w:val="18"/>
                <w:lang w:val="en-GB"/>
              </w:rPr>
              <w:t>545</w:t>
            </w:r>
            <w:r>
              <w:rPr>
                <w:rFonts w:ascii="Calibri" w:hAnsi="Calibri"/>
                <w:sz w:val="18"/>
                <w:szCs w:val="18"/>
                <w:lang w:val="en-GB"/>
              </w:rPr>
              <w:t>.</w:t>
            </w:r>
            <w:r w:rsidRPr="00800B07">
              <w:rPr>
                <w:rFonts w:ascii="Calibri" w:hAnsi="Calibri"/>
                <w:sz w:val="18"/>
                <w:szCs w:val="18"/>
                <w:lang w:val="en-GB"/>
              </w:rPr>
              <w:t>6</w:t>
            </w:r>
          </w:p>
        </w:tc>
        <w:tc>
          <w:tcPr>
            <w:tcW w:w="1361" w:type="dxa"/>
          </w:tcPr>
          <w:p w14:paraId="3767AA53" w14:textId="77777777" w:rsidR="0057187E" w:rsidRPr="00800B07" w:rsidRDefault="0057187E" w:rsidP="0057187E">
            <w:pPr>
              <w:rPr>
                <w:sz w:val="18"/>
                <w:szCs w:val="18"/>
                <w:lang w:val="en-GB"/>
              </w:rPr>
            </w:pPr>
            <w:r w:rsidRPr="00800B07">
              <w:rPr>
                <w:sz w:val="18"/>
                <w:szCs w:val="18"/>
                <w:lang w:val="fr-BE"/>
              </w:rPr>
              <w:t>1294</w:t>
            </w:r>
            <w:r>
              <w:rPr>
                <w:sz w:val="18"/>
                <w:szCs w:val="18"/>
                <w:lang w:val="fr-BE"/>
              </w:rPr>
              <w:t>.</w:t>
            </w:r>
            <w:r w:rsidRPr="00800B07">
              <w:rPr>
                <w:sz w:val="18"/>
                <w:szCs w:val="18"/>
                <w:lang w:val="fr-BE"/>
              </w:rPr>
              <w:t>7</w:t>
            </w:r>
            <w:r w:rsidRPr="00800B07">
              <w:rPr>
                <w:rFonts w:ascii="Calibri" w:hAnsi="Calibri"/>
                <w:sz w:val="18"/>
                <w:szCs w:val="18"/>
                <w:lang w:val="en-GB"/>
              </w:rPr>
              <w:sym w:font="Symbol" w:char="F0B1"/>
            </w:r>
            <w:r w:rsidRPr="00800B07">
              <w:rPr>
                <w:rFonts w:ascii="Calibri" w:hAnsi="Calibri"/>
                <w:sz w:val="18"/>
                <w:szCs w:val="18"/>
                <w:lang w:val="en-GB"/>
              </w:rPr>
              <w:t>144</w:t>
            </w:r>
            <w:r>
              <w:rPr>
                <w:rFonts w:ascii="Calibri" w:hAnsi="Calibri"/>
                <w:sz w:val="18"/>
                <w:szCs w:val="18"/>
                <w:lang w:val="en-GB"/>
              </w:rPr>
              <w:t>.</w:t>
            </w:r>
            <w:r w:rsidRPr="00800B07">
              <w:rPr>
                <w:rFonts w:ascii="Calibri" w:hAnsi="Calibri"/>
                <w:sz w:val="18"/>
                <w:szCs w:val="18"/>
                <w:lang w:val="en-GB"/>
              </w:rPr>
              <w:t>5</w:t>
            </w:r>
          </w:p>
        </w:tc>
      </w:tr>
      <w:tr w:rsidR="0057187E" w:rsidRPr="00800B07" w14:paraId="194E0CF8" w14:textId="77777777" w:rsidTr="0057187E">
        <w:trPr>
          <w:trHeight w:val="449"/>
        </w:trPr>
        <w:tc>
          <w:tcPr>
            <w:tcW w:w="4320" w:type="dxa"/>
            <w:tcBorders>
              <w:right w:val="single" w:sz="12" w:space="0" w:color="auto"/>
            </w:tcBorders>
          </w:tcPr>
          <w:p w14:paraId="117F55AB" w14:textId="77777777" w:rsidR="0057187E" w:rsidRPr="00800B07" w:rsidRDefault="0057187E" w:rsidP="0057187E">
            <w:pPr>
              <w:rPr>
                <w:sz w:val="18"/>
                <w:szCs w:val="18"/>
                <w:lang w:val="en-GB"/>
              </w:rPr>
            </w:pPr>
            <w:r w:rsidRPr="00800B07">
              <w:rPr>
                <w:b/>
                <w:bCs/>
                <w:sz w:val="18"/>
                <w:szCs w:val="18"/>
                <w:lang w:val="en-GB"/>
              </w:rPr>
              <w:t xml:space="preserve">Low urinary pH, </w:t>
            </w: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 xml:space="preserve">SD  </w:t>
            </w:r>
            <w:r w:rsidRPr="00800B07">
              <w:rPr>
                <w:b/>
                <w:bCs/>
                <w:sz w:val="18"/>
                <w:szCs w:val="18"/>
                <w:lang w:val="en-GB"/>
              </w:rPr>
              <w:t xml:space="preserve">  </w:t>
            </w:r>
          </w:p>
        </w:tc>
        <w:tc>
          <w:tcPr>
            <w:tcW w:w="136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D063771" w14:textId="77777777" w:rsidR="0057187E" w:rsidRPr="00800B07" w:rsidRDefault="0057187E" w:rsidP="0057187E">
            <w:pPr>
              <w:rPr>
                <w:sz w:val="18"/>
                <w:szCs w:val="18"/>
                <w:lang w:val="en-GB"/>
              </w:rPr>
            </w:pPr>
            <w:r w:rsidRPr="00800B07">
              <w:rPr>
                <w:sz w:val="18"/>
                <w:szCs w:val="18"/>
              </w:rPr>
              <w:t>5</w:t>
            </w:r>
            <w:r>
              <w:rPr>
                <w:sz w:val="18"/>
                <w:szCs w:val="18"/>
              </w:rPr>
              <w:t>.</w:t>
            </w:r>
            <w:r w:rsidRPr="00800B07">
              <w:rPr>
                <w:sz w:val="18"/>
                <w:szCs w:val="18"/>
              </w:rPr>
              <w:t>1</w:t>
            </w:r>
            <w:r w:rsidRPr="00800B07">
              <w:rPr>
                <w:rFonts w:ascii="Calibri" w:hAnsi="Calibri"/>
                <w:sz w:val="18"/>
                <w:szCs w:val="18"/>
                <w:lang w:val="en-GB"/>
              </w:rPr>
              <w:sym w:font="Symbol" w:char="F0B1"/>
            </w:r>
            <w:r w:rsidRPr="00800B07">
              <w:rPr>
                <w:sz w:val="18"/>
                <w:szCs w:val="18"/>
              </w:rPr>
              <w:t>0</w:t>
            </w:r>
            <w:r>
              <w:rPr>
                <w:sz w:val="18"/>
                <w:szCs w:val="18"/>
              </w:rPr>
              <w:t>.</w:t>
            </w:r>
            <w:r w:rsidRPr="00800B07">
              <w:rPr>
                <w:sz w:val="18"/>
                <w:szCs w:val="18"/>
              </w:rPr>
              <w:t>2</w:t>
            </w:r>
          </w:p>
        </w:tc>
        <w:tc>
          <w:tcPr>
            <w:tcW w:w="1361" w:type="dxa"/>
            <w:tcBorders>
              <w:left w:val="single" w:sz="12" w:space="0" w:color="auto"/>
            </w:tcBorders>
          </w:tcPr>
          <w:p w14:paraId="5289DE57" w14:textId="77777777" w:rsidR="0057187E" w:rsidRPr="00800B07" w:rsidRDefault="0057187E" w:rsidP="0057187E">
            <w:pPr>
              <w:rPr>
                <w:sz w:val="18"/>
                <w:szCs w:val="18"/>
                <w:lang w:val="en-GB"/>
              </w:rPr>
            </w:pPr>
            <w:r w:rsidRPr="00800B07">
              <w:rPr>
                <w:sz w:val="18"/>
                <w:szCs w:val="18"/>
                <w:lang w:val="fr-BE"/>
              </w:rPr>
              <w:t>5</w:t>
            </w:r>
            <w:r>
              <w:rPr>
                <w:sz w:val="18"/>
                <w:szCs w:val="18"/>
                <w:lang w:val="fr-BE"/>
              </w:rPr>
              <w:t>.</w:t>
            </w:r>
            <w:r w:rsidRPr="00800B07">
              <w:rPr>
                <w:sz w:val="18"/>
                <w:szCs w:val="18"/>
                <w:lang w:val="fr-BE"/>
              </w:rPr>
              <w:t>1</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2</w:t>
            </w:r>
          </w:p>
        </w:tc>
        <w:tc>
          <w:tcPr>
            <w:tcW w:w="1361" w:type="dxa"/>
          </w:tcPr>
          <w:p w14:paraId="0E2385DA" w14:textId="77777777" w:rsidR="0057187E" w:rsidRPr="00800B07" w:rsidRDefault="0057187E" w:rsidP="0057187E">
            <w:pPr>
              <w:rPr>
                <w:rFonts w:ascii="Calibri" w:hAnsi="Calibri"/>
                <w:sz w:val="18"/>
                <w:szCs w:val="18"/>
                <w:lang w:val="en-GB"/>
              </w:rPr>
            </w:pPr>
            <w:r w:rsidRPr="00800B07">
              <w:rPr>
                <w:sz w:val="18"/>
                <w:szCs w:val="18"/>
                <w:lang w:val="fr-BE"/>
              </w:rPr>
              <w:t>5</w:t>
            </w:r>
            <w:r>
              <w:rPr>
                <w:sz w:val="18"/>
                <w:szCs w:val="18"/>
                <w:lang w:val="fr-BE"/>
              </w:rPr>
              <w:t>.</w:t>
            </w:r>
            <w:r w:rsidRPr="00800B07">
              <w:rPr>
                <w:sz w:val="18"/>
                <w:szCs w:val="18"/>
                <w:lang w:val="fr-BE"/>
              </w:rPr>
              <w:t>1</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1</w:t>
            </w:r>
          </w:p>
        </w:tc>
        <w:tc>
          <w:tcPr>
            <w:tcW w:w="1361" w:type="dxa"/>
          </w:tcPr>
          <w:p w14:paraId="03D2B24C" w14:textId="77777777" w:rsidR="0057187E" w:rsidRPr="00800B07" w:rsidRDefault="0057187E" w:rsidP="0057187E">
            <w:pPr>
              <w:rPr>
                <w:sz w:val="18"/>
                <w:szCs w:val="18"/>
                <w:lang w:val="en-GB"/>
              </w:rPr>
            </w:pPr>
            <w:r w:rsidRPr="00800B07">
              <w:rPr>
                <w:sz w:val="18"/>
                <w:szCs w:val="18"/>
              </w:rPr>
              <w:t>NA</w:t>
            </w:r>
          </w:p>
        </w:tc>
        <w:tc>
          <w:tcPr>
            <w:tcW w:w="1361" w:type="dxa"/>
          </w:tcPr>
          <w:p w14:paraId="450EC6A1" w14:textId="77777777" w:rsidR="0057187E" w:rsidRPr="00800B07" w:rsidRDefault="0057187E" w:rsidP="0057187E">
            <w:pPr>
              <w:rPr>
                <w:sz w:val="18"/>
                <w:szCs w:val="18"/>
                <w:lang w:val="fr-BE"/>
              </w:rPr>
            </w:pPr>
            <w:r w:rsidRPr="00800B07">
              <w:rPr>
                <w:sz w:val="18"/>
                <w:szCs w:val="18"/>
                <w:lang w:val="fr-BE"/>
              </w:rPr>
              <w:t>5</w:t>
            </w:r>
            <w:r>
              <w:rPr>
                <w:sz w:val="18"/>
                <w:szCs w:val="18"/>
                <w:lang w:val="fr-BE"/>
              </w:rPr>
              <w:t>.</w:t>
            </w:r>
            <w:r w:rsidRPr="00800B07">
              <w:rPr>
                <w:sz w:val="18"/>
                <w:szCs w:val="18"/>
                <w:lang w:val="fr-BE"/>
              </w:rPr>
              <w:t>0</w:t>
            </w:r>
          </w:p>
        </w:tc>
        <w:tc>
          <w:tcPr>
            <w:tcW w:w="1361" w:type="dxa"/>
          </w:tcPr>
          <w:p w14:paraId="62E6F118" w14:textId="77777777" w:rsidR="0057187E" w:rsidRPr="00800B07" w:rsidRDefault="0057187E" w:rsidP="0057187E">
            <w:pPr>
              <w:rPr>
                <w:sz w:val="18"/>
                <w:szCs w:val="18"/>
                <w:lang w:val="en-GB"/>
              </w:rPr>
            </w:pPr>
            <w:r w:rsidRPr="00800B07">
              <w:rPr>
                <w:sz w:val="18"/>
                <w:szCs w:val="18"/>
                <w:lang w:val="fr-BE"/>
              </w:rPr>
              <w:t>NA</w:t>
            </w:r>
          </w:p>
        </w:tc>
        <w:tc>
          <w:tcPr>
            <w:tcW w:w="1361" w:type="dxa"/>
          </w:tcPr>
          <w:p w14:paraId="50BC010E" w14:textId="77777777" w:rsidR="0057187E" w:rsidRPr="00800B07" w:rsidRDefault="0057187E" w:rsidP="0057187E">
            <w:pPr>
              <w:rPr>
                <w:sz w:val="18"/>
                <w:szCs w:val="18"/>
                <w:lang w:val="en-GB"/>
              </w:rPr>
            </w:pPr>
            <w:r w:rsidRPr="00800B07">
              <w:rPr>
                <w:sz w:val="18"/>
                <w:szCs w:val="18"/>
              </w:rPr>
              <w:t>NA</w:t>
            </w:r>
          </w:p>
        </w:tc>
        <w:tc>
          <w:tcPr>
            <w:tcW w:w="1361" w:type="dxa"/>
          </w:tcPr>
          <w:p w14:paraId="57816009" w14:textId="77777777" w:rsidR="0057187E" w:rsidRPr="00800B07" w:rsidRDefault="0057187E" w:rsidP="0057187E">
            <w:pPr>
              <w:rPr>
                <w:sz w:val="18"/>
                <w:szCs w:val="18"/>
                <w:lang w:val="en-GB"/>
              </w:rPr>
            </w:pPr>
            <w:r w:rsidRPr="00800B07">
              <w:rPr>
                <w:sz w:val="18"/>
                <w:szCs w:val="18"/>
                <w:lang w:val="fr-BE"/>
              </w:rPr>
              <w:t>5</w:t>
            </w:r>
            <w:r>
              <w:rPr>
                <w:sz w:val="18"/>
                <w:szCs w:val="18"/>
                <w:lang w:val="fr-BE"/>
              </w:rPr>
              <w:t>.</w:t>
            </w:r>
            <w:r w:rsidRPr="00800B07">
              <w:rPr>
                <w:sz w:val="18"/>
                <w:szCs w:val="18"/>
                <w:lang w:val="fr-BE"/>
              </w:rPr>
              <w:t>3</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4</w:t>
            </w:r>
          </w:p>
        </w:tc>
      </w:tr>
    </w:tbl>
    <w:p w14:paraId="62543572" w14:textId="77777777" w:rsidR="0057187E" w:rsidRPr="00800B07" w:rsidRDefault="0057187E" w:rsidP="0057187E">
      <w:pPr>
        <w:rPr>
          <w:sz w:val="8"/>
          <w:szCs w:val="8"/>
        </w:rPr>
      </w:pPr>
    </w:p>
    <w:p w14:paraId="53934ED3" w14:textId="77777777" w:rsidR="0057187E" w:rsidRDefault="0057187E" w:rsidP="0057187E">
      <w:pPr>
        <w:rPr>
          <w:sz w:val="20"/>
          <w:szCs w:val="20"/>
          <w:u w:val="single"/>
          <w:lang w:val="en-GB"/>
        </w:rPr>
      </w:pPr>
    </w:p>
    <w:p w14:paraId="27FA32D2" w14:textId="77777777" w:rsidR="0057187E" w:rsidRDefault="0057187E" w:rsidP="0057187E">
      <w:pPr>
        <w:rPr>
          <w:sz w:val="20"/>
          <w:szCs w:val="20"/>
          <w:u w:val="single"/>
          <w:lang w:val="en-GB"/>
        </w:rPr>
        <w:sectPr w:rsidR="0057187E" w:rsidSect="0057187E">
          <w:type w:val="continuous"/>
          <w:pgSz w:w="16838" w:h="11906" w:orient="landscape"/>
          <w:pgMar w:top="1418" w:right="1418" w:bottom="1418" w:left="1418" w:header="709" w:footer="709" w:gutter="0"/>
          <w:cols w:space="708"/>
          <w:docGrid w:linePitch="360"/>
        </w:sectPr>
      </w:pPr>
    </w:p>
    <w:p w14:paraId="5D5AF3A4" w14:textId="7EA0B00F" w:rsidR="00AD0815" w:rsidRDefault="001B324E" w:rsidP="00CC6FA2">
      <w:pPr>
        <w:pStyle w:val="Kop3"/>
        <w:numPr>
          <w:ilvl w:val="1"/>
          <w:numId w:val="8"/>
        </w:numPr>
        <w:spacing w:line="480" w:lineRule="auto"/>
        <w:rPr>
          <w:lang w:val="en-GB"/>
        </w:rPr>
      </w:pPr>
      <w:bookmarkStart w:id="98" w:name="_Toc68163869"/>
      <w:bookmarkStart w:id="99" w:name="_Toc68333380"/>
      <w:bookmarkStart w:id="100" w:name="_Toc68704054"/>
      <w:bookmarkStart w:id="101" w:name="_Toc70154217"/>
      <w:bookmarkStart w:id="102" w:name="_Toc70238568"/>
      <w:r w:rsidRPr="001B324E">
        <w:rPr>
          <w:lang w:val="en-GB"/>
        </w:rPr>
        <w:lastRenderedPageBreak/>
        <w:t xml:space="preserve">Pre-treatment </w:t>
      </w:r>
      <w:r w:rsidR="00595C51">
        <w:rPr>
          <w:lang w:val="en-GB"/>
        </w:rPr>
        <w:t>rates</w:t>
      </w:r>
      <w:bookmarkEnd w:id="98"/>
      <w:bookmarkEnd w:id="99"/>
      <w:bookmarkEnd w:id="100"/>
      <w:bookmarkEnd w:id="101"/>
      <w:bookmarkEnd w:id="102"/>
    </w:p>
    <w:p w14:paraId="77221570" w14:textId="2A3A8F37" w:rsidR="00A9561E" w:rsidRPr="00A9561E" w:rsidRDefault="001B324E" w:rsidP="00CC6FA2">
      <w:pPr>
        <w:pStyle w:val="Kop4"/>
        <w:numPr>
          <w:ilvl w:val="2"/>
          <w:numId w:val="8"/>
        </w:numPr>
        <w:spacing w:line="480" w:lineRule="auto"/>
        <w:rPr>
          <w:lang w:val="en-GB"/>
        </w:rPr>
      </w:pPr>
      <w:r w:rsidRPr="005A10A7">
        <w:rPr>
          <w:lang w:val="en-GB"/>
        </w:rPr>
        <w:t>Sym</w:t>
      </w:r>
      <w:r>
        <w:rPr>
          <w:lang w:val="en-GB"/>
        </w:rPr>
        <w:t xml:space="preserve">ptomatic renal colic </w:t>
      </w:r>
      <w:r w:rsidR="00595C51">
        <w:rPr>
          <w:lang w:val="en-GB"/>
        </w:rPr>
        <w:t>rate</w:t>
      </w:r>
    </w:p>
    <w:p w14:paraId="347334F7" w14:textId="3B168418" w:rsidR="001B324E" w:rsidRPr="00F0468B" w:rsidRDefault="007919E0" w:rsidP="005769F3">
      <w:pPr>
        <w:spacing w:line="480" w:lineRule="auto"/>
        <w:jc w:val="both"/>
        <w:rPr>
          <w:lang w:val="en-GB"/>
        </w:rPr>
      </w:pPr>
      <w:r>
        <w:rPr>
          <w:lang w:val="en-GB"/>
        </w:rPr>
        <w:t xml:space="preserve">In </w:t>
      </w:r>
      <w:r w:rsidR="009767B7">
        <w:rPr>
          <w:lang w:val="en-GB"/>
        </w:rPr>
        <w:t>779</w:t>
      </w:r>
      <w:r>
        <w:rPr>
          <w:lang w:val="en-GB"/>
        </w:rPr>
        <w:t xml:space="preserve"> patients with nephrolithiasis </w:t>
      </w:r>
      <w:r w:rsidR="00DD0388">
        <w:rPr>
          <w:lang w:val="en-GB"/>
        </w:rPr>
        <w:t xml:space="preserve">but without </w:t>
      </w:r>
      <w:r>
        <w:rPr>
          <w:lang w:val="en-GB"/>
        </w:rPr>
        <w:t xml:space="preserve">nephrocalcinosis and with sufficient data, the pre-treatment rates could be calculated, </w:t>
      </w:r>
      <w:r w:rsidRPr="00AD0815">
        <w:rPr>
          <w:lang w:val="en-GB"/>
        </w:rPr>
        <w:t>results of which can be found in</w:t>
      </w:r>
      <w:r>
        <w:rPr>
          <w:lang w:val="en-GB"/>
        </w:rPr>
        <w:t xml:space="preserve"> table </w:t>
      </w:r>
      <w:r w:rsidR="00DD0388">
        <w:rPr>
          <w:lang w:val="en-GB"/>
        </w:rPr>
        <w:t>8</w:t>
      </w:r>
      <w:r w:rsidR="009767B7">
        <w:rPr>
          <w:lang w:val="en-GB"/>
        </w:rPr>
        <w:t xml:space="preserve">. </w:t>
      </w:r>
      <w:r w:rsidR="00DD0388">
        <w:rPr>
          <w:lang w:val="en-GB"/>
        </w:rPr>
        <w:t xml:space="preserve">If taken into account all stone compositions, </w:t>
      </w:r>
      <w:r w:rsidR="00DD0388" w:rsidRPr="001952CD">
        <w:rPr>
          <w:lang w:val="en-GB"/>
        </w:rPr>
        <w:t>t</w:t>
      </w:r>
      <w:r w:rsidR="001B324E" w:rsidRPr="001952CD">
        <w:rPr>
          <w:lang w:val="en-GB"/>
        </w:rPr>
        <w:t>he mean symptomatic renal colic rat</w:t>
      </w:r>
      <w:r w:rsidR="005A10B2" w:rsidRPr="001952CD">
        <w:rPr>
          <w:lang w:val="en-GB"/>
        </w:rPr>
        <w:t>e</w:t>
      </w:r>
      <w:r w:rsidR="001B324E" w:rsidRPr="001952CD">
        <w:rPr>
          <w:lang w:val="en-GB"/>
        </w:rPr>
        <w:t xml:space="preserve"> was </w:t>
      </w:r>
      <w:r w:rsidR="001B423A" w:rsidRPr="001952CD">
        <w:rPr>
          <w:lang w:val="en-GB"/>
        </w:rPr>
        <w:t>1</w:t>
      </w:r>
      <w:r w:rsidR="00E83820">
        <w:rPr>
          <w:lang w:val="en-GB"/>
        </w:rPr>
        <w:t>.</w:t>
      </w:r>
      <w:r w:rsidR="001B423A" w:rsidRPr="001952CD">
        <w:rPr>
          <w:lang w:val="en-GB"/>
        </w:rPr>
        <w:t>7</w:t>
      </w:r>
      <w:r w:rsidR="00E60832" w:rsidRPr="001952CD">
        <w:rPr>
          <w:lang w:val="en-GB"/>
        </w:rPr>
        <w:t>±</w:t>
      </w:r>
      <w:r w:rsidR="001B423A" w:rsidRPr="001952CD">
        <w:rPr>
          <w:lang w:val="en-GB"/>
        </w:rPr>
        <w:t>3</w:t>
      </w:r>
      <w:r w:rsidR="00E83820">
        <w:rPr>
          <w:lang w:val="en-GB"/>
        </w:rPr>
        <w:t>.</w:t>
      </w:r>
      <w:r w:rsidR="001B423A" w:rsidRPr="001952CD">
        <w:rPr>
          <w:lang w:val="en-GB"/>
        </w:rPr>
        <w:t>0</w:t>
      </w:r>
      <w:r w:rsidR="001B324E" w:rsidRPr="001952CD">
        <w:rPr>
          <w:lang w:val="en-GB"/>
        </w:rPr>
        <w:t xml:space="preserve"> per yea</w:t>
      </w:r>
      <w:r w:rsidR="00DD0388" w:rsidRPr="001952CD">
        <w:rPr>
          <w:lang w:val="en-GB"/>
        </w:rPr>
        <w:t>r</w:t>
      </w:r>
      <w:r w:rsidR="00F0468B">
        <w:rPr>
          <w:lang w:val="en-GB"/>
        </w:rPr>
        <w:t xml:space="preserve"> and </w:t>
      </w:r>
      <w:r w:rsidR="00F0468B" w:rsidRPr="00F0468B">
        <w:rPr>
          <w:lang w:val="en-GB"/>
        </w:rPr>
        <w:t>t</w:t>
      </w:r>
      <w:r w:rsidR="001952CD" w:rsidRPr="00F0468B">
        <w:rPr>
          <w:lang w:val="en-GB"/>
        </w:rPr>
        <w:t xml:space="preserve">he median was </w:t>
      </w:r>
      <w:r w:rsidR="001952CD" w:rsidRPr="00F0468B">
        <w:rPr>
          <w:rFonts w:cstheme="minorHAnsi"/>
          <w:lang w:val="en-GB"/>
        </w:rPr>
        <w:t>0</w:t>
      </w:r>
      <w:r w:rsidR="00E83820">
        <w:rPr>
          <w:rFonts w:cstheme="minorHAnsi"/>
          <w:lang w:val="en-GB"/>
        </w:rPr>
        <w:t>.</w:t>
      </w:r>
      <w:r w:rsidR="001952CD" w:rsidRPr="00F0468B">
        <w:rPr>
          <w:rFonts w:cstheme="minorHAnsi"/>
          <w:lang w:val="en-GB"/>
        </w:rPr>
        <w:t>6 (0</w:t>
      </w:r>
      <w:r w:rsidR="00E83820">
        <w:rPr>
          <w:rFonts w:cstheme="minorHAnsi"/>
          <w:lang w:val="en-GB"/>
        </w:rPr>
        <w:t>.</w:t>
      </w:r>
      <w:r w:rsidR="001952CD" w:rsidRPr="00F0468B">
        <w:rPr>
          <w:rFonts w:cstheme="minorHAnsi"/>
          <w:lang w:val="en-GB"/>
        </w:rPr>
        <w:t>2-2</w:t>
      </w:r>
      <w:r w:rsidR="00E83820">
        <w:rPr>
          <w:rFonts w:cstheme="minorHAnsi"/>
          <w:lang w:val="en-GB"/>
        </w:rPr>
        <w:t>.</w:t>
      </w:r>
      <w:r w:rsidR="001952CD" w:rsidRPr="00F0468B">
        <w:rPr>
          <w:rFonts w:cstheme="minorHAnsi"/>
          <w:lang w:val="en-GB"/>
        </w:rPr>
        <w:t>1)</w:t>
      </w:r>
      <w:r w:rsidR="00F0468B" w:rsidRPr="00F0468B">
        <w:rPr>
          <w:rFonts w:cstheme="minorHAnsi"/>
          <w:lang w:val="en-GB"/>
        </w:rPr>
        <w:t xml:space="preserve"> per year</w:t>
      </w:r>
      <w:r w:rsidR="000C3DA1" w:rsidRPr="00F0468B">
        <w:rPr>
          <w:rFonts w:cstheme="minorHAnsi"/>
          <w:lang w:val="en-GB"/>
        </w:rPr>
        <w:t>.</w:t>
      </w:r>
    </w:p>
    <w:p w14:paraId="42C3C2B2" w14:textId="66523664" w:rsidR="001B324E" w:rsidRDefault="001B324E" w:rsidP="005769F3">
      <w:pPr>
        <w:spacing w:line="480" w:lineRule="auto"/>
        <w:jc w:val="both"/>
        <w:rPr>
          <w:lang w:val="en-GB"/>
        </w:rPr>
      </w:pPr>
      <w:r w:rsidRPr="001952CD">
        <w:rPr>
          <w:lang w:val="en-GB"/>
        </w:rPr>
        <w:t xml:space="preserve">The highest </w:t>
      </w:r>
      <w:r w:rsidR="009F451A">
        <w:rPr>
          <w:lang w:val="en-GB"/>
        </w:rPr>
        <w:t xml:space="preserve">mean </w:t>
      </w:r>
      <w:r w:rsidRPr="001952CD">
        <w:rPr>
          <w:lang w:val="en-GB"/>
        </w:rPr>
        <w:t>symptomatic renal colic rat</w:t>
      </w:r>
      <w:r w:rsidR="005A10B2" w:rsidRPr="001952CD">
        <w:rPr>
          <w:lang w:val="en-GB"/>
        </w:rPr>
        <w:t>e</w:t>
      </w:r>
      <w:r w:rsidRPr="001952CD">
        <w:rPr>
          <w:lang w:val="en-GB"/>
        </w:rPr>
        <w:t xml:space="preserve"> was found in the subpopulation of </w:t>
      </w:r>
      <w:r w:rsidR="00D169E5" w:rsidRPr="001952CD">
        <w:rPr>
          <w:lang w:val="en-GB"/>
        </w:rPr>
        <w:t>mixed</w:t>
      </w:r>
      <w:r w:rsidRPr="001952CD">
        <w:rPr>
          <w:lang w:val="en-GB"/>
        </w:rPr>
        <w:t xml:space="preserve"> stones with a mean rat</w:t>
      </w:r>
      <w:r w:rsidR="005A10B2" w:rsidRPr="001952CD">
        <w:rPr>
          <w:lang w:val="en-GB"/>
        </w:rPr>
        <w:t xml:space="preserve">e </w:t>
      </w:r>
      <w:r w:rsidRPr="001952CD">
        <w:rPr>
          <w:lang w:val="en-GB"/>
        </w:rPr>
        <w:t xml:space="preserve">of </w:t>
      </w:r>
      <w:r w:rsidR="001B423A" w:rsidRPr="001952CD">
        <w:rPr>
          <w:lang w:val="en-GB"/>
        </w:rPr>
        <w:t>3</w:t>
      </w:r>
      <w:r w:rsidR="00E83820">
        <w:rPr>
          <w:lang w:val="en-GB"/>
        </w:rPr>
        <w:t>.</w:t>
      </w:r>
      <w:r w:rsidR="001B423A" w:rsidRPr="001952CD">
        <w:rPr>
          <w:lang w:val="en-GB"/>
        </w:rPr>
        <w:t>2</w:t>
      </w:r>
      <w:r w:rsidR="002A285D" w:rsidRPr="001952CD">
        <w:rPr>
          <w:lang w:val="en-GB"/>
        </w:rPr>
        <w:t>±12</w:t>
      </w:r>
      <w:r w:rsidR="00E83820">
        <w:rPr>
          <w:lang w:val="en-GB"/>
        </w:rPr>
        <w:t>.</w:t>
      </w:r>
      <w:r w:rsidR="002A285D" w:rsidRPr="001952CD">
        <w:rPr>
          <w:lang w:val="en-GB"/>
        </w:rPr>
        <w:t>4</w:t>
      </w:r>
      <w:r w:rsidRPr="001952CD">
        <w:rPr>
          <w:lang w:val="en-GB"/>
        </w:rPr>
        <w:t xml:space="preserve"> per year</w:t>
      </w:r>
      <w:r w:rsidR="00F0468B" w:rsidRPr="009F451A">
        <w:rPr>
          <w:rFonts w:cstheme="minorHAnsi"/>
          <w:lang w:val="en-GB"/>
        </w:rPr>
        <w:t>.</w:t>
      </w:r>
      <w:r w:rsidR="00F0468B">
        <w:rPr>
          <w:rFonts w:cstheme="minorHAnsi"/>
          <w:color w:val="FF0000"/>
          <w:lang w:val="en-GB"/>
        </w:rPr>
        <w:t xml:space="preserve"> </w:t>
      </w:r>
      <w:r w:rsidRPr="001952CD">
        <w:rPr>
          <w:lang w:val="en-GB"/>
        </w:rPr>
        <w:t xml:space="preserve">The lowest was found in the brushite </w:t>
      </w:r>
      <w:r w:rsidR="009E4C32" w:rsidRPr="001952CD">
        <w:rPr>
          <w:lang w:val="en-GB"/>
        </w:rPr>
        <w:t xml:space="preserve">and struvite </w:t>
      </w:r>
      <w:r w:rsidRPr="001952CD">
        <w:rPr>
          <w:lang w:val="en-GB"/>
        </w:rPr>
        <w:t xml:space="preserve">stone subpopulation with a </w:t>
      </w:r>
      <w:r w:rsidR="009F451A">
        <w:rPr>
          <w:lang w:val="en-GB"/>
        </w:rPr>
        <w:t xml:space="preserve">mean </w:t>
      </w:r>
      <w:r w:rsidRPr="001952CD">
        <w:rPr>
          <w:lang w:val="en-GB"/>
        </w:rPr>
        <w:t>rat</w:t>
      </w:r>
      <w:r w:rsidR="005A10B2" w:rsidRPr="001952CD">
        <w:rPr>
          <w:lang w:val="en-GB"/>
        </w:rPr>
        <w:t>e</w:t>
      </w:r>
      <w:r w:rsidRPr="001952CD">
        <w:rPr>
          <w:lang w:val="en-GB"/>
        </w:rPr>
        <w:t xml:space="preserve"> of </w:t>
      </w:r>
      <w:r w:rsidR="001B423A" w:rsidRPr="001952CD">
        <w:rPr>
          <w:lang w:val="en-GB"/>
        </w:rPr>
        <w:t>1</w:t>
      </w:r>
      <w:r w:rsidR="00E83820">
        <w:rPr>
          <w:lang w:val="en-GB"/>
        </w:rPr>
        <w:t>.</w:t>
      </w:r>
      <w:r w:rsidR="001B423A" w:rsidRPr="001952CD">
        <w:rPr>
          <w:lang w:val="en-GB"/>
        </w:rPr>
        <w:t>0</w:t>
      </w:r>
      <w:r w:rsidR="009D310B" w:rsidRPr="001952CD">
        <w:rPr>
          <w:lang w:val="en-GB"/>
        </w:rPr>
        <w:t>±</w:t>
      </w:r>
      <w:r w:rsidR="001B423A" w:rsidRPr="001952CD">
        <w:rPr>
          <w:lang w:val="en-GB"/>
        </w:rPr>
        <w:t>1</w:t>
      </w:r>
      <w:r w:rsidR="00E83820">
        <w:rPr>
          <w:lang w:val="en-GB"/>
        </w:rPr>
        <w:t>.</w:t>
      </w:r>
      <w:r w:rsidR="001B423A" w:rsidRPr="001952CD">
        <w:rPr>
          <w:lang w:val="en-GB"/>
        </w:rPr>
        <w:t>2</w:t>
      </w:r>
      <w:r w:rsidR="009D310B" w:rsidRPr="001952CD">
        <w:rPr>
          <w:lang w:val="en-GB"/>
        </w:rPr>
        <w:t xml:space="preserve"> per year</w:t>
      </w:r>
      <w:r w:rsidR="001B423A" w:rsidRPr="001952CD">
        <w:rPr>
          <w:lang w:val="en-GB"/>
        </w:rPr>
        <w:t xml:space="preserve"> and 1</w:t>
      </w:r>
      <w:r w:rsidR="00E83820">
        <w:rPr>
          <w:lang w:val="en-GB"/>
        </w:rPr>
        <w:t>.</w:t>
      </w:r>
      <w:r w:rsidR="001B423A" w:rsidRPr="001952CD">
        <w:rPr>
          <w:lang w:val="en-GB"/>
        </w:rPr>
        <w:t>0±1</w:t>
      </w:r>
      <w:r w:rsidR="00E83820">
        <w:rPr>
          <w:lang w:val="en-GB"/>
        </w:rPr>
        <w:t>.</w:t>
      </w:r>
      <w:r w:rsidR="001B423A" w:rsidRPr="001952CD">
        <w:rPr>
          <w:lang w:val="en-GB"/>
        </w:rPr>
        <w:t>6 per year respectively</w:t>
      </w:r>
      <w:r w:rsidR="009D310B" w:rsidRPr="001952CD">
        <w:rPr>
          <w:lang w:val="en-GB"/>
        </w:rPr>
        <w:t>.</w:t>
      </w:r>
      <w:r w:rsidR="009D310B">
        <w:rPr>
          <w:lang w:val="en-GB"/>
        </w:rPr>
        <w:t xml:space="preserve"> </w:t>
      </w:r>
    </w:p>
    <w:p w14:paraId="3A1AE4FE" w14:textId="57431924" w:rsidR="001952CD" w:rsidRPr="001952CD" w:rsidRDefault="00F0468B" w:rsidP="005769F3">
      <w:pPr>
        <w:spacing w:line="480" w:lineRule="auto"/>
        <w:jc w:val="both"/>
        <w:rPr>
          <w:i/>
          <w:iCs/>
          <w:color w:val="FF0000"/>
          <w:lang w:val="en-GB"/>
        </w:rPr>
      </w:pPr>
      <w:r>
        <w:rPr>
          <w:lang w:val="en-GB"/>
        </w:rPr>
        <w:t>Taking into account the median symptomatic renal colic rates, t</w:t>
      </w:r>
      <w:r w:rsidR="001952CD" w:rsidRPr="00F0468B">
        <w:rPr>
          <w:lang w:val="en-GB"/>
        </w:rPr>
        <w:t xml:space="preserve">he highest was found in the subpopulation of calcium phosphate stones with a median rate of </w:t>
      </w:r>
      <w:r w:rsidR="001952CD" w:rsidRPr="00F0468B">
        <w:rPr>
          <w:rFonts w:cstheme="minorHAnsi"/>
          <w:lang w:val="en-GB"/>
        </w:rPr>
        <w:t>1</w:t>
      </w:r>
      <w:r w:rsidR="00E83820">
        <w:rPr>
          <w:rFonts w:cstheme="minorHAnsi"/>
          <w:lang w:val="en-GB"/>
        </w:rPr>
        <w:t>.</w:t>
      </w:r>
      <w:r w:rsidR="001952CD" w:rsidRPr="00F0468B">
        <w:rPr>
          <w:rFonts w:cstheme="minorHAnsi"/>
          <w:lang w:val="en-GB"/>
        </w:rPr>
        <w:t>0 (0</w:t>
      </w:r>
      <w:r w:rsidR="00E83820">
        <w:rPr>
          <w:rFonts w:cstheme="minorHAnsi"/>
          <w:lang w:val="en-GB"/>
        </w:rPr>
        <w:t>.</w:t>
      </w:r>
      <w:r w:rsidR="001952CD" w:rsidRPr="00F0468B">
        <w:rPr>
          <w:rFonts w:cstheme="minorHAnsi"/>
          <w:lang w:val="en-GB"/>
        </w:rPr>
        <w:t>2-2</w:t>
      </w:r>
      <w:r w:rsidR="00E83820">
        <w:rPr>
          <w:rFonts w:cstheme="minorHAnsi"/>
          <w:lang w:val="en-GB"/>
        </w:rPr>
        <w:t>.</w:t>
      </w:r>
      <w:r w:rsidR="001952CD" w:rsidRPr="00F0468B">
        <w:rPr>
          <w:rFonts w:cstheme="minorHAnsi"/>
          <w:lang w:val="en-GB"/>
        </w:rPr>
        <w:t>2)</w:t>
      </w:r>
      <w:r w:rsidR="00CB71EB">
        <w:rPr>
          <w:rFonts w:cstheme="minorHAnsi"/>
          <w:lang w:val="en-GB"/>
        </w:rPr>
        <w:t xml:space="preserve"> </w:t>
      </w:r>
      <w:r w:rsidR="001952CD" w:rsidRPr="00F0468B">
        <w:rPr>
          <w:lang w:val="en-GB"/>
        </w:rPr>
        <w:t>per year</w:t>
      </w:r>
      <w:r>
        <w:rPr>
          <w:lang w:val="en-GB"/>
        </w:rPr>
        <w:t>, while t</w:t>
      </w:r>
      <w:r w:rsidR="001952CD" w:rsidRPr="00F0468B">
        <w:rPr>
          <w:lang w:val="en-GB"/>
        </w:rPr>
        <w:t xml:space="preserve">he lowest was found in the struvite stone subpopulation with a median rate of </w:t>
      </w:r>
      <w:r w:rsidR="00E83820">
        <w:rPr>
          <w:rFonts w:cstheme="minorHAnsi"/>
          <w:lang w:val="en-GB"/>
        </w:rPr>
        <w:t>0.</w:t>
      </w:r>
      <w:r w:rsidR="001952CD" w:rsidRPr="00F0468B">
        <w:rPr>
          <w:rFonts w:cstheme="minorHAnsi"/>
          <w:lang w:val="en-GB"/>
        </w:rPr>
        <w:t>3 (0</w:t>
      </w:r>
      <w:r w:rsidR="00E83820">
        <w:rPr>
          <w:rFonts w:cstheme="minorHAnsi"/>
          <w:lang w:val="en-GB"/>
        </w:rPr>
        <w:t>.</w:t>
      </w:r>
      <w:r w:rsidR="001952CD" w:rsidRPr="00F0468B">
        <w:rPr>
          <w:rFonts w:cstheme="minorHAnsi"/>
          <w:lang w:val="en-GB"/>
        </w:rPr>
        <w:t>1-1</w:t>
      </w:r>
      <w:r w:rsidR="00E83820">
        <w:rPr>
          <w:rFonts w:cstheme="minorHAnsi"/>
          <w:lang w:val="en-GB"/>
        </w:rPr>
        <w:t>.</w:t>
      </w:r>
      <w:r w:rsidR="001952CD" w:rsidRPr="00F0468B">
        <w:rPr>
          <w:rFonts w:cstheme="minorHAnsi"/>
          <w:lang w:val="en-GB"/>
        </w:rPr>
        <w:t>0) per year</w:t>
      </w:r>
      <w:r w:rsidR="001952CD" w:rsidRPr="001952CD">
        <w:rPr>
          <w:i/>
          <w:iCs/>
          <w:color w:val="FF0000"/>
          <w:lang w:val="en-GB"/>
        </w:rPr>
        <w:t xml:space="preserve">. </w:t>
      </w:r>
    </w:p>
    <w:p w14:paraId="2808C67F" w14:textId="20F29001" w:rsidR="001B324E" w:rsidRPr="0034179C" w:rsidRDefault="001B324E" w:rsidP="00CC6FA2">
      <w:pPr>
        <w:pStyle w:val="Kop4"/>
        <w:numPr>
          <w:ilvl w:val="2"/>
          <w:numId w:val="8"/>
        </w:numPr>
        <w:spacing w:line="480" w:lineRule="auto"/>
        <w:rPr>
          <w:lang w:val="en-GB"/>
        </w:rPr>
      </w:pPr>
      <w:r w:rsidRPr="0034179C">
        <w:rPr>
          <w:lang w:val="en-GB"/>
        </w:rPr>
        <w:t xml:space="preserve">Stone formation </w:t>
      </w:r>
      <w:r w:rsidR="00595C51">
        <w:rPr>
          <w:lang w:val="en-GB"/>
        </w:rPr>
        <w:t>rate</w:t>
      </w:r>
    </w:p>
    <w:p w14:paraId="69A2B969" w14:textId="77777777" w:rsidR="00F0468B" w:rsidRDefault="007919E0" w:rsidP="005769F3">
      <w:pPr>
        <w:spacing w:line="480" w:lineRule="auto"/>
        <w:jc w:val="both"/>
        <w:rPr>
          <w:lang w:val="en-GB"/>
        </w:rPr>
      </w:pPr>
      <w:r>
        <w:rPr>
          <w:lang w:val="en-GB"/>
        </w:rPr>
        <w:t>In</w:t>
      </w:r>
      <w:r w:rsidR="009767B7">
        <w:rPr>
          <w:lang w:val="en-GB"/>
        </w:rPr>
        <w:t xml:space="preserve"> 732</w:t>
      </w:r>
      <w:r>
        <w:rPr>
          <w:lang w:val="en-GB"/>
        </w:rPr>
        <w:t xml:space="preserve"> patients with nephrolithiasis but without nephrocalcinosis and with sufficient data, the pre-treatment rates could be calculated, </w:t>
      </w:r>
      <w:r w:rsidRPr="00AD0815">
        <w:rPr>
          <w:lang w:val="en-GB"/>
        </w:rPr>
        <w:t>results of which can be found in</w:t>
      </w:r>
      <w:r>
        <w:rPr>
          <w:lang w:val="en-GB"/>
        </w:rPr>
        <w:t xml:space="preserve"> table </w:t>
      </w:r>
      <w:r w:rsidR="00DD0388">
        <w:rPr>
          <w:lang w:val="en-GB"/>
        </w:rPr>
        <w:t xml:space="preserve">8. </w:t>
      </w:r>
    </w:p>
    <w:p w14:paraId="4009C0E4" w14:textId="3338A839" w:rsidR="00595C51" w:rsidRDefault="00DD0388" w:rsidP="005769F3">
      <w:pPr>
        <w:spacing w:line="480" w:lineRule="auto"/>
        <w:jc w:val="both"/>
        <w:rPr>
          <w:lang w:val="en-GB"/>
        </w:rPr>
      </w:pPr>
      <w:r w:rsidRPr="001952CD">
        <w:rPr>
          <w:lang w:val="en-GB"/>
        </w:rPr>
        <w:t>If taken into account all stone compositions, t</w:t>
      </w:r>
      <w:r w:rsidR="00830310" w:rsidRPr="001952CD">
        <w:rPr>
          <w:lang w:val="en-GB"/>
        </w:rPr>
        <w:t>he mean stone formation rat</w:t>
      </w:r>
      <w:r w:rsidR="005A10B2" w:rsidRPr="001952CD">
        <w:rPr>
          <w:lang w:val="en-GB"/>
        </w:rPr>
        <w:t>e</w:t>
      </w:r>
      <w:r w:rsidR="00830310" w:rsidRPr="001952CD">
        <w:rPr>
          <w:lang w:val="en-GB"/>
        </w:rPr>
        <w:t xml:space="preserve"> was </w:t>
      </w:r>
      <w:r w:rsidR="00BD5A09" w:rsidRPr="001952CD">
        <w:rPr>
          <w:lang w:val="en-GB"/>
        </w:rPr>
        <w:t>0</w:t>
      </w:r>
      <w:r w:rsidR="00E83820">
        <w:rPr>
          <w:lang w:val="en-GB"/>
        </w:rPr>
        <w:t>.</w:t>
      </w:r>
      <w:r w:rsidR="00BD5A09" w:rsidRPr="001952CD">
        <w:rPr>
          <w:lang w:val="en-GB"/>
        </w:rPr>
        <w:t>7</w:t>
      </w:r>
      <w:r w:rsidR="00830310" w:rsidRPr="001952CD">
        <w:rPr>
          <w:lang w:val="en-GB"/>
        </w:rPr>
        <w:t>±</w:t>
      </w:r>
      <w:r w:rsidR="00BD5A09" w:rsidRPr="001952CD">
        <w:rPr>
          <w:lang w:val="en-GB"/>
        </w:rPr>
        <w:t>0</w:t>
      </w:r>
      <w:r w:rsidR="00830310" w:rsidRPr="001952CD">
        <w:rPr>
          <w:lang w:val="en-GB"/>
        </w:rPr>
        <w:t>,</w:t>
      </w:r>
      <w:r w:rsidR="00BD5A09" w:rsidRPr="001952CD">
        <w:rPr>
          <w:lang w:val="en-GB"/>
        </w:rPr>
        <w:t>9</w:t>
      </w:r>
      <w:r w:rsidR="00830310" w:rsidRPr="001952CD">
        <w:rPr>
          <w:lang w:val="en-GB"/>
        </w:rPr>
        <w:t xml:space="preserve"> per year</w:t>
      </w:r>
      <w:r w:rsidRPr="001952CD">
        <w:rPr>
          <w:lang w:val="en-GB"/>
        </w:rPr>
        <w:t xml:space="preserve">. </w:t>
      </w:r>
      <w:r w:rsidR="00F0468B">
        <w:rPr>
          <w:lang w:val="en-GB"/>
        </w:rPr>
        <w:t xml:space="preserve"> </w:t>
      </w:r>
      <w:r w:rsidR="00036FC0" w:rsidRPr="001952CD">
        <w:rPr>
          <w:lang w:val="en-GB"/>
        </w:rPr>
        <w:t xml:space="preserve">The highest </w:t>
      </w:r>
      <w:r w:rsidR="009F451A">
        <w:rPr>
          <w:lang w:val="en-GB"/>
        </w:rPr>
        <w:t xml:space="preserve">mean </w:t>
      </w:r>
      <w:r w:rsidR="00036FC0" w:rsidRPr="001952CD">
        <w:rPr>
          <w:lang w:val="en-GB"/>
        </w:rPr>
        <w:t>stone formation rat</w:t>
      </w:r>
      <w:r w:rsidR="005A10B2" w:rsidRPr="001952CD">
        <w:rPr>
          <w:lang w:val="en-GB"/>
        </w:rPr>
        <w:t>e</w:t>
      </w:r>
      <w:r w:rsidR="00036FC0" w:rsidRPr="001952CD">
        <w:rPr>
          <w:lang w:val="en-GB"/>
        </w:rPr>
        <w:t xml:space="preserve"> was found in the </w:t>
      </w:r>
      <w:r w:rsidR="00BD5A09" w:rsidRPr="001952CD">
        <w:rPr>
          <w:lang w:val="en-GB"/>
        </w:rPr>
        <w:t>calcium-oxalate</w:t>
      </w:r>
      <w:r w:rsidR="004E3A9B" w:rsidRPr="001952CD">
        <w:rPr>
          <w:lang w:val="en-GB"/>
        </w:rPr>
        <w:t xml:space="preserve"> stones group with a mean rat</w:t>
      </w:r>
      <w:r w:rsidR="005A10B2" w:rsidRPr="001952CD">
        <w:rPr>
          <w:lang w:val="en-GB"/>
        </w:rPr>
        <w:t>e</w:t>
      </w:r>
      <w:r w:rsidR="004E3A9B" w:rsidRPr="001952CD">
        <w:rPr>
          <w:lang w:val="en-GB"/>
        </w:rPr>
        <w:t xml:space="preserve"> of </w:t>
      </w:r>
      <w:r w:rsidR="00BD5A09" w:rsidRPr="001952CD">
        <w:rPr>
          <w:lang w:val="en-GB"/>
        </w:rPr>
        <w:t>0</w:t>
      </w:r>
      <w:r w:rsidR="00E83820">
        <w:rPr>
          <w:lang w:val="en-GB"/>
        </w:rPr>
        <w:t>.</w:t>
      </w:r>
      <w:r w:rsidR="00BD5A09" w:rsidRPr="001952CD">
        <w:rPr>
          <w:lang w:val="en-GB"/>
        </w:rPr>
        <w:t>8</w:t>
      </w:r>
      <w:r w:rsidR="00C02AE3" w:rsidRPr="001952CD">
        <w:rPr>
          <w:lang w:val="en-GB"/>
        </w:rPr>
        <w:t>±</w:t>
      </w:r>
      <w:r w:rsidR="00BD5A09" w:rsidRPr="001952CD">
        <w:rPr>
          <w:lang w:val="en-GB"/>
        </w:rPr>
        <w:t>1</w:t>
      </w:r>
      <w:r w:rsidR="00E83820">
        <w:rPr>
          <w:lang w:val="en-GB"/>
        </w:rPr>
        <w:t>.</w:t>
      </w:r>
      <w:r w:rsidR="00BD5A09" w:rsidRPr="001952CD">
        <w:rPr>
          <w:lang w:val="en-GB"/>
        </w:rPr>
        <w:t>1</w:t>
      </w:r>
      <w:r w:rsidR="00C02AE3" w:rsidRPr="001952CD">
        <w:rPr>
          <w:lang w:val="en-GB"/>
        </w:rPr>
        <w:t xml:space="preserve"> per year</w:t>
      </w:r>
      <w:r w:rsidR="0003016D" w:rsidRPr="001952CD">
        <w:rPr>
          <w:lang w:val="en-GB"/>
        </w:rPr>
        <w:t>.</w:t>
      </w:r>
      <w:r w:rsidR="00C02AE3" w:rsidRPr="001952CD">
        <w:rPr>
          <w:lang w:val="en-GB"/>
        </w:rPr>
        <w:t xml:space="preserve"> </w:t>
      </w:r>
      <w:r w:rsidRPr="001952CD">
        <w:rPr>
          <w:lang w:val="en-GB"/>
        </w:rPr>
        <w:t xml:space="preserve"> </w:t>
      </w:r>
      <w:r w:rsidR="004E31E5" w:rsidRPr="001952CD">
        <w:rPr>
          <w:lang w:val="en-GB"/>
        </w:rPr>
        <w:t xml:space="preserve">The lowest was found in the </w:t>
      </w:r>
      <w:r w:rsidR="00BD5A09" w:rsidRPr="001952CD">
        <w:rPr>
          <w:lang w:val="en-GB"/>
        </w:rPr>
        <w:t>mixed</w:t>
      </w:r>
      <w:r w:rsidR="004E31E5" w:rsidRPr="001952CD">
        <w:rPr>
          <w:lang w:val="en-GB"/>
        </w:rPr>
        <w:t xml:space="preserve"> stone subpopulation with a </w:t>
      </w:r>
      <w:r w:rsidR="009F451A">
        <w:rPr>
          <w:lang w:val="en-GB"/>
        </w:rPr>
        <w:t xml:space="preserve">mean </w:t>
      </w:r>
      <w:r w:rsidR="004E31E5" w:rsidRPr="001952CD">
        <w:rPr>
          <w:lang w:val="en-GB"/>
        </w:rPr>
        <w:t>rat</w:t>
      </w:r>
      <w:r w:rsidR="005A10B2" w:rsidRPr="001952CD">
        <w:rPr>
          <w:lang w:val="en-GB"/>
        </w:rPr>
        <w:t>e</w:t>
      </w:r>
      <w:r w:rsidR="004E31E5" w:rsidRPr="001952CD">
        <w:rPr>
          <w:lang w:val="en-GB"/>
        </w:rPr>
        <w:t xml:space="preserve"> of </w:t>
      </w:r>
      <w:r w:rsidR="00BD5A09" w:rsidRPr="001952CD">
        <w:rPr>
          <w:lang w:val="en-GB"/>
        </w:rPr>
        <w:t>0</w:t>
      </w:r>
      <w:r w:rsidR="00E83820">
        <w:rPr>
          <w:lang w:val="en-GB"/>
        </w:rPr>
        <w:t>.</w:t>
      </w:r>
      <w:r w:rsidR="00BD5A09" w:rsidRPr="001952CD">
        <w:rPr>
          <w:lang w:val="en-GB"/>
        </w:rPr>
        <w:t>4</w:t>
      </w:r>
      <w:r w:rsidR="00584924" w:rsidRPr="001952CD">
        <w:rPr>
          <w:lang w:val="en-GB"/>
        </w:rPr>
        <w:t>±</w:t>
      </w:r>
      <w:r w:rsidR="00BD5A09" w:rsidRPr="001952CD">
        <w:rPr>
          <w:lang w:val="en-GB"/>
        </w:rPr>
        <w:t>0</w:t>
      </w:r>
      <w:r w:rsidR="00E83820">
        <w:rPr>
          <w:lang w:val="en-GB"/>
        </w:rPr>
        <w:t>.</w:t>
      </w:r>
      <w:r w:rsidR="00BD5A09" w:rsidRPr="001952CD">
        <w:rPr>
          <w:lang w:val="en-GB"/>
        </w:rPr>
        <w:t>4</w:t>
      </w:r>
      <w:r w:rsidR="00584924" w:rsidRPr="001952CD">
        <w:rPr>
          <w:lang w:val="en-GB"/>
        </w:rPr>
        <w:t xml:space="preserve"> per year</w:t>
      </w:r>
      <w:r w:rsidR="0025042E" w:rsidRPr="001952CD">
        <w:rPr>
          <w:lang w:val="en-GB"/>
        </w:rPr>
        <w:t>.</w:t>
      </w:r>
      <w:r w:rsidR="00584924">
        <w:rPr>
          <w:lang w:val="en-GB"/>
        </w:rPr>
        <w:t xml:space="preserve"> </w:t>
      </w:r>
    </w:p>
    <w:p w14:paraId="0D47FBF0" w14:textId="25033133" w:rsidR="001952CD" w:rsidRPr="00F0468B" w:rsidRDefault="00F0468B" w:rsidP="005769F3">
      <w:pPr>
        <w:spacing w:line="480" w:lineRule="auto"/>
        <w:jc w:val="both"/>
        <w:rPr>
          <w:lang w:val="en-GB"/>
        </w:rPr>
      </w:pPr>
      <w:r w:rsidRPr="00F0468B">
        <w:rPr>
          <w:lang w:val="en-GB"/>
        </w:rPr>
        <w:t>T</w:t>
      </w:r>
      <w:r w:rsidR="001952CD" w:rsidRPr="00F0468B">
        <w:rPr>
          <w:lang w:val="en-GB"/>
        </w:rPr>
        <w:t>he median stone formation rate</w:t>
      </w:r>
      <w:r w:rsidRPr="00F0468B">
        <w:rPr>
          <w:lang w:val="en-GB"/>
        </w:rPr>
        <w:t xml:space="preserve"> taking into account all stone compositions,</w:t>
      </w:r>
      <w:r w:rsidR="001952CD" w:rsidRPr="00F0468B">
        <w:rPr>
          <w:lang w:val="en-GB"/>
        </w:rPr>
        <w:t xml:space="preserve"> was 0</w:t>
      </w:r>
      <w:r w:rsidR="00E83820">
        <w:rPr>
          <w:lang w:val="en-GB"/>
        </w:rPr>
        <w:t>.</w:t>
      </w:r>
      <w:r w:rsidR="001952CD" w:rsidRPr="00F0468B">
        <w:rPr>
          <w:lang w:val="en-GB"/>
        </w:rPr>
        <w:t>4 (0</w:t>
      </w:r>
      <w:r w:rsidR="00E83820">
        <w:rPr>
          <w:lang w:val="en-GB"/>
        </w:rPr>
        <w:t>.</w:t>
      </w:r>
      <w:r w:rsidR="001952CD" w:rsidRPr="00F0468B">
        <w:rPr>
          <w:lang w:val="en-GB"/>
        </w:rPr>
        <w:t>2-0</w:t>
      </w:r>
      <w:r w:rsidR="00E83820">
        <w:rPr>
          <w:lang w:val="en-GB"/>
        </w:rPr>
        <w:t>.</w:t>
      </w:r>
      <w:r w:rsidR="001952CD" w:rsidRPr="00F0468B">
        <w:rPr>
          <w:lang w:val="en-GB"/>
        </w:rPr>
        <w:t xml:space="preserve">8) per year.  The highest </w:t>
      </w:r>
      <w:r w:rsidRPr="00F0468B">
        <w:rPr>
          <w:lang w:val="en-GB"/>
        </w:rPr>
        <w:t xml:space="preserve">median </w:t>
      </w:r>
      <w:r w:rsidR="001952CD" w:rsidRPr="00F0468B">
        <w:rPr>
          <w:lang w:val="en-GB"/>
        </w:rPr>
        <w:t>stone formation rate was found in the uric acid, calcium phosphate and brushite stones group with a median rate of 0</w:t>
      </w:r>
      <w:r w:rsidR="00E83820">
        <w:rPr>
          <w:lang w:val="en-GB"/>
        </w:rPr>
        <w:t>.</w:t>
      </w:r>
      <w:r w:rsidR="001952CD" w:rsidRPr="00F0468B">
        <w:rPr>
          <w:lang w:val="en-GB"/>
        </w:rPr>
        <w:t>5 (0</w:t>
      </w:r>
      <w:r w:rsidR="00E83820">
        <w:rPr>
          <w:lang w:val="en-GB"/>
        </w:rPr>
        <w:t>.</w:t>
      </w:r>
      <w:r w:rsidR="001952CD" w:rsidRPr="00F0468B">
        <w:rPr>
          <w:lang w:val="en-GB"/>
        </w:rPr>
        <w:t>2-1</w:t>
      </w:r>
      <w:r w:rsidR="00E83820">
        <w:rPr>
          <w:lang w:val="en-GB"/>
        </w:rPr>
        <w:t>.</w:t>
      </w:r>
      <w:r w:rsidR="001952CD" w:rsidRPr="00F0468B">
        <w:rPr>
          <w:lang w:val="en-GB"/>
        </w:rPr>
        <w:t>0), 0</w:t>
      </w:r>
      <w:r w:rsidR="00E83820">
        <w:rPr>
          <w:lang w:val="en-GB"/>
        </w:rPr>
        <w:t>.</w:t>
      </w:r>
      <w:r w:rsidR="001952CD" w:rsidRPr="00F0468B">
        <w:rPr>
          <w:lang w:val="en-GB"/>
        </w:rPr>
        <w:t>5 (0</w:t>
      </w:r>
      <w:r w:rsidR="00E83820">
        <w:rPr>
          <w:lang w:val="en-GB"/>
        </w:rPr>
        <w:t>.</w:t>
      </w:r>
      <w:r w:rsidR="001952CD" w:rsidRPr="00F0468B">
        <w:rPr>
          <w:lang w:val="en-GB"/>
        </w:rPr>
        <w:t>3-0</w:t>
      </w:r>
      <w:r w:rsidR="00E83820">
        <w:rPr>
          <w:lang w:val="en-GB"/>
        </w:rPr>
        <w:t>.</w:t>
      </w:r>
      <w:r w:rsidR="001952CD" w:rsidRPr="00F0468B">
        <w:rPr>
          <w:lang w:val="en-GB"/>
        </w:rPr>
        <w:t>8) and 0</w:t>
      </w:r>
      <w:r w:rsidR="00E83820">
        <w:rPr>
          <w:lang w:val="en-GB"/>
        </w:rPr>
        <w:t>.</w:t>
      </w:r>
      <w:r w:rsidR="001952CD" w:rsidRPr="00F0468B">
        <w:rPr>
          <w:lang w:val="en-GB"/>
        </w:rPr>
        <w:t>5 (0</w:t>
      </w:r>
      <w:r w:rsidR="00E83820">
        <w:rPr>
          <w:lang w:val="en-GB"/>
        </w:rPr>
        <w:t>.</w:t>
      </w:r>
      <w:r w:rsidR="001952CD" w:rsidRPr="00F0468B">
        <w:rPr>
          <w:lang w:val="en-GB"/>
        </w:rPr>
        <w:t>2-0</w:t>
      </w:r>
      <w:r w:rsidR="00E83820">
        <w:rPr>
          <w:lang w:val="en-GB"/>
        </w:rPr>
        <w:t>.</w:t>
      </w:r>
      <w:r w:rsidR="001952CD" w:rsidRPr="00F0468B">
        <w:rPr>
          <w:lang w:val="en-GB"/>
        </w:rPr>
        <w:t>9) per year respectively. The lowest was found in the mixed stone subpopulation with a median rate of 0</w:t>
      </w:r>
      <w:r w:rsidR="00E83820">
        <w:rPr>
          <w:lang w:val="en-GB"/>
        </w:rPr>
        <w:t>.</w:t>
      </w:r>
      <w:r w:rsidR="001952CD" w:rsidRPr="00F0468B">
        <w:rPr>
          <w:lang w:val="en-GB"/>
        </w:rPr>
        <w:t>2 (0</w:t>
      </w:r>
      <w:r w:rsidR="00E83820">
        <w:rPr>
          <w:lang w:val="en-GB"/>
        </w:rPr>
        <w:t>.</w:t>
      </w:r>
      <w:r w:rsidR="001952CD" w:rsidRPr="00F0468B">
        <w:rPr>
          <w:lang w:val="en-GB"/>
        </w:rPr>
        <w:t>2-0</w:t>
      </w:r>
      <w:r w:rsidR="00E83820">
        <w:rPr>
          <w:lang w:val="en-GB"/>
        </w:rPr>
        <w:t>.</w:t>
      </w:r>
      <w:r w:rsidR="001952CD" w:rsidRPr="00F0468B">
        <w:rPr>
          <w:lang w:val="en-GB"/>
        </w:rPr>
        <w:t xml:space="preserve">5) per year. </w:t>
      </w:r>
    </w:p>
    <w:p w14:paraId="4FF74CC4" w14:textId="10959660" w:rsidR="001B324E" w:rsidRPr="001B324E" w:rsidRDefault="001B324E" w:rsidP="00CC6FA2">
      <w:pPr>
        <w:pStyle w:val="Kop4"/>
        <w:numPr>
          <w:ilvl w:val="2"/>
          <w:numId w:val="8"/>
        </w:numPr>
        <w:spacing w:line="480" w:lineRule="auto"/>
        <w:rPr>
          <w:lang w:val="en-GB"/>
        </w:rPr>
      </w:pPr>
      <w:r w:rsidRPr="001B324E">
        <w:rPr>
          <w:lang w:val="en-GB"/>
        </w:rPr>
        <w:lastRenderedPageBreak/>
        <w:t>Urological intervention rat</w:t>
      </w:r>
      <w:r w:rsidR="005A10B2">
        <w:rPr>
          <w:lang w:val="en-GB"/>
        </w:rPr>
        <w:t>e</w:t>
      </w:r>
    </w:p>
    <w:p w14:paraId="476080C7" w14:textId="77777777" w:rsidR="00C931D8" w:rsidRDefault="007919E0" w:rsidP="005769F3">
      <w:pPr>
        <w:spacing w:line="480" w:lineRule="auto"/>
        <w:jc w:val="both"/>
        <w:rPr>
          <w:lang w:val="en-GB"/>
        </w:rPr>
      </w:pPr>
      <w:r>
        <w:rPr>
          <w:lang w:val="en-GB"/>
        </w:rPr>
        <w:t>In</w:t>
      </w:r>
      <w:r w:rsidR="009767B7">
        <w:rPr>
          <w:lang w:val="en-GB"/>
        </w:rPr>
        <w:t xml:space="preserve"> 780</w:t>
      </w:r>
      <w:r>
        <w:rPr>
          <w:lang w:val="en-GB"/>
        </w:rPr>
        <w:t xml:space="preserve"> patients with nephrolithiasis but without nephrocalcinosis and with sufficient data, the pre-treatment rates could be calculated, </w:t>
      </w:r>
      <w:r w:rsidRPr="00AD0815">
        <w:rPr>
          <w:lang w:val="en-GB"/>
        </w:rPr>
        <w:t>results of which can be found in</w:t>
      </w:r>
      <w:r>
        <w:rPr>
          <w:lang w:val="en-GB"/>
        </w:rPr>
        <w:t xml:space="preserve"> table </w:t>
      </w:r>
      <w:r w:rsidR="00DD0388">
        <w:rPr>
          <w:lang w:val="en-GB"/>
        </w:rPr>
        <w:t>8</w:t>
      </w:r>
      <w:r w:rsidR="00DA4FD8">
        <w:rPr>
          <w:lang w:val="en-GB"/>
        </w:rPr>
        <w:t>.</w:t>
      </w:r>
      <w:r>
        <w:rPr>
          <w:lang w:val="en-GB"/>
        </w:rPr>
        <w:t xml:space="preserve"> </w:t>
      </w:r>
    </w:p>
    <w:p w14:paraId="6BF4921A" w14:textId="19D78F7C" w:rsidR="001B324E" w:rsidRDefault="001B324E" w:rsidP="005769F3">
      <w:pPr>
        <w:spacing w:line="480" w:lineRule="auto"/>
        <w:jc w:val="both"/>
        <w:rPr>
          <w:lang w:val="en-GB"/>
        </w:rPr>
      </w:pPr>
      <w:r w:rsidRPr="000C3DA1">
        <w:rPr>
          <w:lang w:val="en-GB"/>
        </w:rPr>
        <w:t xml:space="preserve">Taken into account all available patients </w:t>
      </w:r>
      <w:r w:rsidR="00DD0388" w:rsidRPr="000C3DA1">
        <w:rPr>
          <w:lang w:val="en-GB"/>
        </w:rPr>
        <w:t xml:space="preserve">who met these criteria, </w:t>
      </w:r>
      <w:r w:rsidRPr="000C3DA1">
        <w:rPr>
          <w:lang w:val="en-GB"/>
        </w:rPr>
        <w:t>the mean urological intervention rat</w:t>
      </w:r>
      <w:r w:rsidR="005A10B2" w:rsidRPr="000C3DA1">
        <w:rPr>
          <w:lang w:val="en-GB"/>
        </w:rPr>
        <w:t>e</w:t>
      </w:r>
      <w:r w:rsidRPr="000C3DA1">
        <w:rPr>
          <w:lang w:val="en-GB"/>
        </w:rPr>
        <w:t xml:space="preserve"> was</w:t>
      </w:r>
      <w:r w:rsidR="00D20735" w:rsidRPr="000C3DA1">
        <w:rPr>
          <w:lang w:val="en-GB"/>
        </w:rPr>
        <w:t xml:space="preserve"> 0</w:t>
      </w:r>
      <w:r w:rsidR="00E83820">
        <w:rPr>
          <w:lang w:val="en-GB"/>
        </w:rPr>
        <w:t>.</w:t>
      </w:r>
      <w:r w:rsidR="0025042E" w:rsidRPr="000C3DA1">
        <w:rPr>
          <w:lang w:val="en-GB"/>
        </w:rPr>
        <w:t>5</w:t>
      </w:r>
      <w:r w:rsidR="00D20735" w:rsidRPr="000C3DA1">
        <w:rPr>
          <w:lang w:val="en-GB"/>
        </w:rPr>
        <w:t>±1</w:t>
      </w:r>
      <w:r w:rsidR="00E83820">
        <w:rPr>
          <w:lang w:val="en-GB"/>
        </w:rPr>
        <w:t>.</w:t>
      </w:r>
      <w:r w:rsidR="0025042E" w:rsidRPr="000C3DA1">
        <w:rPr>
          <w:lang w:val="en-GB"/>
        </w:rPr>
        <w:t>7</w:t>
      </w:r>
      <w:r w:rsidR="00D20735" w:rsidRPr="000C3DA1">
        <w:rPr>
          <w:lang w:val="en-GB"/>
        </w:rPr>
        <w:t xml:space="preserve"> per year</w:t>
      </w:r>
      <w:r w:rsidR="0003016D" w:rsidRPr="000C3DA1">
        <w:rPr>
          <w:lang w:val="en-GB"/>
        </w:rPr>
        <w:t>.</w:t>
      </w:r>
      <w:r w:rsidR="00C931D8">
        <w:rPr>
          <w:lang w:val="en-GB"/>
        </w:rPr>
        <w:t xml:space="preserve"> </w:t>
      </w:r>
      <w:r w:rsidRPr="000C3DA1">
        <w:rPr>
          <w:lang w:val="en-GB"/>
        </w:rPr>
        <w:t xml:space="preserve">The highest </w:t>
      </w:r>
      <w:r w:rsidR="009F451A">
        <w:rPr>
          <w:lang w:val="en-GB"/>
        </w:rPr>
        <w:t xml:space="preserve">mean </w:t>
      </w:r>
      <w:r w:rsidRPr="000C3DA1">
        <w:rPr>
          <w:lang w:val="en-GB"/>
        </w:rPr>
        <w:t>urological intervention rat</w:t>
      </w:r>
      <w:r w:rsidR="005A10B2" w:rsidRPr="000C3DA1">
        <w:rPr>
          <w:lang w:val="en-GB"/>
        </w:rPr>
        <w:t>e</w:t>
      </w:r>
      <w:r w:rsidRPr="000C3DA1">
        <w:rPr>
          <w:lang w:val="en-GB"/>
        </w:rPr>
        <w:t xml:space="preserve"> was found in the subpopulation of </w:t>
      </w:r>
      <w:r w:rsidR="00143C80" w:rsidRPr="000C3DA1">
        <w:rPr>
          <w:lang w:val="en-GB"/>
        </w:rPr>
        <w:t>uric acid</w:t>
      </w:r>
      <w:r w:rsidRPr="000C3DA1">
        <w:rPr>
          <w:lang w:val="en-GB"/>
        </w:rPr>
        <w:t xml:space="preserve"> stones with a mean rat</w:t>
      </w:r>
      <w:r w:rsidR="005A10B2" w:rsidRPr="000C3DA1">
        <w:rPr>
          <w:lang w:val="en-GB"/>
        </w:rPr>
        <w:t>e</w:t>
      </w:r>
      <w:r w:rsidRPr="000C3DA1">
        <w:rPr>
          <w:lang w:val="en-GB"/>
        </w:rPr>
        <w:t xml:space="preserve"> of </w:t>
      </w:r>
      <w:r w:rsidR="00E23E8A" w:rsidRPr="000C3DA1">
        <w:rPr>
          <w:lang w:val="en-GB"/>
        </w:rPr>
        <w:t>1</w:t>
      </w:r>
      <w:r w:rsidR="00E83820">
        <w:rPr>
          <w:lang w:val="en-GB"/>
        </w:rPr>
        <w:t>.</w:t>
      </w:r>
      <w:r w:rsidR="00E23E8A" w:rsidRPr="000C3DA1">
        <w:rPr>
          <w:lang w:val="en-GB"/>
        </w:rPr>
        <w:t>4±5</w:t>
      </w:r>
      <w:r w:rsidR="00E83820">
        <w:rPr>
          <w:lang w:val="en-GB"/>
        </w:rPr>
        <w:t>.</w:t>
      </w:r>
      <w:r w:rsidR="0025042E" w:rsidRPr="000C3DA1">
        <w:rPr>
          <w:lang w:val="en-GB"/>
        </w:rPr>
        <w:t>9</w:t>
      </w:r>
      <w:r w:rsidR="00E23E8A" w:rsidRPr="000C3DA1">
        <w:rPr>
          <w:lang w:val="en-GB"/>
        </w:rPr>
        <w:t xml:space="preserve"> per year. </w:t>
      </w:r>
      <w:r w:rsidR="00DD0388" w:rsidRPr="000C3DA1">
        <w:rPr>
          <w:lang w:val="en-GB"/>
        </w:rPr>
        <w:t xml:space="preserve"> </w:t>
      </w:r>
      <w:r w:rsidRPr="000C3DA1">
        <w:rPr>
          <w:lang w:val="en-GB"/>
        </w:rPr>
        <w:t xml:space="preserve">The lowest was found in the </w:t>
      </w:r>
      <w:r w:rsidR="00290F91" w:rsidRPr="000C3DA1">
        <w:rPr>
          <w:lang w:val="en-GB"/>
        </w:rPr>
        <w:t>brushite</w:t>
      </w:r>
      <w:r w:rsidRPr="000C3DA1">
        <w:rPr>
          <w:lang w:val="en-GB"/>
        </w:rPr>
        <w:t xml:space="preserve"> stone subpopulation with a </w:t>
      </w:r>
      <w:r w:rsidR="009F451A">
        <w:rPr>
          <w:lang w:val="en-GB"/>
        </w:rPr>
        <w:t xml:space="preserve">mean </w:t>
      </w:r>
      <w:r w:rsidRPr="000C3DA1">
        <w:rPr>
          <w:lang w:val="en-GB"/>
        </w:rPr>
        <w:t>rat</w:t>
      </w:r>
      <w:r w:rsidR="005A10B2" w:rsidRPr="000C3DA1">
        <w:rPr>
          <w:lang w:val="en-GB"/>
        </w:rPr>
        <w:t>e</w:t>
      </w:r>
      <w:r w:rsidRPr="000C3DA1">
        <w:rPr>
          <w:lang w:val="en-GB"/>
        </w:rPr>
        <w:t xml:space="preserve"> of </w:t>
      </w:r>
      <w:r w:rsidR="002D12F1" w:rsidRPr="000C3DA1">
        <w:rPr>
          <w:lang w:val="en-GB"/>
        </w:rPr>
        <w:t>0</w:t>
      </w:r>
      <w:r w:rsidR="00E83820">
        <w:rPr>
          <w:lang w:val="en-GB"/>
        </w:rPr>
        <w:t>.</w:t>
      </w:r>
      <w:r w:rsidR="0025042E" w:rsidRPr="000C3DA1">
        <w:rPr>
          <w:lang w:val="en-GB"/>
        </w:rPr>
        <w:t>1</w:t>
      </w:r>
      <w:r w:rsidR="002D12F1" w:rsidRPr="000C3DA1">
        <w:rPr>
          <w:lang w:val="en-GB"/>
        </w:rPr>
        <w:t>±0</w:t>
      </w:r>
      <w:r w:rsidR="00E83820">
        <w:rPr>
          <w:lang w:val="en-GB"/>
        </w:rPr>
        <w:t>.</w:t>
      </w:r>
      <w:r w:rsidR="0025042E" w:rsidRPr="000C3DA1">
        <w:rPr>
          <w:lang w:val="en-GB"/>
        </w:rPr>
        <w:t>2</w:t>
      </w:r>
      <w:r w:rsidR="002D12F1" w:rsidRPr="000C3DA1">
        <w:rPr>
          <w:lang w:val="en-GB"/>
        </w:rPr>
        <w:t xml:space="preserve"> per year.</w:t>
      </w:r>
      <w:r w:rsidR="002D12F1">
        <w:rPr>
          <w:lang w:val="en-GB"/>
        </w:rPr>
        <w:t xml:space="preserve"> </w:t>
      </w:r>
    </w:p>
    <w:p w14:paraId="54A4F6CE" w14:textId="4DB3FAA1" w:rsidR="001952CD" w:rsidRPr="001952CD" w:rsidRDefault="00C931D8" w:rsidP="005769F3">
      <w:pPr>
        <w:spacing w:line="480" w:lineRule="auto"/>
        <w:jc w:val="both"/>
        <w:rPr>
          <w:i/>
          <w:iCs/>
          <w:color w:val="FF0000"/>
          <w:lang w:val="en-GB"/>
        </w:rPr>
      </w:pPr>
      <w:r w:rsidRPr="00C931D8">
        <w:rPr>
          <w:lang w:val="en-GB"/>
        </w:rPr>
        <w:t>The</w:t>
      </w:r>
      <w:r w:rsidR="001952CD" w:rsidRPr="00C931D8">
        <w:rPr>
          <w:lang w:val="en-GB"/>
        </w:rPr>
        <w:t xml:space="preserve"> median urological intervention rate </w:t>
      </w:r>
      <w:r w:rsidRPr="00C931D8">
        <w:rPr>
          <w:lang w:val="en-GB"/>
        </w:rPr>
        <w:t xml:space="preserve">for all stone compositions </w:t>
      </w:r>
      <w:r w:rsidR="001952CD" w:rsidRPr="00C931D8">
        <w:rPr>
          <w:lang w:val="en-GB"/>
        </w:rPr>
        <w:t>was 0</w:t>
      </w:r>
      <w:r w:rsidR="00E83820">
        <w:rPr>
          <w:lang w:val="en-GB"/>
        </w:rPr>
        <w:t>.</w:t>
      </w:r>
      <w:r w:rsidR="001952CD" w:rsidRPr="00C931D8">
        <w:rPr>
          <w:lang w:val="en-GB"/>
        </w:rPr>
        <w:t>0 (0</w:t>
      </w:r>
      <w:r w:rsidR="00E83820">
        <w:rPr>
          <w:lang w:val="en-GB"/>
        </w:rPr>
        <w:t>.</w:t>
      </w:r>
      <w:r w:rsidR="001952CD" w:rsidRPr="00C931D8">
        <w:rPr>
          <w:lang w:val="en-GB"/>
        </w:rPr>
        <w:t>0-0</w:t>
      </w:r>
      <w:r w:rsidR="00E83820">
        <w:rPr>
          <w:lang w:val="en-GB"/>
        </w:rPr>
        <w:t>.</w:t>
      </w:r>
      <w:r w:rsidR="001952CD" w:rsidRPr="00C931D8">
        <w:rPr>
          <w:lang w:val="en-GB"/>
        </w:rPr>
        <w:t xml:space="preserve">1) per year. The same median urological intervention rate was found in </w:t>
      </w:r>
      <w:r w:rsidRPr="00C931D8">
        <w:rPr>
          <w:lang w:val="en-GB"/>
        </w:rPr>
        <w:t>calcium oxalate, uric acid, brushite and calcium phosphate stones. Whilst a median stone formation rate of 0</w:t>
      </w:r>
      <w:r w:rsidR="00E83820">
        <w:rPr>
          <w:lang w:val="en-GB"/>
        </w:rPr>
        <w:t>.</w:t>
      </w:r>
      <w:r w:rsidRPr="00C931D8">
        <w:rPr>
          <w:lang w:val="en-GB"/>
        </w:rPr>
        <w:t>0 (0</w:t>
      </w:r>
      <w:r w:rsidR="00E83820">
        <w:rPr>
          <w:lang w:val="en-GB"/>
        </w:rPr>
        <w:t>.</w:t>
      </w:r>
      <w:r w:rsidRPr="00C931D8">
        <w:rPr>
          <w:lang w:val="en-GB"/>
        </w:rPr>
        <w:t>0-1</w:t>
      </w:r>
      <w:r w:rsidR="00E83820">
        <w:rPr>
          <w:lang w:val="en-GB"/>
        </w:rPr>
        <w:t>.</w:t>
      </w:r>
      <w:r w:rsidRPr="00C931D8">
        <w:rPr>
          <w:lang w:val="en-GB"/>
        </w:rPr>
        <w:t>1) was found in struvite stones and a median rate of 0</w:t>
      </w:r>
      <w:r w:rsidR="00E83820">
        <w:rPr>
          <w:lang w:val="en-GB"/>
        </w:rPr>
        <w:t>.</w:t>
      </w:r>
      <w:r w:rsidRPr="00C931D8">
        <w:rPr>
          <w:lang w:val="en-GB"/>
        </w:rPr>
        <w:t>0 (0</w:t>
      </w:r>
      <w:r w:rsidR="00E83820">
        <w:rPr>
          <w:lang w:val="en-GB"/>
        </w:rPr>
        <w:t>.</w:t>
      </w:r>
      <w:r w:rsidRPr="00C931D8">
        <w:rPr>
          <w:lang w:val="en-GB"/>
        </w:rPr>
        <w:t>0-0</w:t>
      </w:r>
      <w:r w:rsidR="00E83820">
        <w:rPr>
          <w:lang w:val="en-GB"/>
        </w:rPr>
        <w:t>.</w:t>
      </w:r>
      <w:r w:rsidRPr="00C931D8">
        <w:rPr>
          <w:lang w:val="en-GB"/>
        </w:rPr>
        <w:t>0) was found in cystine and mixed stone compositions</w:t>
      </w:r>
      <w:r>
        <w:rPr>
          <w:lang w:val="en-GB"/>
        </w:rPr>
        <w:t>.</w:t>
      </w:r>
      <w:r w:rsidR="001952CD" w:rsidRPr="001952CD">
        <w:rPr>
          <w:i/>
          <w:iCs/>
          <w:color w:val="FF0000"/>
          <w:lang w:val="en-GB"/>
        </w:rPr>
        <w:t xml:space="preserve"> </w:t>
      </w:r>
    </w:p>
    <w:p w14:paraId="70B56A40" w14:textId="447C5E62" w:rsidR="00643BA6" w:rsidRDefault="00DA2BE6" w:rsidP="005769F3">
      <w:pPr>
        <w:spacing w:line="480" w:lineRule="auto"/>
        <w:jc w:val="both"/>
        <w:rPr>
          <w:lang w:val="en-GB"/>
        </w:rPr>
      </w:pPr>
      <w:r w:rsidRPr="00DA2BE6">
        <w:rPr>
          <w:lang w:val="en-GB"/>
        </w:rPr>
        <w:t xml:space="preserve">An overview of the pre-treatment urological interventions can be found in Table </w:t>
      </w:r>
      <w:r w:rsidR="00DD0388">
        <w:rPr>
          <w:lang w:val="en-GB"/>
        </w:rPr>
        <w:t>9</w:t>
      </w:r>
      <w:r w:rsidRPr="00DA2BE6">
        <w:rPr>
          <w:lang w:val="en-GB"/>
        </w:rPr>
        <w:t xml:space="preserve">. </w:t>
      </w:r>
      <w:r w:rsidR="00AC074B">
        <w:rPr>
          <w:lang w:val="en-GB"/>
        </w:rPr>
        <w:t>The</w:t>
      </w:r>
      <w:r w:rsidR="00AC7AF6" w:rsidRPr="00AC7AF6">
        <w:rPr>
          <w:lang w:val="en-GB"/>
        </w:rPr>
        <w:t xml:space="preserve"> most common interventions</w:t>
      </w:r>
      <w:r w:rsidR="00AC7AF6">
        <w:rPr>
          <w:lang w:val="en-GB"/>
        </w:rPr>
        <w:t xml:space="preserve"> </w:t>
      </w:r>
      <w:r>
        <w:rPr>
          <w:lang w:val="en-GB"/>
        </w:rPr>
        <w:t xml:space="preserve">pre-treatment </w:t>
      </w:r>
      <w:r w:rsidR="00AC7AF6" w:rsidRPr="00AC7AF6">
        <w:rPr>
          <w:lang w:val="en-GB"/>
        </w:rPr>
        <w:t>were ESWL</w:t>
      </w:r>
      <w:r>
        <w:rPr>
          <w:lang w:val="en-GB"/>
        </w:rPr>
        <w:t xml:space="preserve"> (52</w:t>
      </w:r>
      <w:r w:rsidR="00E83820">
        <w:rPr>
          <w:lang w:val="en-GB"/>
        </w:rPr>
        <w:t>.</w:t>
      </w:r>
      <w:r w:rsidR="00AC074B">
        <w:rPr>
          <w:lang w:val="en-GB"/>
        </w:rPr>
        <w:t>6</w:t>
      </w:r>
      <w:r>
        <w:rPr>
          <w:lang w:val="en-GB"/>
        </w:rPr>
        <w:t xml:space="preserve">%) </w:t>
      </w:r>
      <w:r w:rsidR="00AC7AF6" w:rsidRPr="00AC7AF6">
        <w:rPr>
          <w:lang w:val="en-GB"/>
        </w:rPr>
        <w:t>, followed by URS</w:t>
      </w:r>
      <w:r>
        <w:rPr>
          <w:lang w:val="en-GB"/>
        </w:rPr>
        <w:t xml:space="preserve"> (2</w:t>
      </w:r>
      <w:r w:rsidR="00AC074B">
        <w:rPr>
          <w:lang w:val="en-GB"/>
        </w:rPr>
        <w:t>6</w:t>
      </w:r>
      <w:r w:rsidR="00E83820">
        <w:rPr>
          <w:lang w:val="en-GB"/>
        </w:rPr>
        <w:t>.</w:t>
      </w:r>
      <w:r w:rsidR="00AC074B">
        <w:rPr>
          <w:lang w:val="en-GB"/>
        </w:rPr>
        <w:t>8</w:t>
      </w:r>
      <w:r>
        <w:rPr>
          <w:lang w:val="en-GB"/>
        </w:rPr>
        <w:t xml:space="preserve">%) </w:t>
      </w:r>
      <w:r w:rsidR="00AC7AF6">
        <w:rPr>
          <w:lang w:val="en-GB"/>
        </w:rPr>
        <w:t xml:space="preserve"> and </w:t>
      </w:r>
      <w:r w:rsidR="00643BA6">
        <w:rPr>
          <w:lang w:val="en-GB"/>
        </w:rPr>
        <w:t xml:space="preserve">double </w:t>
      </w:r>
      <w:r w:rsidR="00AC7AF6">
        <w:rPr>
          <w:lang w:val="en-GB"/>
        </w:rPr>
        <w:t>J stents</w:t>
      </w:r>
      <w:r>
        <w:rPr>
          <w:lang w:val="en-GB"/>
        </w:rPr>
        <w:t xml:space="preserve"> (10</w:t>
      </w:r>
      <w:r w:rsidR="00E83820">
        <w:rPr>
          <w:lang w:val="en-GB"/>
        </w:rPr>
        <w:t>.</w:t>
      </w:r>
      <w:r w:rsidR="00AC074B">
        <w:rPr>
          <w:lang w:val="en-GB"/>
        </w:rPr>
        <w:t>4</w:t>
      </w:r>
      <w:r>
        <w:rPr>
          <w:lang w:val="en-GB"/>
        </w:rPr>
        <w:t>%)</w:t>
      </w:r>
      <w:r w:rsidR="00AC7AF6">
        <w:rPr>
          <w:lang w:val="en-GB"/>
        </w:rPr>
        <w:t xml:space="preserve">. </w:t>
      </w:r>
      <w:r w:rsidR="00AC7AF6" w:rsidRPr="00AC7AF6">
        <w:rPr>
          <w:lang w:val="en-GB"/>
        </w:rPr>
        <w:t>Other procedures were PNL</w:t>
      </w:r>
      <w:r>
        <w:rPr>
          <w:lang w:val="en-GB"/>
        </w:rPr>
        <w:t xml:space="preserve"> (</w:t>
      </w:r>
      <w:r w:rsidR="00AA3F99">
        <w:rPr>
          <w:lang w:val="en-GB"/>
        </w:rPr>
        <w:t>7</w:t>
      </w:r>
      <w:r w:rsidR="00E83820">
        <w:rPr>
          <w:lang w:val="en-GB"/>
        </w:rPr>
        <w:t>.</w:t>
      </w:r>
      <w:r w:rsidR="00AC074B">
        <w:rPr>
          <w:lang w:val="en-GB"/>
        </w:rPr>
        <w:t>8</w:t>
      </w:r>
      <w:r w:rsidR="00AA3F99">
        <w:rPr>
          <w:lang w:val="en-GB"/>
        </w:rPr>
        <w:t>%)</w:t>
      </w:r>
      <w:r w:rsidR="00AC7AF6" w:rsidRPr="00AC7AF6">
        <w:rPr>
          <w:lang w:val="en-GB"/>
        </w:rPr>
        <w:t xml:space="preserve">, </w:t>
      </w:r>
      <w:r w:rsidR="00BD5A09" w:rsidRPr="00AC7AF6">
        <w:rPr>
          <w:lang w:val="en-GB"/>
        </w:rPr>
        <w:t>open surgery</w:t>
      </w:r>
      <w:r w:rsidR="00BD5A09">
        <w:rPr>
          <w:lang w:val="en-GB"/>
        </w:rPr>
        <w:t xml:space="preserve"> (0</w:t>
      </w:r>
      <w:r w:rsidR="00E83820">
        <w:rPr>
          <w:lang w:val="en-GB"/>
        </w:rPr>
        <w:t>.</w:t>
      </w:r>
      <w:r w:rsidR="00BD5A09">
        <w:rPr>
          <w:lang w:val="en-GB"/>
        </w:rPr>
        <w:t xml:space="preserve">8%), </w:t>
      </w:r>
      <w:r w:rsidR="00AC7AF6" w:rsidRPr="00AC7AF6">
        <w:rPr>
          <w:lang w:val="en-GB"/>
        </w:rPr>
        <w:t>nephrostomy</w:t>
      </w:r>
      <w:r w:rsidR="00AA3F99">
        <w:rPr>
          <w:lang w:val="en-GB"/>
        </w:rPr>
        <w:t xml:space="preserve"> (0</w:t>
      </w:r>
      <w:r w:rsidR="00E83820">
        <w:rPr>
          <w:lang w:val="en-GB"/>
        </w:rPr>
        <w:t>.</w:t>
      </w:r>
      <w:r w:rsidR="00AC074B">
        <w:rPr>
          <w:lang w:val="en-GB"/>
        </w:rPr>
        <w:t>6</w:t>
      </w:r>
      <w:r w:rsidR="00AA3F99">
        <w:rPr>
          <w:lang w:val="en-GB"/>
        </w:rPr>
        <w:t xml:space="preserve">%) </w:t>
      </w:r>
      <w:r w:rsidR="00AC7AF6" w:rsidRPr="00AC7AF6">
        <w:rPr>
          <w:lang w:val="en-GB"/>
        </w:rPr>
        <w:t>, bladder stone lithotripsy</w:t>
      </w:r>
      <w:r w:rsidR="00AA3F99">
        <w:rPr>
          <w:lang w:val="en-GB"/>
        </w:rPr>
        <w:t xml:space="preserve"> (0</w:t>
      </w:r>
      <w:r w:rsidR="00E83820">
        <w:rPr>
          <w:lang w:val="en-GB"/>
        </w:rPr>
        <w:t>.</w:t>
      </w:r>
      <w:r w:rsidR="00AC074B">
        <w:rPr>
          <w:lang w:val="en-GB"/>
        </w:rPr>
        <w:t>4</w:t>
      </w:r>
      <w:r w:rsidR="00AA3F99">
        <w:rPr>
          <w:lang w:val="en-GB"/>
        </w:rPr>
        <w:t>%)</w:t>
      </w:r>
      <w:r w:rsidR="00AC7AF6">
        <w:rPr>
          <w:lang w:val="en-GB"/>
        </w:rPr>
        <w:t xml:space="preserve">, </w:t>
      </w:r>
      <w:r w:rsidR="00AA3F99">
        <w:rPr>
          <w:lang w:val="en-GB"/>
        </w:rPr>
        <w:t>(</w:t>
      </w:r>
      <w:r w:rsidR="00AC7AF6">
        <w:rPr>
          <w:lang w:val="en-GB"/>
        </w:rPr>
        <w:t>p</w:t>
      </w:r>
      <w:r w:rsidR="00AC7AF6" w:rsidRPr="00AC7AF6">
        <w:rPr>
          <w:lang w:val="en-GB"/>
        </w:rPr>
        <w:t>artial</w:t>
      </w:r>
      <w:r w:rsidR="00AA3F99">
        <w:rPr>
          <w:lang w:val="en-GB"/>
        </w:rPr>
        <w:t>)</w:t>
      </w:r>
      <w:r w:rsidR="00AC7AF6" w:rsidRPr="00AC7AF6">
        <w:rPr>
          <w:lang w:val="en-GB"/>
        </w:rPr>
        <w:t xml:space="preserve"> nephrectomy</w:t>
      </w:r>
      <w:r w:rsidR="00AA3F99">
        <w:rPr>
          <w:lang w:val="en-GB"/>
        </w:rPr>
        <w:t xml:space="preserve"> (0</w:t>
      </w:r>
      <w:r w:rsidR="00E83820">
        <w:rPr>
          <w:lang w:val="en-GB"/>
        </w:rPr>
        <w:t>.</w:t>
      </w:r>
      <w:r w:rsidR="00AA3F99">
        <w:rPr>
          <w:lang w:val="en-GB"/>
        </w:rPr>
        <w:t>2%)</w:t>
      </w:r>
      <w:r w:rsidR="00AC7AF6" w:rsidRPr="00AC7AF6">
        <w:rPr>
          <w:lang w:val="en-GB"/>
        </w:rPr>
        <w:t xml:space="preserve"> </w:t>
      </w:r>
      <w:r w:rsidR="00AA3F99">
        <w:rPr>
          <w:lang w:val="en-GB"/>
        </w:rPr>
        <w:t>and bladder stone cystotomy (0</w:t>
      </w:r>
      <w:r w:rsidR="00E83820">
        <w:rPr>
          <w:lang w:val="en-GB"/>
        </w:rPr>
        <w:t>.</w:t>
      </w:r>
      <w:r w:rsidR="00AA3F99">
        <w:rPr>
          <w:lang w:val="en-GB"/>
        </w:rPr>
        <w:t>1%)</w:t>
      </w:r>
      <w:r w:rsidR="00AC7AF6">
        <w:rPr>
          <w:lang w:val="en-GB"/>
        </w:rPr>
        <w:t xml:space="preserve">. </w:t>
      </w:r>
    </w:p>
    <w:p w14:paraId="723DA300" w14:textId="0518EF27" w:rsidR="0057187E" w:rsidRDefault="0057187E" w:rsidP="005769F3">
      <w:pPr>
        <w:spacing w:line="480" w:lineRule="auto"/>
        <w:jc w:val="both"/>
        <w:rPr>
          <w:lang w:val="en-GB"/>
        </w:rPr>
      </w:pPr>
    </w:p>
    <w:p w14:paraId="289B59B3" w14:textId="67794F83" w:rsidR="0057187E" w:rsidRDefault="0057187E" w:rsidP="005769F3">
      <w:pPr>
        <w:spacing w:line="480" w:lineRule="auto"/>
        <w:jc w:val="both"/>
        <w:rPr>
          <w:lang w:val="en-GB"/>
        </w:rPr>
      </w:pPr>
    </w:p>
    <w:p w14:paraId="33EC4FEC" w14:textId="0CFA1E63" w:rsidR="0057187E" w:rsidRDefault="0057187E" w:rsidP="005769F3">
      <w:pPr>
        <w:spacing w:line="480" w:lineRule="auto"/>
        <w:jc w:val="both"/>
        <w:rPr>
          <w:lang w:val="en-GB"/>
        </w:rPr>
      </w:pPr>
    </w:p>
    <w:p w14:paraId="726C8671" w14:textId="6405BEED" w:rsidR="0057187E" w:rsidRDefault="0057187E" w:rsidP="005769F3">
      <w:pPr>
        <w:spacing w:line="480" w:lineRule="auto"/>
        <w:jc w:val="both"/>
        <w:rPr>
          <w:lang w:val="en-GB"/>
        </w:rPr>
      </w:pPr>
    </w:p>
    <w:p w14:paraId="4B7A7120" w14:textId="50EBD2F9" w:rsidR="0057187E" w:rsidRDefault="0057187E" w:rsidP="005769F3">
      <w:pPr>
        <w:spacing w:line="480" w:lineRule="auto"/>
        <w:jc w:val="both"/>
        <w:rPr>
          <w:lang w:val="en-GB"/>
        </w:rPr>
      </w:pPr>
    </w:p>
    <w:p w14:paraId="02098695" w14:textId="52986990" w:rsidR="0057187E" w:rsidRDefault="0057187E" w:rsidP="005769F3">
      <w:pPr>
        <w:spacing w:line="480" w:lineRule="auto"/>
        <w:jc w:val="both"/>
        <w:rPr>
          <w:lang w:val="en-GB"/>
        </w:rPr>
      </w:pPr>
    </w:p>
    <w:p w14:paraId="3C169314" w14:textId="3F6D4329" w:rsidR="0057187E" w:rsidRDefault="0057187E" w:rsidP="005769F3">
      <w:pPr>
        <w:spacing w:line="480" w:lineRule="auto"/>
        <w:jc w:val="both"/>
        <w:rPr>
          <w:lang w:val="en-GB"/>
        </w:rPr>
      </w:pPr>
    </w:p>
    <w:p w14:paraId="5DB64B2B" w14:textId="46A39BAF" w:rsidR="0057187E" w:rsidRDefault="0057187E" w:rsidP="005769F3">
      <w:pPr>
        <w:spacing w:line="480" w:lineRule="auto"/>
        <w:jc w:val="both"/>
        <w:rPr>
          <w:lang w:val="en-GB"/>
        </w:rPr>
      </w:pPr>
    </w:p>
    <w:p w14:paraId="0F3BA85E" w14:textId="77777777" w:rsidR="0057187E" w:rsidRDefault="0057187E" w:rsidP="0057187E">
      <w:pPr>
        <w:rPr>
          <w:sz w:val="20"/>
          <w:szCs w:val="20"/>
          <w:u w:val="single"/>
          <w:lang w:val="en-GB"/>
        </w:rPr>
        <w:sectPr w:rsidR="0057187E" w:rsidSect="0057187E">
          <w:pgSz w:w="11906" w:h="16838"/>
          <w:pgMar w:top="1418" w:right="1418" w:bottom="1418" w:left="1418" w:header="709" w:footer="709" w:gutter="0"/>
          <w:cols w:space="708"/>
          <w:docGrid w:linePitch="360"/>
        </w:sectPr>
      </w:pPr>
    </w:p>
    <w:p w14:paraId="54CC1548" w14:textId="6A3F08A6" w:rsidR="0057187E" w:rsidRPr="00800B07" w:rsidRDefault="0057187E" w:rsidP="0057187E">
      <w:pPr>
        <w:rPr>
          <w:sz w:val="20"/>
          <w:szCs w:val="20"/>
          <w:lang w:val="en-GB"/>
        </w:rPr>
      </w:pPr>
      <w:r w:rsidRPr="00800B07">
        <w:rPr>
          <w:sz w:val="20"/>
          <w:szCs w:val="20"/>
          <w:u w:val="single"/>
          <w:lang w:val="en-GB"/>
        </w:rPr>
        <w:lastRenderedPageBreak/>
        <w:t>Table 8</w:t>
      </w:r>
      <w:r w:rsidRPr="00800B07">
        <w:rPr>
          <w:sz w:val="20"/>
          <w:szCs w:val="20"/>
          <w:lang w:val="en-GB"/>
        </w:rPr>
        <w:t>: pre-treatment rates</w:t>
      </w:r>
      <w:r w:rsidRPr="00800B07">
        <w:rPr>
          <w:sz w:val="20"/>
          <w:szCs w:val="20"/>
          <w:u w:val="single"/>
          <w:lang w:val="en-GB"/>
        </w:rPr>
        <w:t xml:space="preserve"> </w:t>
      </w:r>
      <w:r w:rsidRPr="00800B07">
        <w:rPr>
          <w:sz w:val="20"/>
          <w:szCs w:val="20"/>
          <w:lang w:val="en-GB"/>
        </w:rPr>
        <w:t>of the whole study population, excluding those with nephrocalcinosis</w:t>
      </w:r>
    </w:p>
    <w:tbl>
      <w:tblPr>
        <w:tblStyle w:val="Tabelraster"/>
        <w:tblW w:w="14373" w:type="dxa"/>
        <w:tblInd w:w="142" w:type="dxa"/>
        <w:tblLook w:val="04A0" w:firstRow="1" w:lastRow="0" w:firstColumn="1" w:lastColumn="0" w:noHBand="0" w:noVBand="1"/>
      </w:tblPr>
      <w:tblGrid>
        <w:gridCol w:w="1978"/>
        <w:gridCol w:w="1549"/>
        <w:gridCol w:w="1549"/>
        <w:gridCol w:w="1550"/>
        <w:gridCol w:w="1549"/>
        <w:gridCol w:w="1549"/>
        <w:gridCol w:w="1550"/>
        <w:gridCol w:w="1549"/>
        <w:gridCol w:w="1550"/>
      </w:tblGrid>
      <w:tr w:rsidR="0057187E" w:rsidRPr="00800B07" w14:paraId="147592EB" w14:textId="77777777" w:rsidTr="0057187E">
        <w:trPr>
          <w:trHeight w:val="454"/>
        </w:trPr>
        <w:tc>
          <w:tcPr>
            <w:tcW w:w="1978" w:type="dxa"/>
            <w:tcBorders>
              <w:top w:val="nil"/>
              <w:left w:val="nil"/>
            </w:tcBorders>
            <w:shd w:val="clear" w:color="auto" w:fill="auto"/>
          </w:tcPr>
          <w:p w14:paraId="345954BB" w14:textId="77777777" w:rsidR="0057187E" w:rsidRPr="00800B07" w:rsidRDefault="0057187E" w:rsidP="0057187E">
            <w:pPr>
              <w:rPr>
                <w:rFonts w:cstheme="minorHAnsi"/>
                <w:sz w:val="18"/>
                <w:szCs w:val="18"/>
                <w:lang w:val="en-GB"/>
              </w:rPr>
            </w:pPr>
          </w:p>
        </w:tc>
        <w:tc>
          <w:tcPr>
            <w:tcW w:w="1549" w:type="dxa"/>
            <w:shd w:val="clear" w:color="auto" w:fill="000000" w:themeFill="text1"/>
          </w:tcPr>
          <w:p w14:paraId="62146126" w14:textId="77777777" w:rsidR="0057187E" w:rsidRPr="00800B07" w:rsidRDefault="0057187E" w:rsidP="0057187E">
            <w:pPr>
              <w:rPr>
                <w:rFonts w:cstheme="minorHAnsi"/>
                <w:sz w:val="18"/>
                <w:szCs w:val="18"/>
                <w:lang w:val="en-GB"/>
              </w:rPr>
            </w:pPr>
            <w:r w:rsidRPr="00800B07">
              <w:rPr>
                <w:rFonts w:cstheme="minorHAnsi"/>
                <w:sz w:val="18"/>
                <w:szCs w:val="18"/>
                <w:lang w:val="en-GB"/>
              </w:rPr>
              <w:t>Total study population</w:t>
            </w:r>
          </w:p>
        </w:tc>
        <w:tc>
          <w:tcPr>
            <w:tcW w:w="1549" w:type="dxa"/>
            <w:shd w:val="clear" w:color="auto" w:fill="000000" w:themeFill="text1"/>
          </w:tcPr>
          <w:p w14:paraId="42DFD921" w14:textId="77777777" w:rsidR="0057187E" w:rsidRPr="00800B07" w:rsidRDefault="0057187E" w:rsidP="0057187E">
            <w:pPr>
              <w:rPr>
                <w:rFonts w:cstheme="minorHAnsi"/>
                <w:sz w:val="18"/>
                <w:szCs w:val="18"/>
                <w:lang w:val="en-GB"/>
              </w:rPr>
            </w:pPr>
            <w:r w:rsidRPr="00800B07">
              <w:rPr>
                <w:rFonts w:cstheme="minorHAnsi"/>
                <w:sz w:val="18"/>
                <w:szCs w:val="18"/>
                <w:lang w:val="en-GB"/>
              </w:rPr>
              <w:t>Calcium oxalate stones</w:t>
            </w:r>
          </w:p>
        </w:tc>
        <w:tc>
          <w:tcPr>
            <w:tcW w:w="1550" w:type="dxa"/>
            <w:shd w:val="clear" w:color="auto" w:fill="000000" w:themeFill="text1"/>
          </w:tcPr>
          <w:p w14:paraId="2099972A" w14:textId="77777777" w:rsidR="0057187E" w:rsidRPr="00800B07" w:rsidRDefault="0057187E" w:rsidP="0057187E">
            <w:pPr>
              <w:rPr>
                <w:rFonts w:cstheme="minorHAnsi"/>
                <w:sz w:val="18"/>
                <w:szCs w:val="18"/>
                <w:lang w:val="en-GB"/>
              </w:rPr>
            </w:pPr>
            <w:r w:rsidRPr="00800B07">
              <w:rPr>
                <w:rFonts w:cstheme="minorHAnsi"/>
                <w:sz w:val="18"/>
                <w:szCs w:val="18"/>
                <w:lang w:val="en-GB"/>
              </w:rPr>
              <w:t>Uric acid stones</w:t>
            </w:r>
          </w:p>
        </w:tc>
        <w:tc>
          <w:tcPr>
            <w:tcW w:w="1549" w:type="dxa"/>
            <w:shd w:val="clear" w:color="auto" w:fill="000000" w:themeFill="text1"/>
          </w:tcPr>
          <w:p w14:paraId="3F48E75F" w14:textId="77777777" w:rsidR="0057187E" w:rsidRPr="00800B07" w:rsidRDefault="0057187E" w:rsidP="0057187E">
            <w:pPr>
              <w:rPr>
                <w:rFonts w:cstheme="minorHAnsi"/>
                <w:sz w:val="18"/>
                <w:szCs w:val="18"/>
                <w:lang w:val="en-GB"/>
              </w:rPr>
            </w:pPr>
            <w:r w:rsidRPr="00800B07">
              <w:rPr>
                <w:rFonts w:cstheme="minorHAnsi"/>
                <w:sz w:val="18"/>
                <w:szCs w:val="18"/>
                <w:lang w:val="en-GB"/>
              </w:rPr>
              <w:t>Cystine stones</w:t>
            </w:r>
          </w:p>
        </w:tc>
        <w:tc>
          <w:tcPr>
            <w:tcW w:w="1549" w:type="dxa"/>
            <w:shd w:val="clear" w:color="auto" w:fill="000000" w:themeFill="text1"/>
          </w:tcPr>
          <w:p w14:paraId="6AE0FB6E" w14:textId="77777777" w:rsidR="0057187E" w:rsidRPr="00800B07" w:rsidRDefault="0057187E" w:rsidP="0057187E">
            <w:pPr>
              <w:rPr>
                <w:rFonts w:cstheme="minorHAnsi"/>
                <w:sz w:val="18"/>
                <w:szCs w:val="18"/>
                <w:lang w:val="en-GB"/>
              </w:rPr>
            </w:pPr>
            <w:r w:rsidRPr="00800B07">
              <w:rPr>
                <w:rFonts w:cstheme="minorHAnsi"/>
                <w:sz w:val="18"/>
                <w:szCs w:val="18"/>
                <w:lang w:val="en-GB"/>
              </w:rPr>
              <w:t xml:space="preserve">Mixed stones </w:t>
            </w:r>
          </w:p>
        </w:tc>
        <w:tc>
          <w:tcPr>
            <w:tcW w:w="1550" w:type="dxa"/>
            <w:shd w:val="clear" w:color="auto" w:fill="000000" w:themeFill="text1"/>
          </w:tcPr>
          <w:p w14:paraId="541A9595" w14:textId="77777777" w:rsidR="0057187E" w:rsidRPr="00800B07" w:rsidRDefault="0057187E" w:rsidP="0057187E">
            <w:pPr>
              <w:rPr>
                <w:rFonts w:cstheme="minorHAnsi"/>
                <w:sz w:val="18"/>
                <w:szCs w:val="18"/>
                <w:lang w:val="en-GB"/>
              </w:rPr>
            </w:pPr>
            <w:r w:rsidRPr="00800B07">
              <w:rPr>
                <w:rFonts w:cstheme="minorHAnsi"/>
                <w:sz w:val="18"/>
                <w:szCs w:val="18"/>
                <w:lang w:val="en-GB"/>
              </w:rPr>
              <w:t xml:space="preserve">Brushite stones </w:t>
            </w:r>
          </w:p>
        </w:tc>
        <w:tc>
          <w:tcPr>
            <w:tcW w:w="1549" w:type="dxa"/>
            <w:shd w:val="clear" w:color="auto" w:fill="000000" w:themeFill="text1"/>
          </w:tcPr>
          <w:p w14:paraId="1AE96141" w14:textId="77777777" w:rsidR="0057187E" w:rsidRPr="00800B07" w:rsidRDefault="0057187E" w:rsidP="0057187E">
            <w:pPr>
              <w:rPr>
                <w:rFonts w:cstheme="minorHAnsi"/>
                <w:sz w:val="18"/>
                <w:szCs w:val="18"/>
                <w:lang w:val="en-GB"/>
              </w:rPr>
            </w:pPr>
            <w:r w:rsidRPr="00800B07">
              <w:rPr>
                <w:rFonts w:cstheme="minorHAnsi"/>
                <w:sz w:val="18"/>
                <w:szCs w:val="18"/>
                <w:lang w:val="en-GB"/>
              </w:rPr>
              <w:t xml:space="preserve">Calcium phosphate stones </w:t>
            </w:r>
          </w:p>
        </w:tc>
        <w:tc>
          <w:tcPr>
            <w:tcW w:w="1550" w:type="dxa"/>
            <w:shd w:val="clear" w:color="auto" w:fill="000000" w:themeFill="text1"/>
          </w:tcPr>
          <w:p w14:paraId="0644B237" w14:textId="77777777" w:rsidR="0057187E" w:rsidRPr="00800B07" w:rsidRDefault="0057187E" w:rsidP="0057187E">
            <w:pPr>
              <w:rPr>
                <w:rFonts w:cstheme="minorHAnsi"/>
                <w:sz w:val="18"/>
                <w:szCs w:val="18"/>
                <w:lang w:val="en-GB"/>
              </w:rPr>
            </w:pPr>
            <w:r w:rsidRPr="00800B07">
              <w:rPr>
                <w:rFonts w:cstheme="minorHAnsi"/>
                <w:sz w:val="18"/>
                <w:szCs w:val="18"/>
                <w:lang w:val="en-GB"/>
              </w:rPr>
              <w:t xml:space="preserve">Struvite stones </w:t>
            </w:r>
          </w:p>
        </w:tc>
      </w:tr>
      <w:tr w:rsidR="0057187E" w:rsidRPr="00D21C22" w14:paraId="63E0D533" w14:textId="77777777" w:rsidTr="00D21C22">
        <w:trPr>
          <w:trHeight w:val="283"/>
        </w:trPr>
        <w:tc>
          <w:tcPr>
            <w:tcW w:w="14373" w:type="dxa"/>
            <w:gridSpan w:val="9"/>
            <w:shd w:val="clear" w:color="auto" w:fill="D9D9D9" w:themeFill="background1" w:themeFillShade="D9"/>
          </w:tcPr>
          <w:p w14:paraId="7D91F7EA" w14:textId="7CCCC963" w:rsidR="0057187E" w:rsidRPr="00800B07" w:rsidRDefault="0057187E" w:rsidP="0057187E">
            <w:pPr>
              <w:rPr>
                <w:rFonts w:cstheme="minorHAnsi"/>
                <w:sz w:val="18"/>
                <w:szCs w:val="18"/>
                <w:lang w:val="en-GB"/>
              </w:rPr>
            </w:pPr>
            <w:r w:rsidRPr="001F53E0">
              <w:rPr>
                <w:rFonts w:cstheme="minorHAnsi"/>
                <w:b/>
                <w:bCs/>
                <w:sz w:val="18"/>
                <w:szCs w:val="18"/>
                <w:lang w:val="en-GB"/>
              </w:rPr>
              <w:t>SYMPTOMATIC RENAL COLIC RATE</w:t>
            </w:r>
            <w:r>
              <w:rPr>
                <w:rFonts w:cstheme="minorHAnsi"/>
                <w:sz w:val="18"/>
                <w:szCs w:val="18"/>
                <w:lang w:val="en-GB"/>
              </w:rPr>
              <w:t xml:space="preserve"> </w:t>
            </w:r>
          </w:p>
        </w:tc>
      </w:tr>
      <w:tr w:rsidR="0057187E" w:rsidRPr="00800B07" w14:paraId="1A4CAB92" w14:textId="77777777" w:rsidTr="0057187E">
        <w:trPr>
          <w:trHeight w:val="227"/>
        </w:trPr>
        <w:tc>
          <w:tcPr>
            <w:tcW w:w="1978" w:type="dxa"/>
            <w:tcBorders>
              <w:right w:val="single" w:sz="12" w:space="0" w:color="auto"/>
            </w:tcBorders>
            <w:shd w:val="clear" w:color="auto" w:fill="auto"/>
          </w:tcPr>
          <w:p w14:paraId="435FF5D8" w14:textId="77777777" w:rsidR="0057187E" w:rsidRPr="00800B07" w:rsidRDefault="0057187E" w:rsidP="0057187E">
            <w:pPr>
              <w:rPr>
                <w:rFonts w:cstheme="minorHAnsi"/>
                <w:sz w:val="18"/>
                <w:szCs w:val="18"/>
                <w:lang w:val="en-GB"/>
              </w:rPr>
            </w:pPr>
            <w:r w:rsidRPr="00800B07">
              <w:rPr>
                <w:rFonts w:cstheme="minorHAnsi"/>
                <w:sz w:val="18"/>
                <w:szCs w:val="18"/>
                <w:lang w:val="en-GB"/>
              </w:rPr>
              <w:t>Number of patients</w:t>
            </w:r>
          </w:p>
        </w:tc>
        <w:tc>
          <w:tcPr>
            <w:tcW w:w="154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3674406" w14:textId="77777777" w:rsidR="0057187E" w:rsidRPr="00800B07" w:rsidRDefault="0057187E" w:rsidP="0057187E">
            <w:pPr>
              <w:rPr>
                <w:rFonts w:cstheme="minorHAnsi"/>
                <w:sz w:val="18"/>
                <w:szCs w:val="18"/>
                <w:lang w:val="en-GB"/>
              </w:rPr>
            </w:pPr>
            <w:r w:rsidRPr="00800B07">
              <w:rPr>
                <w:rFonts w:cstheme="minorHAnsi"/>
                <w:sz w:val="18"/>
                <w:szCs w:val="18"/>
                <w:lang w:val="en-GB"/>
              </w:rPr>
              <w:t>779</w:t>
            </w:r>
          </w:p>
        </w:tc>
        <w:tc>
          <w:tcPr>
            <w:tcW w:w="1549" w:type="dxa"/>
            <w:tcBorders>
              <w:left w:val="single" w:sz="12" w:space="0" w:color="auto"/>
            </w:tcBorders>
            <w:shd w:val="clear" w:color="auto" w:fill="auto"/>
          </w:tcPr>
          <w:p w14:paraId="3BA96AE1" w14:textId="77777777" w:rsidR="0057187E" w:rsidRPr="00800B07" w:rsidRDefault="0057187E" w:rsidP="0057187E">
            <w:pPr>
              <w:rPr>
                <w:rFonts w:cstheme="minorHAnsi"/>
                <w:sz w:val="18"/>
                <w:szCs w:val="18"/>
                <w:lang w:val="en-GB"/>
              </w:rPr>
            </w:pPr>
            <w:r w:rsidRPr="00800B07">
              <w:rPr>
                <w:rFonts w:cstheme="minorHAnsi"/>
                <w:sz w:val="18"/>
                <w:szCs w:val="18"/>
                <w:lang w:val="en-GB"/>
              </w:rPr>
              <w:t>356</w:t>
            </w:r>
          </w:p>
        </w:tc>
        <w:tc>
          <w:tcPr>
            <w:tcW w:w="1550" w:type="dxa"/>
            <w:shd w:val="clear" w:color="auto" w:fill="auto"/>
          </w:tcPr>
          <w:p w14:paraId="6D760543" w14:textId="77777777" w:rsidR="0057187E" w:rsidRPr="00800B07" w:rsidRDefault="0057187E" w:rsidP="0057187E">
            <w:pPr>
              <w:rPr>
                <w:rFonts w:cstheme="minorHAnsi"/>
                <w:sz w:val="18"/>
                <w:szCs w:val="18"/>
                <w:lang w:val="en-GB"/>
              </w:rPr>
            </w:pPr>
            <w:r w:rsidRPr="00800B07">
              <w:rPr>
                <w:rFonts w:cstheme="minorHAnsi"/>
                <w:sz w:val="18"/>
                <w:szCs w:val="18"/>
                <w:lang w:val="en-GB"/>
              </w:rPr>
              <w:t>34</w:t>
            </w:r>
          </w:p>
        </w:tc>
        <w:tc>
          <w:tcPr>
            <w:tcW w:w="1549" w:type="dxa"/>
            <w:shd w:val="clear" w:color="auto" w:fill="auto"/>
          </w:tcPr>
          <w:p w14:paraId="63B4DF23" w14:textId="77777777" w:rsidR="0057187E" w:rsidRPr="00800B07" w:rsidRDefault="0057187E" w:rsidP="0057187E">
            <w:pPr>
              <w:rPr>
                <w:rFonts w:cstheme="minorHAnsi"/>
                <w:sz w:val="18"/>
                <w:szCs w:val="18"/>
                <w:lang w:val="en-GB"/>
              </w:rPr>
            </w:pPr>
            <w:r w:rsidRPr="00800B07">
              <w:rPr>
                <w:rFonts w:cstheme="minorHAnsi"/>
                <w:sz w:val="18"/>
                <w:szCs w:val="18"/>
                <w:lang w:val="en-GB"/>
              </w:rPr>
              <w:t>17</w:t>
            </w:r>
          </w:p>
        </w:tc>
        <w:tc>
          <w:tcPr>
            <w:tcW w:w="1549" w:type="dxa"/>
            <w:shd w:val="clear" w:color="auto" w:fill="auto"/>
          </w:tcPr>
          <w:p w14:paraId="2CE12F09" w14:textId="77777777" w:rsidR="0057187E" w:rsidRPr="00800B07" w:rsidRDefault="0057187E" w:rsidP="0057187E">
            <w:pPr>
              <w:rPr>
                <w:rFonts w:cstheme="minorHAnsi"/>
                <w:sz w:val="18"/>
                <w:szCs w:val="18"/>
                <w:lang w:val="en-GB"/>
              </w:rPr>
            </w:pPr>
            <w:r w:rsidRPr="00800B07">
              <w:rPr>
                <w:rFonts w:cstheme="minorHAnsi"/>
                <w:sz w:val="18"/>
                <w:szCs w:val="18"/>
                <w:lang w:val="en-GB"/>
              </w:rPr>
              <w:t>16</w:t>
            </w:r>
          </w:p>
        </w:tc>
        <w:tc>
          <w:tcPr>
            <w:tcW w:w="1550" w:type="dxa"/>
            <w:shd w:val="clear" w:color="auto" w:fill="auto"/>
          </w:tcPr>
          <w:p w14:paraId="55D646A2" w14:textId="77777777" w:rsidR="0057187E" w:rsidRPr="00800B07" w:rsidRDefault="0057187E" w:rsidP="0057187E">
            <w:pPr>
              <w:rPr>
                <w:rFonts w:cstheme="minorHAnsi"/>
                <w:sz w:val="18"/>
                <w:szCs w:val="18"/>
                <w:lang w:val="en-GB"/>
              </w:rPr>
            </w:pPr>
            <w:r w:rsidRPr="00800B07">
              <w:rPr>
                <w:rFonts w:cstheme="minorHAnsi"/>
                <w:sz w:val="18"/>
                <w:szCs w:val="18"/>
                <w:lang w:val="en-GB"/>
              </w:rPr>
              <w:t>10</w:t>
            </w:r>
          </w:p>
        </w:tc>
        <w:tc>
          <w:tcPr>
            <w:tcW w:w="1549" w:type="dxa"/>
            <w:shd w:val="clear" w:color="auto" w:fill="auto"/>
          </w:tcPr>
          <w:p w14:paraId="186090F1" w14:textId="77777777" w:rsidR="0057187E" w:rsidRPr="00800B07" w:rsidRDefault="0057187E" w:rsidP="0057187E">
            <w:pPr>
              <w:rPr>
                <w:rFonts w:cstheme="minorHAnsi"/>
                <w:sz w:val="18"/>
                <w:szCs w:val="18"/>
                <w:lang w:val="en-GB"/>
              </w:rPr>
            </w:pPr>
            <w:r w:rsidRPr="00800B07">
              <w:rPr>
                <w:rFonts w:cstheme="minorHAnsi"/>
                <w:sz w:val="18"/>
                <w:szCs w:val="18"/>
                <w:lang w:val="en-GB"/>
              </w:rPr>
              <w:t xml:space="preserve"> 9</w:t>
            </w:r>
          </w:p>
        </w:tc>
        <w:tc>
          <w:tcPr>
            <w:tcW w:w="1550" w:type="dxa"/>
            <w:shd w:val="clear" w:color="auto" w:fill="auto"/>
          </w:tcPr>
          <w:p w14:paraId="4BA52A18" w14:textId="77777777" w:rsidR="0057187E" w:rsidRPr="00800B07" w:rsidRDefault="0057187E" w:rsidP="0057187E">
            <w:pPr>
              <w:rPr>
                <w:rFonts w:cstheme="minorHAnsi"/>
                <w:sz w:val="18"/>
                <w:szCs w:val="18"/>
                <w:lang w:val="en-GB"/>
              </w:rPr>
            </w:pPr>
            <w:r w:rsidRPr="00800B07">
              <w:rPr>
                <w:rFonts w:cstheme="minorHAnsi"/>
                <w:sz w:val="18"/>
                <w:szCs w:val="18"/>
                <w:lang w:val="en-GB"/>
              </w:rPr>
              <w:t>8</w:t>
            </w:r>
          </w:p>
        </w:tc>
      </w:tr>
      <w:tr w:rsidR="0057187E" w:rsidRPr="00800B07" w14:paraId="2F156648" w14:textId="77777777" w:rsidTr="0057187E">
        <w:trPr>
          <w:trHeight w:val="20"/>
        </w:trPr>
        <w:tc>
          <w:tcPr>
            <w:tcW w:w="1978" w:type="dxa"/>
            <w:tcBorders>
              <w:right w:val="single" w:sz="12" w:space="0" w:color="auto"/>
            </w:tcBorders>
          </w:tcPr>
          <w:p w14:paraId="0A5EB325" w14:textId="77777777" w:rsidR="0057187E" w:rsidRPr="00800B07" w:rsidRDefault="0057187E" w:rsidP="0057187E">
            <w:pPr>
              <w:rPr>
                <w:rFonts w:cstheme="minorHAnsi"/>
                <w:sz w:val="18"/>
                <w:szCs w:val="18"/>
                <w:lang w:val="en-GB"/>
              </w:rPr>
            </w:pPr>
            <w:proofErr w:type="spellStart"/>
            <w:r w:rsidRPr="00800B07">
              <w:rPr>
                <w:rFonts w:cstheme="minorHAnsi"/>
                <w:sz w:val="18"/>
                <w:szCs w:val="18"/>
                <w:lang w:val="en-GB"/>
              </w:rPr>
              <w:t>Mean±SD</w:t>
            </w:r>
            <w:proofErr w:type="spellEnd"/>
            <w:r>
              <w:rPr>
                <w:rFonts w:cstheme="minorHAnsi"/>
                <w:sz w:val="18"/>
                <w:szCs w:val="18"/>
                <w:lang w:val="en-GB"/>
              </w:rPr>
              <w:t xml:space="preserve"> (per yr)</w:t>
            </w:r>
          </w:p>
          <w:p w14:paraId="6E0B4145" w14:textId="77777777" w:rsidR="0057187E" w:rsidRPr="00800B07" w:rsidRDefault="0057187E" w:rsidP="0057187E">
            <w:pPr>
              <w:rPr>
                <w:rFonts w:cstheme="minorHAnsi"/>
                <w:sz w:val="18"/>
                <w:szCs w:val="18"/>
                <w:lang w:val="en-GB"/>
              </w:rPr>
            </w:pPr>
            <w:r w:rsidRPr="00800B07">
              <w:rPr>
                <w:rFonts w:cstheme="minorHAnsi"/>
                <w:sz w:val="18"/>
                <w:szCs w:val="18"/>
                <w:lang w:val="en-GB"/>
              </w:rPr>
              <w:t>Median (IQR)</w:t>
            </w:r>
            <w:r>
              <w:rPr>
                <w:rFonts w:cstheme="minorHAnsi"/>
                <w:sz w:val="18"/>
                <w:szCs w:val="18"/>
                <w:lang w:val="en-GB"/>
              </w:rPr>
              <w:t xml:space="preserve"> (per yr)</w:t>
            </w:r>
          </w:p>
        </w:tc>
        <w:tc>
          <w:tcPr>
            <w:tcW w:w="154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0D3E210" w14:textId="77777777" w:rsidR="0057187E" w:rsidRPr="00800B07" w:rsidRDefault="0057187E" w:rsidP="0057187E">
            <w:pPr>
              <w:rPr>
                <w:rFonts w:cstheme="minorHAnsi"/>
                <w:sz w:val="18"/>
                <w:szCs w:val="18"/>
                <w:lang w:val="fr-BE"/>
              </w:rPr>
            </w:pPr>
            <w:r w:rsidRPr="00800B07">
              <w:rPr>
                <w:rFonts w:cstheme="minorHAnsi"/>
                <w:sz w:val="18"/>
                <w:szCs w:val="18"/>
                <w:lang w:val="fr-BE"/>
              </w:rPr>
              <w:t>1</w:t>
            </w:r>
            <w:r>
              <w:rPr>
                <w:rFonts w:cstheme="minorHAnsi"/>
                <w:sz w:val="18"/>
                <w:szCs w:val="18"/>
                <w:lang w:val="fr-BE"/>
              </w:rPr>
              <w:t>.</w:t>
            </w:r>
            <w:r w:rsidRPr="00800B07">
              <w:rPr>
                <w:rFonts w:cstheme="minorHAnsi"/>
                <w:sz w:val="18"/>
                <w:szCs w:val="18"/>
                <w:lang w:val="fr-BE"/>
              </w:rPr>
              <w:t>7±</w:t>
            </w:r>
            <w:r>
              <w:rPr>
                <w:rFonts w:cstheme="minorHAnsi"/>
                <w:sz w:val="18"/>
                <w:szCs w:val="18"/>
                <w:lang w:val="fr-BE"/>
              </w:rPr>
              <w:t>3.</w:t>
            </w:r>
            <w:r w:rsidRPr="00800B07">
              <w:rPr>
                <w:rFonts w:cstheme="minorHAnsi"/>
                <w:sz w:val="18"/>
                <w:szCs w:val="18"/>
                <w:lang w:val="fr-BE"/>
              </w:rPr>
              <w:t>0</w:t>
            </w:r>
          </w:p>
          <w:p w14:paraId="1B944C2B" w14:textId="77777777" w:rsidR="0057187E" w:rsidRPr="00800B07" w:rsidRDefault="0057187E" w:rsidP="0057187E">
            <w:pPr>
              <w:rPr>
                <w:rFonts w:cstheme="minorHAnsi"/>
                <w:sz w:val="18"/>
                <w:szCs w:val="18"/>
                <w:lang w:val="fr-BE"/>
              </w:rPr>
            </w:pP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6 (0</w:t>
            </w:r>
            <w:r>
              <w:rPr>
                <w:rFonts w:cstheme="minorHAnsi"/>
                <w:sz w:val="18"/>
                <w:szCs w:val="18"/>
                <w:lang w:val="fr-BE"/>
              </w:rPr>
              <w:t>.</w:t>
            </w:r>
            <w:r w:rsidRPr="00800B07">
              <w:rPr>
                <w:rFonts w:cstheme="minorHAnsi"/>
                <w:sz w:val="18"/>
                <w:szCs w:val="18"/>
                <w:lang w:val="fr-BE"/>
              </w:rPr>
              <w:t>2-2</w:t>
            </w:r>
            <w:r>
              <w:rPr>
                <w:rFonts w:cstheme="minorHAnsi"/>
                <w:sz w:val="18"/>
                <w:szCs w:val="18"/>
                <w:lang w:val="fr-BE"/>
              </w:rPr>
              <w:t>.</w:t>
            </w:r>
            <w:r w:rsidRPr="00800B07">
              <w:rPr>
                <w:rFonts w:cstheme="minorHAnsi"/>
                <w:sz w:val="18"/>
                <w:szCs w:val="18"/>
                <w:lang w:val="fr-BE"/>
              </w:rPr>
              <w:t>1)</w:t>
            </w:r>
          </w:p>
        </w:tc>
        <w:tc>
          <w:tcPr>
            <w:tcW w:w="1549" w:type="dxa"/>
            <w:tcBorders>
              <w:left w:val="single" w:sz="12" w:space="0" w:color="auto"/>
            </w:tcBorders>
          </w:tcPr>
          <w:p w14:paraId="233AC49F" w14:textId="77777777" w:rsidR="0057187E" w:rsidRPr="00800B07" w:rsidRDefault="0057187E" w:rsidP="0057187E">
            <w:pPr>
              <w:rPr>
                <w:rFonts w:cstheme="minorHAnsi"/>
                <w:sz w:val="18"/>
                <w:szCs w:val="18"/>
                <w:lang w:val="fr-BE"/>
              </w:rPr>
            </w:pPr>
            <w:r w:rsidRPr="00800B07">
              <w:rPr>
                <w:rFonts w:cstheme="minorHAnsi"/>
                <w:sz w:val="18"/>
                <w:szCs w:val="18"/>
                <w:lang w:val="fr-BE"/>
              </w:rPr>
              <w:t>1</w:t>
            </w:r>
            <w:r>
              <w:rPr>
                <w:rFonts w:cstheme="minorHAnsi"/>
                <w:sz w:val="18"/>
                <w:szCs w:val="18"/>
                <w:lang w:val="fr-BE"/>
              </w:rPr>
              <w:t>.</w:t>
            </w:r>
            <w:r w:rsidRPr="00800B07">
              <w:rPr>
                <w:rFonts w:cstheme="minorHAnsi"/>
                <w:sz w:val="18"/>
                <w:szCs w:val="18"/>
                <w:lang w:val="fr-BE"/>
              </w:rPr>
              <w:t>7±3</w:t>
            </w:r>
            <w:r>
              <w:rPr>
                <w:rFonts w:cstheme="minorHAnsi"/>
                <w:sz w:val="18"/>
                <w:szCs w:val="18"/>
                <w:lang w:val="fr-BE"/>
              </w:rPr>
              <w:t>.</w:t>
            </w:r>
            <w:r w:rsidRPr="00800B07">
              <w:rPr>
                <w:rFonts w:cstheme="minorHAnsi"/>
                <w:sz w:val="18"/>
                <w:szCs w:val="18"/>
                <w:lang w:val="fr-BE"/>
              </w:rPr>
              <w:t>4</w:t>
            </w:r>
          </w:p>
          <w:p w14:paraId="2095C7AE" w14:textId="77777777" w:rsidR="0057187E" w:rsidRPr="00800B07" w:rsidRDefault="0057187E" w:rsidP="0057187E">
            <w:pPr>
              <w:rPr>
                <w:rFonts w:cstheme="minorHAnsi"/>
                <w:sz w:val="18"/>
                <w:szCs w:val="18"/>
              </w:rPr>
            </w:pP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6 (0</w:t>
            </w:r>
            <w:r>
              <w:rPr>
                <w:rFonts w:cstheme="minorHAnsi"/>
                <w:sz w:val="18"/>
                <w:szCs w:val="18"/>
                <w:lang w:val="fr-BE"/>
              </w:rPr>
              <w:t>.</w:t>
            </w:r>
            <w:r w:rsidRPr="00800B07">
              <w:rPr>
                <w:rFonts w:cstheme="minorHAnsi"/>
                <w:sz w:val="18"/>
                <w:szCs w:val="18"/>
                <w:lang w:val="fr-BE"/>
              </w:rPr>
              <w:t>2-2</w:t>
            </w:r>
            <w:r>
              <w:rPr>
                <w:rFonts w:cstheme="minorHAnsi"/>
                <w:sz w:val="18"/>
                <w:szCs w:val="18"/>
                <w:lang w:val="fr-BE"/>
              </w:rPr>
              <w:t>.</w:t>
            </w:r>
            <w:r w:rsidRPr="00800B07">
              <w:rPr>
                <w:rFonts w:cstheme="minorHAnsi"/>
                <w:sz w:val="18"/>
                <w:szCs w:val="18"/>
                <w:lang w:val="fr-BE"/>
              </w:rPr>
              <w:t>0)</w:t>
            </w:r>
          </w:p>
        </w:tc>
        <w:tc>
          <w:tcPr>
            <w:tcW w:w="1550" w:type="dxa"/>
          </w:tcPr>
          <w:p w14:paraId="2D1A0F5E" w14:textId="77777777" w:rsidR="0057187E" w:rsidRPr="00800B07" w:rsidRDefault="0057187E" w:rsidP="0057187E">
            <w:pPr>
              <w:rPr>
                <w:rFonts w:cstheme="minorHAnsi"/>
                <w:sz w:val="18"/>
                <w:szCs w:val="18"/>
                <w:lang w:val="fr-BE"/>
              </w:rPr>
            </w:pPr>
            <w:r w:rsidRPr="00800B07">
              <w:rPr>
                <w:rFonts w:cstheme="minorHAnsi"/>
                <w:sz w:val="18"/>
                <w:szCs w:val="18"/>
                <w:lang w:val="fr-BE"/>
              </w:rPr>
              <w:t>1</w:t>
            </w:r>
            <w:r>
              <w:rPr>
                <w:rFonts w:cstheme="minorHAnsi"/>
                <w:sz w:val="18"/>
                <w:szCs w:val="18"/>
                <w:lang w:val="fr-BE"/>
              </w:rPr>
              <w:t>.</w:t>
            </w:r>
            <w:r w:rsidRPr="00800B07">
              <w:rPr>
                <w:rFonts w:cstheme="minorHAnsi"/>
                <w:sz w:val="18"/>
                <w:szCs w:val="18"/>
                <w:lang w:val="fr-BE"/>
              </w:rPr>
              <w:t>7±2</w:t>
            </w:r>
            <w:r>
              <w:rPr>
                <w:rFonts w:cstheme="minorHAnsi"/>
                <w:sz w:val="18"/>
                <w:szCs w:val="18"/>
                <w:lang w:val="fr-BE"/>
              </w:rPr>
              <w:t>.</w:t>
            </w:r>
            <w:r w:rsidRPr="00800B07">
              <w:rPr>
                <w:rFonts w:cstheme="minorHAnsi"/>
                <w:sz w:val="18"/>
                <w:szCs w:val="18"/>
                <w:lang w:val="fr-BE"/>
              </w:rPr>
              <w:t>9</w:t>
            </w:r>
          </w:p>
          <w:p w14:paraId="5BCC429E"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5 (0</w:t>
            </w:r>
            <w:r>
              <w:rPr>
                <w:rFonts w:cstheme="minorHAnsi"/>
                <w:sz w:val="18"/>
                <w:szCs w:val="18"/>
              </w:rPr>
              <w:t>.</w:t>
            </w:r>
            <w:r w:rsidRPr="00800B07">
              <w:rPr>
                <w:rFonts w:cstheme="minorHAnsi"/>
                <w:sz w:val="18"/>
                <w:szCs w:val="18"/>
              </w:rPr>
              <w:t>2-1</w:t>
            </w:r>
            <w:r>
              <w:rPr>
                <w:rFonts w:cstheme="minorHAnsi"/>
                <w:sz w:val="18"/>
                <w:szCs w:val="18"/>
              </w:rPr>
              <w:t>.</w:t>
            </w:r>
            <w:r w:rsidRPr="00800B07">
              <w:rPr>
                <w:rFonts w:cstheme="minorHAnsi"/>
                <w:sz w:val="18"/>
                <w:szCs w:val="18"/>
              </w:rPr>
              <w:t>9)</w:t>
            </w:r>
          </w:p>
        </w:tc>
        <w:tc>
          <w:tcPr>
            <w:tcW w:w="1549" w:type="dxa"/>
          </w:tcPr>
          <w:p w14:paraId="46248D73" w14:textId="77777777" w:rsidR="0057187E" w:rsidRPr="00800B07" w:rsidRDefault="0057187E" w:rsidP="0057187E">
            <w:pPr>
              <w:rPr>
                <w:rFonts w:cstheme="minorHAnsi"/>
                <w:sz w:val="18"/>
                <w:szCs w:val="18"/>
                <w:lang w:val="fr-BE"/>
              </w:rPr>
            </w:pPr>
            <w:r w:rsidRPr="00800B07">
              <w:rPr>
                <w:rFonts w:cstheme="minorHAnsi"/>
                <w:sz w:val="18"/>
                <w:szCs w:val="18"/>
              </w:rPr>
              <w:t>1</w:t>
            </w:r>
            <w:r>
              <w:rPr>
                <w:rFonts w:cstheme="minorHAnsi"/>
                <w:sz w:val="18"/>
                <w:szCs w:val="18"/>
              </w:rPr>
              <w:t>.</w:t>
            </w:r>
            <w:r w:rsidRPr="00800B07">
              <w:rPr>
                <w:rFonts w:cstheme="minorHAnsi"/>
                <w:sz w:val="18"/>
                <w:szCs w:val="18"/>
              </w:rPr>
              <w:t>5</w:t>
            </w:r>
            <w:r w:rsidRPr="00800B07">
              <w:rPr>
                <w:rFonts w:cstheme="minorHAnsi"/>
                <w:sz w:val="18"/>
                <w:szCs w:val="18"/>
                <w:lang w:val="fr-BE"/>
              </w:rPr>
              <w:t>±10</w:t>
            </w:r>
            <w:r>
              <w:rPr>
                <w:rFonts w:cstheme="minorHAnsi"/>
                <w:sz w:val="18"/>
                <w:szCs w:val="18"/>
                <w:lang w:val="fr-BE"/>
              </w:rPr>
              <w:t>.</w:t>
            </w:r>
            <w:r w:rsidRPr="00800B07">
              <w:rPr>
                <w:rFonts w:cstheme="minorHAnsi"/>
                <w:sz w:val="18"/>
                <w:szCs w:val="18"/>
                <w:lang w:val="fr-BE"/>
              </w:rPr>
              <w:t>7</w:t>
            </w:r>
          </w:p>
          <w:p w14:paraId="03535DC2"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7 (0</w:t>
            </w:r>
            <w:r>
              <w:rPr>
                <w:rFonts w:cstheme="minorHAnsi"/>
                <w:sz w:val="18"/>
                <w:szCs w:val="18"/>
              </w:rPr>
              <w:t>.</w:t>
            </w:r>
            <w:r w:rsidRPr="00800B07">
              <w:rPr>
                <w:rFonts w:cstheme="minorHAnsi"/>
                <w:sz w:val="18"/>
                <w:szCs w:val="18"/>
              </w:rPr>
              <w:t>2-2</w:t>
            </w:r>
            <w:r>
              <w:rPr>
                <w:rFonts w:cstheme="minorHAnsi"/>
                <w:sz w:val="18"/>
                <w:szCs w:val="18"/>
              </w:rPr>
              <w:t>.</w:t>
            </w:r>
            <w:r w:rsidRPr="00800B07">
              <w:rPr>
                <w:rFonts w:cstheme="minorHAnsi"/>
                <w:sz w:val="18"/>
                <w:szCs w:val="18"/>
              </w:rPr>
              <w:t>5)</w:t>
            </w:r>
          </w:p>
        </w:tc>
        <w:tc>
          <w:tcPr>
            <w:tcW w:w="1549" w:type="dxa"/>
          </w:tcPr>
          <w:p w14:paraId="30407AF3" w14:textId="77777777" w:rsidR="0057187E" w:rsidRPr="00800B07" w:rsidRDefault="0057187E" w:rsidP="0057187E">
            <w:pPr>
              <w:rPr>
                <w:rFonts w:cstheme="minorHAnsi"/>
                <w:sz w:val="18"/>
                <w:szCs w:val="18"/>
                <w:lang w:val="fr-BE"/>
              </w:rPr>
            </w:pPr>
            <w:r w:rsidRPr="00800B07">
              <w:rPr>
                <w:rFonts w:cstheme="minorHAnsi"/>
                <w:sz w:val="18"/>
                <w:szCs w:val="18"/>
              </w:rPr>
              <w:t>3</w:t>
            </w:r>
            <w:r>
              <w:rPr>
                <w:rFonts w:cstheme="minorHAnsi"/>
                <w:sz w:val="18"/>
                <w:szCs w:val="18"/>
              </w:rPr>
              <w:t>.</w:t>
            </w:r>
            <w:r w:rsidRPr="00800B07">
              <w:rPr>
                <w:rFonts w:cstheme="minorHAnsi"/>
                <w:sz w:val="18"/>
                <w:szCs w:val="18"/>
              </w:rPr>
              <w:t>2</w:t>
            </w:r>
            <w:r w:rsidRPr="00800B07">
              <w:rPr>
                <w:rFonts w:cstheme="minorHAnsi"/>
                <w:sz w:val="18"/>
                <w:szCs w:val="18"/>
                <w:lang w:val="fr-BE"/>
              </w:rPr>
              <w:t>±12</w:t>
            </w:r>
            <w:r>
              <w:rPr>
                <w:rFonts w:cstheme="minorHAnsi"/>
                <w:sz w:val="18"/>
                <w:szCs w:val="18"/>
                <w:lang w:val="fr-BE"/>
              </w:rPr>
              <w:t>.</w:t>
            </w:r>
            <w:r w:rsidRPr="00800B07">
              <w:rPr>
                <w:rFonts w:cstheme="minorHAnsi"/>
                <w:sz w:val="18"/>
                <w:szCs w:val="18"/>
                <w:lang w:val="fr-BE"/>
              </w:rPr>
              <w:t>4</w:t>
            </w:r>
          </w:p>
          <w:p w14:paraId="34B97AD9"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6 (4</w:t>
            </w:r>
            <w:r>
              <w:rPr>
                <w:rFonts w:cstheme="minorHAnsi"/>
                <w:sz w:val="18"/>
                <w:szCs w:val="18"/>
              </w:rPr>
              <w:t>.</w:t>
            </w:r>
            <w:r w:rsidRPr="00800B07">
              <w:rPr>
                <w:rFonts w:cstheme="minorHAnsi"/>
                <w:sz w:val="18"/>
                <w:szCs w:val="18"/>
              </w:rPr>
              <w:t>4-0</w:t>
            </w:r>
            <w:r>
              <w:rPr>
                <w:rFonts w:cstheme="minorHAnsi"/>
                <w:sz w:val="18"/>
                <w:szCs w:val="18"/>
              </w:rPr>
              <w:t>.</w:t>
            </w:r>
            <w:r w:rsidRPr="00800B07">
              <w:rPr>
                <w:rFonts w:cstheme="minorHAnsi"/>
                <w:sz w:val="18"/>
                <w:szCs w:val="18"/>
              </w:rPr>
              <w:t>2)</w:t>
            </w:r>
          </w:p>
        </w:tc>
        <w:tc>
          <w:tcPr>
            <w:tcW w:w="1550" w:type="dxa"/>
          </w:tcPr>
          <w:p w14:paraId="4AAA94A6" w14:textId="77777777" w:rsidR="0057187E" w:rsidRPr="00800B07" w:rsidRDefault="0057187E" w:rsidP="0057187E">
            <w:pPr>
              <w:rPr>
                <w:rFonts w:cstheme="minorHAnsi"/>
                <w:sz w:val="18"/>
                <w:szCs w:val="18"/>
                <w:lang w:val="fr-BE"/>
              </w:rPr>
            </w:pPr>
            <w:r>
              <w:rPr>
                <w:rFonts w:cstheme="minorHAnsi"/>
                <w:sz w:val="18"/>
                <w:szCs w:val="18"/>
              </w:rPr>
              <w:t>1.</w:t>
            </w:r>
            <w:r w:rsidRPr="00800B07">
              <w:rPr>
                <w:rFonts w:cstheme="minorHAnsi"/>
                <w:sz w:val="18"/>
                <w:szCs w:val="18"/>
              </w:rPr>
              <w:t>0</w:t>
            </w:r>
            <w:r w:rsidRPr="00800B07">
              <w:rPr>
                <w:rFonts w:cstheme="minorHAnsi"/>
                <w:sz w:val="18"/>
                <w:szCs w:val="18"/>
                <w:lang w:val="fr-BE"/>
              </w:rPr>
              <w:t>±1,2</w:t>
            </w:r>
          </w:p>
          <w:p w14:paraId="0D157887"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4 (0</w:t>
            </w:r>
            <w:r>
              <w:rPr>
                <w:rFonts w:cstheme="minorHAnsi"/>
                <w:sz w:val="18"/>
                <w:szCs w:val="18"/>
              </w:rPr>
              <w:t>.</w:t>
            </w:r>
            <w:r w:rsidRPr="00800B07">
              <w:rPr>
                <w:rFonts w:cstheme="minorHAnsi"/>
                <w:sz w:val="18"/>
                <w:szCs w:val="18"/>
              </w:rPr>
              <w:t>2-1</w:t>
            </w:r>
            <w:r>
              <w:rPr>
                <w:rFonts w:cstheme="minorHAnsi"/>
                <w:sz w:val="18"/>
                <w:szCs w:val="18"/>
              </w:rPr>
              <w:t>.</w:t>
            </w:r>
            <w:r w:rsidRPr="00800B07">
              <w:rPr>
                <w:rFonts w:cstheme="minorHAnsi"/>
                <w:sz w:val="18"/>
                <w:szCs w:val="18"/>
              </w:rPr>
              <w:t>7)</w:t>
            </w:r>
          </w:p>
        </w:tc>
        <w:tc>
          <w:tcPr>
            <w:tcW w:w="1549" w:type="dxa"/>
          </w:tcPr>
          <w:p w14:paraId="0BBD8CD1" w14:textId="77777777" w:rsidR="0057187E" w:rsidRPr="00800B07" w:rsidRDefault="0057187E" w:rsidP="0057187E">
            <w:pPr>
              <w:rPr>
                <w:rFonts w:cstheme="minorHAnsi"/>
                <w:sz w:val="18"/>
                <w:szCs w:val="18"/>
                <w:lang w:val="fr-BE"/>
              </w:rPr>
            </w:pPr>
            <w:r w:rsidRPr="00800B07">
              <w:rPr>
                <w:rFonts w:cstheme="minorHAnsi"/>
                <w:sz w:val="18"/>
                <w:szCs w:val="18"/>
              </w:rPr>
              <w:t>1</w:t>
            </w:r>
            <w:r>
              <w:rPr>
                <w:rFonts w:cstheme="minorHAnsi"/>
                <w:sz w:val="18"/>
                <w:szCs w:val="18"/>
              </w:rPr>
              <w:t>.</w:t>
            </w:r>
            <w:r w:rsidRPr="00800B07">
              <w:rPr>
                <w:rFonts w:cstheme="minorHAnsi"/>
                <w:sz w:val="18"/>
                <w:szCs w:val="18"/>
              </w:rPr>
              <w:t>2</w:t>
            </w:r>
            <w:r w:rsidRPr="00800B07">
              <w:rPr>
                <w:rFonts w:cstheme="minorHAnsi"/>
                <w:sz w:val="18"/>
                <w:szCs w:val="18"/>
                <w:lang w:val="fr-BE"/>
              </w:rPr>
              <w:t>±1</w:t>
            </w:r>
            <w:r>
              <w:rPr>
                <w:rFonts w:cstheme="minorHAnsi"/>
                <w:sz w:val="18"/>
                <w:szCs w:val="18"/>
                <w:lang w:val="fr-BE"/>
              </w:rPr>
              <w:t>.</w:t>
            </w:r>
            <w:r w:rsidRPr="00800B07">
              <w:rPr>
                <w:rFonts w:cstheme="minorHAnsi"/>
                <w:sz w:val="18"/>
                <w:szCs w:val="18"/>
                <w:lang w:val="fr-BE"/>
              </w:rPr>
              <w:t>1</w:t>
            </w:r>
          </w:p>
          <w:p w14:paraId="01CFE321" w14:textId="77777777" w:rsidR="0057187E" w:rsidRPr="00800B07" w:rsidRDefault="0057187E" w:rsidP="0057187E">
            <w:pPr>
              <w:rPr>
                <w:rFonts w:cstheme="minorHAnsi"/>
                <w:sz w:val="18"/>
                <w:szCs w:val="18"/>
              </w:rPr>
            </w:pPr>
            <w:r w:rsidRPr="00800B07">
              <w:rPr>
                <w:rFonts w:cstheme="minorHAnsi"/>
                <w:sz w:val="18"/>
                <w:szCs w:val="18"/>
                <w:lang w:val="fr-BE"/>
              </w:rPr>
              <w:t>1</w:t>
            </w:r>
            <w:r>
              <w:rPr>
                <w:rFonts w:cstheme="minorHAnsi"/>
                <w:sz w:val="18"/>
                <w:szCs w:val="18"/>
                <w:lang w:val="fr-BE"/>
              </w:rPr>
              <w:t>.</w:t>
            </w:r>
            <w:r w:rsidRPr="00800B07">
              <w:rPr>
                <w:rFonts w:cstheme="minorHAnsi"/>
                <w:sz w:val="18"/>
                <w:szCs w:val="18"/>
                <w:lang w:val="fr-BE"/>
              </w:rPr>
              <w:t>0 (0</w:t>
            </w:r>
            <w:r>
              <w:rPr>
                <w:rFonts w:cstheme="minorHAnsi"/>
                <w:sz w:val="18"/>
                <w:szCs w:val="18"/>
                <w:lang w:val="fr-BE"/>
              </w:rPr>
              <w:t>.</w:t>
            </w:r>
            <w:r w:rsidRPr="00800B07">
              <w:rPr>
                <w:rFonts w:cstheme="minorHAnsi"/>
                <w:sz w:val="18"/>
                <w:szCs w:val="18"/>
                <w:lang w:val="fr-BE"/>
              </w:rPr>
              <w:t>2-2</w:t>
            </w:r>
            <w:r>
              <w:rPr>
                <w:rFonts w:cstheme="minorHAnsi"/>
                <w:sz w:val="18"/>
                <w:szCs w:val="18"/>
                <w:lang w:val="fr-BE"/>
              </w:rPr>
              <w:t>.</w:t>
            </w:r>
            <w:r w:rsidRPr="00800B07">
              <w:rPr>
                <w:rFonts w:cstheme="minorHAnsi"/>
                <w:sz w:val="18"/>
                <w:szCs w:val="18"/>
                <w:lang w:val="fr-BE"/>
              </w:rPr>
              <w:t>2)</w:t>
            </w:r>
          </w:p>
        </w:tc>
        <w:tc>
          <w:tcPr>
            <w:tcW w:w="1550" w:type="dxa"/>
          </w:tcPr>
          <w:p w14:paraId="1F491B1E" w14:textId="77777777" w:rsidR="0057187E" w:rsidRPr="00800B07" w:rsidRDefault="0057187E" w:rsidP="0057187E">
            <w:pPr>
              <w:rPr>
                <w:rFonts w:cstheme="minorHAnsi"/>
                <w:sz w:val="18"/>
                <w:szCs w:val="18"/>
                <w:lang w:val="fr-BE"/>
              </w:rPr>
            </w:pPr>
            <w:r w:rsidRPr="00800B07">
              <w:rPr>
                <w:rFonts w:cstheme="minorHAnsi"/>
                <w:sz w:val="18"/>
                <w:szCs w:val="18"/>
              </w:rPr>
              <w:t>1</w:t>
            </w:r>
            <w:r>
              <w:rPr>
                <w:rFonts w:cstheme="minorHAnsi"/>
                <w:sz w:val="18"/>
                <w:szCs w:val="18"/>
              </w:rPr>
              <w:t>.</w:t>
            </w:r>
            <w:r w:rsidRPr="00800B07">
              <w:rPr>
                <w:rFonts w:cstheme="minorHAnsi"/>
                <w:sz w:val="18"/>
                <w:szCs w:val="18"/>
              </w:rPr>
              <w:t>0</w:t>
            </w:r>
            <w:r w:rsidRPr="00800B07">
              <w:rPr>
                <w:rFonts w:cstheme="minorHAnsi"/>
                <w:sz w:val="18"/>
                <w:szCs w:val="18"/>
                <w:lang w:val="fr-BE"/>
              </w:rPr>
              <w:t>±1,6</w:t>
            </w:r>
          </w:p>
          <w:p w14:paraId="52A2153B"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3 (0</w:t>
            </w:r>
            <w:r>
              <w:rPr>
                <w:rFonts w:cstheme="minorHAnsi"/>
                <w:sz w:val="18"/>
                <w:szCs w:val="18"/>
              </w:rPr>
              <w:t>.</w:t>
            </w:r>
            <w:r w:rsidRPr="00800B07">
              <w:rPr>
                <w:rFonts w:cstheme="minorHAnsi"/>
                <w:sz w:val="18"/>
                <w:szCs w:val="18"/>
              </w:rPr>
              <w:t>1-1</w:t>
            </w:r>
            <w:r>
              <w:rPr>
                <w:rFonts w:cstheme="minorHAnsi"/>
                <w:sz w:val="18"/>
                <w:szCs w:val="18"/>
              </w:rPr>
              <w:t>.</w:t>
            </w:r>
            <w:r w:rsidRPr="00800B07">
              <w:rPr>
                <w:rFonts w:cstheme="minorHAnsi"/>
                <w:sz w:val="18"/>
                <w:szCs w:val="18"/>
              </w:rPr>
              <w:t>0)</w:t>
            </w:r>
          </w:p>
        </w:tc>
      </w:tr>
      <w:tr w:rsidR="0057187E" w:rsidRPr="00D21C22" w14:paraId="4EFA44A4" w14:textId="77777777" w:rsidTr="00D21C22">
        <w:trPr>
          <w:trHeight w:val="283"/>
        </w:trPr>
        <w:tc>
          <w:tcPr>
            <w:tcW w:w="14373" w:type="dxa"/>
            <w:gridSpan w:val="9"/>
            <w:shd w:val="clear" w:color="auto" w:fill="E7E6E6" w:themeFill="background2"/>
          </w:tcPr>
          <w:p w14:paraId="63019692" w14:textId="3884E4FE" w:rsidR="0057187E" w:rsidRPr="00800B07" w:rsidRDefault="0057187E" w:rsidP="0057187E">
            <w:pPr>
              <w:rPr>
                <w:rFonts w:cstheme="minorHAnsi"/>
                <w:sz w:val="18"/>
                <w:szCs w:val="18"/>
                <w:lang w:val="en-GB"/>
              </w:rPr>
            </w:pPr>
            <w:r w:rsidRPr="001F53E0">
              <w:rPr>
                <w:rFonts w:cstheme="minorHAnsi"/>
                <w:b/>
                <w:bCs/>
                <w:sz w:val="18"/>
                <w:szCs w:val="18"/>
                <w:lang w:val="en-GB"/>
              </w:rPr>
              <w:t>STONE FORMATION RATE</w:t>
            </w:r>
            <w:r w:rsidRPr="00800B07">
              <w:rPr>
                <w:rFonts w:cstheme="minorHAnsi"/>
                <w:sz w:val="18"/>
                <w:szCs w:val="18"/>
                <w:lang w:val="en-GB"/>
              </w:rPr>
              <w:t xml:space="preserve"> </w:t>
            </w:r>
            <w:r>
              <w:rPr>
                <w:rFonts w:cstheme="minorHAnsi"/>
                <w:sz w:val="18"/>
                <w:szCs w:val="18"/>
                <w:lang w:val="en-GB"/>
              </w:rPr>
              <w:t xml:space="preserve"> </w:t>
            </w:r>
          </w:p>
        </w:tc>
      </w:tr>
      <w:tr w:rsidR="0057187E" w:rsidRPr="00800B07" w14:paraId="0917F94E" w14:textId="77777777" w:rsidTr="0057187E">
        <w:trPr>
          <w:trHeight w:val="20"/>
        </w:trPr>
        <w:tc>
          <w:tcPr>
            <w:tcW w:w="1978" w:type="dxa"/>
            <w:tcBorders>
              <w:right w:val="single" w:sz="12" w:space="0" w:color="auto"/>
            </w:tcBorders>
            <w:shd w:val="clear" w:color="auto" w:fill="auto"/>
          </w:tcPr>
          <w:p w14:paraId="72282D1A" w14:textId="77777777" w:rsidR="0057187E" w:rsidRPr="00800B07" w:rsidRDefault="0057187E" w:rsidP="0057187E">
            <w:pPr>
              <w:rPr>
                <w:rFonts w:cstheme="minorHAnsi"/>
                <w:sz w:val="18"/>
                <w:szCs w:val="18"/>
                <w:lang w:val="en-GB"/>
              </w:rPr>
            </w:pPr>
            <w:r w:rsidRPr="00800B07">
              <w:rPr>
                <w:rFonts w:cstheme="minorHAnsi"/>
                <w:sz w:val="18"/>
                <w:szCs w:val="18"/>
                <w:lang w:val="en-GB"/>
              </w:rPr>
              <w:t>Number of patients</w:t>
            </w:r>
          </w:p>
        </w:tc>
        <w:tc>
          <w:tcPr>
            <w:tcW w:w="154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A57435F" w14:textId="77777777" w:rsidR="0057187E" w:rsidRPr="00800B07" w:rsidRDefault="0057187E" w:rsidP="0057187E">
            <w:pPr>
              <w:rPr>
                <w:rFonts w:cstheme="minorHAnsi"/>
                <w:sz w:val="18"/>
                <w:szCs w:val="18"/>
                <w:lang w:val="en-GB"/>
              </w:rPr>
            </w:pPr>
            <w:r w:rsidRPr="00800B07">
              <w:rPr>
                <w:rFonts w:cstheme="minorHAnsi"/>
                <w:sz w:val="18"/>
                <w:szCs w:val="18"/>
                <w:lang w:val="en-GB"/>
              </w:rPr>
              <w:t>732</w:t>
            </w:r>
          </w:p>
        </w:tc>
        <w:tc>
          <w:tcPr>
            <w:tcW w:w="1549" w:type="dxa"/>
            <w:tcBorders>
              <w:left w:val="single" w:sz="12" w:space="0" w:color="auto"/>
            </w:tcBorders>
            <w:shd w:val="clear" w:color="auto" w:fill="auto"/>
          </w:tcPr>
          <w:p w14:paraId="50C04FFA" w14:textId="77777777" w:rsidR="0057187E" w:rsidRPr="00800B07" w:rsidRDefault="0057187E" w:rsidP="0057187E">
            <w:pPr>
              <w:rPr>
                <w:rFonts w:cstheme="minorHAnsi"/>
                <w:sz w:val="18"/>
                <w:szCs w:val="18"/>
                <w:lang w:val="en-GB"/>
              </w:rPr>
            </w:pPr>
            <w:r w:rsidRPr="00800B07">
              <w:rPr>
                <w:rFonts w:cstheme="minorHAnsi"/>
                <w:sz w:val="18"/>
                <w:szCs w:val="18"/>
                <w:lang w:val="en-GB"/>
              </w:rPr>
              <w:t>328</w:t>
            </w:r>
          </w:p>
        </w:tc>
        <w:tc>
          <w:tcPr>
            <w:tcW w:w="1550" w:type="dxa"/>
            <w:shd w:val="clear" w:color="auto" w:fill="auto"/>
          </w:tcPr>
          <w:p w14:paraId="7CC91A0F" w14:textId="77777777" w:rsidR="0057187E" w:rsidRPr="00800B07" w:rsidRDefault="0057187E" w:rsidP="0057187E">
            <w:pPr>
              <w:rPr>
                <w:rFonts w:cstheme="minorHAnsi"/>
                <w:sz w:val="18"/>
                <w:szCs w:val="18"/>
                <w:lang w:val="en-GB"/>
              </w:rPr>
            </w:pPr>
            <w:r w:rsidRPr="00800B07">
              <w:rPr>
                <w:rFonts w:cstheme="minorHAnsi"/>
                <w:sz w:val="18"/>
                <w:szCs w:val="18"/>
                <w:lang w:val="en-GB"/>
              </w:rPr>
              <w:t>32</w:t>
            </w:r>
          </w:p>
        </w:tc>
        <w:tc>
          <w:tcPr>
            <w:tcW w:w="1549" w:type="dxa"/>
            <w:shd w:val="clear" w:color="auto" w:fill="auto"/>
          </w:tcPr>
          <w:p w14:paraId="49F9B566" w14:textId="77777777" w:rsidR="0057187E" w:rsidRPr="00800B07" w:rsidRDefault="0057187E" w:rsidP="0057187E">
            <w:pPr>
              <w:rPr>
                <w:rFonts w:cstheme="minorHAnsi"/>
                <w:sz w:val="18"/>
                <w:szCs w:val="18"/>
                <w:lang w:val="en-GB"/>
              </w:rPr>
            </w:pPr>
            <w:r w:rsidRPr="00800B07">
              <w:rPr>
                <w:rFonts w:cstheme="minorHAnsi"/>
                <w:sz w:val="18"/>
                <w:szCs w:val="18"/>
                <w:lang w:val="en-GB"/>
              </w:rPr>
              <w:t>17</w:t>
            </w:r>
          </w:p>
        </w:tc>
        <w:tc>
          <w:tcPr>
            <w:tcW w:w="1549" w:type="dxa"/>
            <w:shd w:val="clear" w:color="auto" w:fill="auto"/>
          </w:tcPr>
          <w:p w14:paraId="0BB0DEF4" w14:textId="77777777" w:rsidR="0057187E" w:rsidRPr="00800B07" w:rsidRDefault="0057187E" w:rsidP="0057187E">
            <w:pPr>
              <w:rPr>
                <w:rFonts w:cstheme="minorHAnsi"/>
                <w:sz w:val="18"/>
                <w:szCs w:val="18"/>
                <w:lang w:val="en-GB"/>
              </w:rPr>
            </w:pPr>
            <w:r w:rsidRPr="00800B07">
              <w:rPr>
                <w:rFonts w:cstheme="minorHAnsi"/>
                <w:sz w:val="18"/>
                <w:szCs w:val="18"/>
                <w:lang w:val="en-GB"/>
              </w:rPr>
              <w:t>16</w:t>
            </w:r>
          </w:p>
        </w:tc>
        <w:tc>
          <w:tcPr>
            <w:tcW w:w="1550" w:type="dxa"/>
            <w:shd w:val="clear" w:color="auto" w:fill="auto"/>
          </w:tcPr>
          <w:p w14:paraId="1B65E267" w14:textId="77777777" w:rsidR="0057187E" w:rsidRPr="00800B07" w:rsidRDefault="0057187E" w:rsidP="0057187E">
            <w:pPr>
              <w:rPr>
                <w:rFonts w:cstheme="minorHAnsi"/>
                <w:sz w:val="18"/>
                <w:szCs w:val="18"/>
                <w:lang w:val="en-GB"/>
              </w:rPr>
            </w:pPr>
            <w:r w:rsidRPr="00800B07">
              <w:rPr>
                <w:rFonts w:cstheme="minorHAnsi"/>
                <w:sz w:val="18"/>
                <w:szCs w:val="18"/>
                <w:lang w:val="en-GB"/>
              </w:rPr>
              <w:t>10</w:t>
            </w:r>
          </w:p>
        </w:tc>
        <w:tc>
          <w:tcPr>
            <w:tcW w:w="1549" w:type="dxa"/>
            <w:shd w:val="clear" w:color="auto" w:fill="auto"/>
          </w:tcPr>
          <w:p w14:paraId="2EAB3FE4" w14:textId="77777777" w:rsidR="0057187E" w:rsidRPr="00800B07" w:rsidRDefault="0057187E" w:rsidP="0057187E">
            <w:pPr>
              <w:rPr>
                <w:rFonts w:cstheme="minorHAnsi"/>
                <w:sz w:val="18"/>
                <w:szCs w:val="18"/>
                <w:lang w:val="en-GB"/>
              </w:rPr>
            </w:pPr>
            <w:r w:rsidRPr="00800B07">
              <w:rPr>
                <w:rFonts w:cstheme="minorHAnsi"/>
                <w:sz w:val="18"/>
                <w:szCs w:val="18"/>
                <w:lang w:val="en-GB"/>
              </w:rPr>
              <w:t>10</w:t>
            </w:r>
          </w:p>
        </w:tc>
        <w:tc>
          <w:tcPr>
            <w:tcW w:w="1550" w:type="dxa"/>
            <w:shd w:val="clear" w:color="auto" w:fill="auto"/>
          </w:tcPr>
          <w:p w14:paraId="7ABEE9B0" w14:textId="77777777" w:rsidR="0057187E" w:rsidRPr="00800B07" w:rsidRDefault="0057187E" w:rsidP="0057187E">
            <w:pPr>
              <w:rPr>
                <w:rFonts w:cstheme="minorHAnsi"/>
                <w:sz w:val="18"/>
                <w:szCs w:val="18"/>
                <w:lang w:val="en-GB"/>
              </w:rPr>
            </w:pPr>
            <w:r w:rsidRPr="00800B07">
              <w:rPr>
                <w:rFonts w:cstheme="minorHAnsi"/>
                <w:sz w:val="18"/>
                <w:szCs w:val="18"/>
                <w:lang w:val="en-GB"/>
              </w:rPr>
              <w:t>8</w:t>
            </w:r>
          </w:p>
        </w:tc>
      </w:tr>
      <w:tr w:rsidR="0057187E" w:rsidRPr="00800B07" w14:paraId="3E7684CB" w14:textId="77777777" w:rsidTr="0057187E">
        <w:trPr>
          <w:trHeight w:val="20"/>
        </w:trPr>
        <w:tc>
          <w:tcPr>
            <w:tcW w:w="1978" w:type="dxa"/>
            <w:tcBorders>
              <w:right w:val="single" w:sz="12" w:space="0" w:color="auto"/>
            </w:tcBorders>
            <w:shd w:val="clear" w:color="auto" w:fill="auto"/>
          </w:tcPr>
          <w:p w14:paraId="77C3DC41" w14:textId="77777777" w:rsidR="0057187E" w:rsidRPr="00800B07" w:rsidRDefault="0057187E" w:rsidP="0057187E">
            <w:pPr>
              <w:rPr>
                <w:rFonts w:cstheme="minorHAnsi"/>
                <w:sz w:val="18"/>
                <w:szCs w:val="18"/>
                <w:lang w:val="en-GB"/>
              </w:rPr>
            </w:pPr>
            <w:proofErr w:type="spellStart"/>
            <w:r w:rsidRPr="00800B07">
              <w:rPr>
                <w:rFonts w:cstheme="minorHAnsi"/>
                <w:sz w:val="18"/>
                <w:szCs w:val="18"/>
                <w:lang w:val="en-GB"/>
              </w:rPr>
              <w:t>Mean±SD</w:t>
            </w:r>
            <w:proofErr w:type="spellEnd"/>
            <w:r>
              <w:rPr>
                <w:rFonts w:cstheme="minorHAnsi"/>
                <w:sz w:val="18"/>
                <w:szCs w:val="18"/>
                <w:lang w:val="en-GB"/>
              </w:rPr>
              <w:t xml:space="preserve"> (per yr)</w:t>
            </w:r>
          </w:p>
          <w:p w14:paraId="2FE5AF49" w14:textId="77777777" w:rsidR="0057187E" w:rsidRPr="00800B07" w:rsidRDefault="0057187E" w:rsidP="0057187E">
            <w:pPr>
              <w:rPr>
                <w:rFonts w:cstheme="minorHAnsi"/>
                <w:sz w:val="18"/>
                <w:szCs w:val="18"/>
                <w:lang w:val="en-GB"/>
              </w:rPr>
            </w:pPr>
            <w:r w:rsidRPr="00800B07">
              <w:rPr>
                <w:rFonts w:cstheme="minorHAnsi"/>
                <w:sz w:val="18"/>
                <w:szCs w:val="18"/>
                <w:lang w:val="en-GB"/>
              </w:rPr>
              <w:t>Median (IQR)</w:t>
            </w:r>
            <w:r>
              <w:rPr>
                <w:rFonts w:cstheme="minorHAnsi"/>
                <w:sz w:val="18"/>
                <w:szCs w:val="18"/>
                <w:lang w:val="en-GB"/>
              </w:rPr>
              <w:t xml:space="preserve"> (per yr)</w:t>
            </w:r>
          </w:p>
        </w:tc>
        <w:tc>
          <w:tcPr>
            <w:tcW w:w="154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9825F29" w14:textId="77777777" w:rsidR="0057187E" w:rsidRPr="00800B07" w:rsidRDefault="0057187E" w:rsidP="0057187E">
            <w:pPr>
              <w:rPr>
                <w:rFonts w:cstheme="minorHAnsi"/>
                <w:sz w:val="18"/>
                <w:szCs w:val="18"/>
                <w:lang w:val="fr-BE"/>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7</w:t>
            </w: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9</w:t>
            </w:r>
          </w:p>
          <w:p w14:paraId="398960FE" w14:textId="77777777" w:rsidR="0057187E" w:rsidRPr="00800B07" w:rsidRDefault="0057187E" w:rsidP="0057187E">
            <w:pPr>
              <w:rPr>
                <w:rFonts w:cstheme="minorHAnsi"/>
                <w:sz w:val="18"/>
                <w:szCs w:val="18"/>
                <w:lang w:val="en-GB"/>
              </w:rPr>
            </w:pP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4 (0</w:t>
            </w:r>
            <w:r>
              <w:rPr>
                <w:rFonts w:cstheme="minorHAnsi"/>
                <w:sz w:val="18"/>
                <w:szCs w:val="18"/>
                <w:lang w:val="fr-BE"/>
              </w:rPr>
              <w:t>.</w:t>
            </w:r>
            <w:r w:rsidRPr="00800B07">
              <w:rPr>
                <w:rFonts w:cstheme="minorHAnsi"/>
                <w:sz w:val="18"/>
                <w:szCs w:val="18"/>
                <w:lang w:val="fr-BE"/>
              </w:rPr>
              <w:t>2-0</w:t>
            </w:r>
            <w:r>
              <w:rPr>
                <w:rFonts w:cstheme="minorHAnsi"/>
                <w:sz w:val="18"/>
                <w:szCs w:val="18"/>
                <w:lang w:val="fr-BE"/>
              </w:rPr>
              <w:t>.</w:t>
            </w:r>
            <w:r w:rsidRPr="00800B07">
              <w:rPr>
                <w:rFonts w:cstheme="minorHAnsi"/>
                <w:sz w:val="18"/>
                <w:szCs w:val="18"/>
                <w:lang w:val="fr-BE"/>
              </w:rPr>
              <w:t>8)</w:t>
            </w:r>
          </w:p>
        </w:tc>
        <w:tc>
          <w:tcPr>
            <w:tcW w:w="1549" w:type="dxa"/>
            <w:tcBorders>
              <w:left w:val="single" w:sz="12" w:space="0" w:color="auto"/>
            </w:tcBorders>
            <w:shd w:val="clear" w:color="auto" w:fill="auto"/>
          </w:tcPr>
          <w:p w14:paraId="665AB37B" w14:textId="77777777" w:rsidR="0057187E" w:rsidRPr="00800B07" w:rsidRDefault="0057187E" w:rsidP="0057187E">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8</w:t>
            </w:r>
            <w:r w:rsidRPr="00800B07">
              <w:rPr>
                <w:rFonts w:cstheme="minorHAnsi"/>
                <w:sz w:val="18"/>
                <w:szCs w:val="18"/>
                <w:lang w:val="fr-BE"/>
              </w:rPr>
              <w:t>±</w:t>
            </w:r>
            <w:r w:rsidRPr="00800B07">
              <w:rPr>
                <w:rFonts w:cstheme="minorHAnsi"/>
                <w:sz w:val="18"/>
                <w:szCs w:val="18"/>
                <w:lang w:val="en-GB"/>
              </w:rPr>
              <w:t>1</w:t>
            </w:r>
            <w:r>
              <w:rPr>
                <w:rFonts w:cstheme="minorHAnsi"/>
                <w:sz w:val="18"/>
                <w:szCs w:val="18"/>
                <w:lang w:val="en-GB"/>
              </w:rPr>
              <w:t>.</w:t>
            </w:r>
            <w:r w:rsidRPr="00800B07">
              <w:rPr>
                <w:rFonts w:cstheme="minorHAnsi"/>
                <w:sz w:val="18"/>
                <w:szCs w:val="18"/>
                <w:lang w:val="en-GB"/>
              </w:rPr>
              <w:t>1</w:t>
            </w:r>
          </w:p>
          <w:p w14:paraId="40A47344" w14:textId="77777777" w:rsidR="0057187E" w:rsidRPr="00800B07" w:rsidRDefault="0057187E" w:rsidP="0057187E">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 (0</w:t>
            </w:r>
            <w:r>
              <w:rPr>
                <w:rFonts w:cstheme="minorHAnsi"/>
                <w:sz w:val="18"/>
                <w:szCs w:val="18"/>
                <w:lang w:val="en-GB"/>
              </w:rPr>
              <w:t>.</w:t>
            </w:r>
            <w:r w:rsidRPr="00800B07">
              <w:rPr>
                <w:rFonts w:cstheme="minorHAnsi"/>
                <w:sz w:val="18"/>
                <w:szCs w:val="18"/>
                <w:lang w:val="en-GB"/>
              </w:rPr>
              <w:t>2-0</w:t>
            </w:r>
            <w:r>
              <w:rPr>
                <w:rFonts w:cstheme="minorHAnsi"/>
                <w:sz w:val="18"/>
                <w:szCs w:val="18"/>
                <w:lang w:val="en-GB"/>
              </w:rPr>
              <w:t>.</w:t>
            </w:r>
            <w:r w:rsidRPr="00800B07">
              <w:rPr>
                <w:rFonts w:cstheme="minorHAnsi"/>
                <w:sz w:val="18"/>
                <w:szCs w:val="18"/>
                <w:lang w:val="en-GB"/>
              </w:rPr>
              <w:t>9)</w:t>
            </w:r>
          </w:p>
        </w:tc>
        <w:tc>
          <w:tcPr>
            <w:tcW w:w="1550" w:type="dxa"/>
            <w:shd w:val="clear" w:color="auto" w:fill="auto"/>
          </w:tcPr>
          <w:p w14:paraId="7FE6BBA9" w14:textId="77777777" w:rsidR="0057187E" w:rsidRPr="00800B07" w:rsidRDefault="0057187E" w:rsidP="0057187E">
            <w:pPr>
              <w:rPr>
                <w:rFonts w:cstheme="minorHAnsi"/>
                <w:sz w:val="18"/>
                <w:szCs w:val="18"/>
                <w:lang w:val="fr-BE"/>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7</w:t>
            </w: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7</w:t>
            </w:r>
          </w:p>
          <w:p w14:paraId="51BA38EE" w14:textId="77777777" w:rsidR="0057187E" w:rsidRPr="00800B07" w:rsidRDefault="0057187E" w:rsidP="0057187E">
            <w:pPr>
              <w:rPr>
                <w:rFonts w:cstheme="minorHAnsi"/>
                <w:sz w:val="18"/>
                <w:szCs w:val="18"/>
                <w:lang w:val="en-GB"/>
              </w:rPr>
            </w:pP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5 (0</w:t>
            </w:r>
            <w:r>
              <w:rPr>
                <w:rFonts w:cstheme="minorHAnsi"/>
                <w:sz w:val="18"/>
                <w:szCs w:val="18"/>
                <w:lang w:val="fr-BE"/>
              </w:rPr>
              <w:t>.</w:t>
            </w:r>
            <w:r w:rsidRPr="00800B07">
              <w:rPr>
                <w:rFonts w:cstheme="minorHAnsi"/>
                <w:sz w:val="18"/>
                <w:szCs w:val="18"/>
                <w:lang w:val="fr-BE"/>
              </w:rPr>
              <w:t>2-1</w:t>
            </w:r>
            <w:r>
              <w:rPr>
                <w:rFonts w:cstheme="minorHAnsi"/>
                <w:sz w:val="18"/>
                <w:szCs w:val="18"/>
                <w:lang w:val="fr-BE"/>
              </w:rPr>
              <w:t>.</w:t>
            </w:r>
            <w:r w:rsidRPr="00800B07">
              <w:rPr>
                <w:rFonts w:cstheme="minorHAnsi"/>
                <w:sz w:val="18"/>
                <w:szCs w:val="18"/>
                <w:lang w:val="fr-BE"/>
              </w:rPr>
              <w:t>0)</w:t>
            </w:r>
          </w:p>
        </w:tc>
        <w:tc>
          <w:tcPr>
            <w:tcW w:w="1549" w:type="dxa"/>
            <w:shd w:val="clear" w:color="auto" w:fill="auto"/>
          </w:tcPr>
          <w:p w14:paraId="7026EA16" w14:textId="77777777" w:rsidR="0057187E" w:rsidRPr="00800B07" w:rsidRDefault="0057187E" w:rsidP="0057187E">
            <w:pPr>
              <w:rPr>
                <w:rFonts w:cstheme="minorHAnsi"/>
                <w:sz w:val="18"/>
                <w:szCs w:val="18"/>
                <w:lang w:val="fr-BE"/>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6</w:t>
            </w:r>
          </w:p>
          <w:p w14:paraId="1FEF2FDA" w14:textId="77777777" w:rsidR="0057187E" w:rsidRPr="00800B07" w:rsidRDefault="0057187E" w:rsidP="0057187E">
            <w:pPr>
              <w:rPr>
                <w:rFonts w:cstheme="minorHAnsi"/>
                <w:sz w:val="18"/>
                <w:szCs w:val="18"/>
                <w:lang w:val="en-GB"/>
              </w:rPr>
            </w:pP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4 (0</w:t>
            </w:r>
            <w:r>
              <w:rPr>
                <w:rFonts w:cstheme="minorHAnsi"/>
                <w:sz w:val="18"/>
                <w:szCs w:val="18"/>
                <w:lang w:val="fr-BE"/>
              </w:rPr>
              <w:t>.</w:t>
            </w:r>
            <w:r w:rsidRPr="00800B07">
              <w:rPr>
                <w:rFonts w:cstheme="minorHAnsi"/>
                <w:sz w:val="18"/>
                <w:szCs w:val="18"/>
                <w:lang w:val="fr-BE"/>
              </w:rPr>
              <w:t>2-0</w:t>
            </w:r>
            <w:r>
              <w:rPr>
                <w:rFonts w:cstheme="minorHAnsi"/>
                <w:sz w:val="18"/>
                <w:szCs w:val="18"/>
                <w:lang w:val="fr-BE"/>
              </w:rPr>
              <w:t>.</w:t>
            </w:r>
            <w:r w:rsidRPr="00800B07">
              <w:rPr>
                <w:rFonts w:cstheme="minorHAnsi"/>
                <w:sz w:val="18"/>
                <w:szCs w:val="18"/>
                <w:lang w:val="fr-BE"/>
              </w:rPr>
              <w:t>4)</w:t>
            </w:r>
          </w:p>
        </w:tc>
        <w:tc>
          <w:tcPr>
            <w:tcW w:w="1549" w:type="dxa"/>
            <w:shd w:val="clear" w:color="auto" w:fill="auto"/>
          </w:tcPr>
          <w:p w14:paraId="360B7A5D" w14:textId="77777777" w:rsidR="0057187E" w:rsidRPr="00800B07" w:rsidRDefault="0057187E" w:rsidP="0057187E">
            <w:pPr>
              <w:rPr>
                <w:rFonts w:cstheme="minorHAnsi"/>
                <w:sz w:val="18"/>
                <w:szCs w:val="18"/>
                <w:lang w:val="fr-BE"/>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w:t>
            </w:r>
            <w:r w:rsidRPr="00800B07">
              <w:rPr>
                <w:rFonts w:cstheme="minorHAnsi"/>
                <w:sz w:val="18"/>
                <w:szCs w:val="18"/>
                <w:lang w:val="fr-BE"/>
              </w:rPr>
              <w:t>±0,4</w:t>
            </w:r>
          </w:p>
          <w:p w14:paraId="71621627" w14:textId="77777777" w:rsidR="0057187E" w:rsidRPr="00800B07" w:rsidRDefault="0057187E" w:rsidP="0057187E">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2 (0</w:t>
            </w:r>
            <w:r>
              <w:rPr>
                <w:rFonts w:cstheme="minorHAnsi"/>
                <w:sz w:val="18"/>
                <w:szCs w:val="18"/>
                <w:lang w:val="en-GB"/>
              </w:rPr>
              <w:t>.</w:t>
            </w:r>
            <w:r w:rsidRPr="00800B07">
              <w:rPr>
                <w:rFonts w:cstheme="minorHAnsi"/>
                <w:sz w:val="18"/>
                <w:szCs w:val="18"/>
                <w:lang w:val="en-GB"/>
              </w:rPr>
              <w:t>2-0</w:t>
            </w:r>
            <w:r>
              <w:rPr>
                <w:rFonts w:cstheme="minorHAnsi"/>
                <w:sz w:val="18"/>
                <w:szCs w:val="18"/>
                <w:lang w:val="en-GB"/>
              </w:rPr>
              <w:t>.</w:t>
            </w:r>
            <w:r w:rsidRPr="00800B07">
              <w:rPr>
                <w:rFonts w:cstheme="minorHAnsi"/>
                <w:sz w:val="18"/>
                <w:szCs w:val="18"/>
                <w:lang w:val="en-GB"/>
              </w:rPr>
              <w:t>5)</w:t>
            </w:r>
          </w:p>
        </w:tc>
        <w:tc>
          <w:tcPr>
            <w:tcW w:w="1550" w:type="dxa"/>
            <w:shd w:val="clear" w:color="auto" w:fill="auto"/>
          </w:tcPr>
          <w:p w14:paraId="5AF8C43C" w14:textId="77777777" w:rsidR="0057187E" w:rsidRPr="00800B07" w:rsidRDefault="0057187E" w:rsidP="0057187E">
            <w:pPr>
              <w:rPr>
                <w:rFonts w:cstheme="minorHAnsi"/>
                <w:sz w:val="18"/>
                <w:szCs w:val="18"/>
                <w:lang w:val="fr-BE"/>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6</w:t>
            </w: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4</w:t>
            </w:r>
          </w:p>
          <w:p w14:paraId="148D2B8F" w14:textId="77777777" w:rsidR="0057187E" w:rsidRPr="00800B07" w:rsidRDefault="0057187E" w:rsidP="0057187E">
            <w:pPr>
              <w:rPr>
                <w:rFonts w:cstheme="minorHAnsi"/>
                <w:sz w:val="18"/>
                <w:szCs w:val="18"/>
                <w:lang w:val="en-GB"/>
              </w:rPr>
            </w:pP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5 (0</w:t>
            </w:r>
            <w:r>
              <w:rPr>
                <w:rFonts w:cstheme="minorHAnsi"/>
                <w:sz w:val="18"/>
                <w:szCs w:val="18"/>
                <w:lang w:val="fr-BE"/>
              </w:rPr>
              <w:t>.</w:t>
            </w:r>
            <w:r w:rsidRPr="00800B07">
              <w:rPr>
                <w:rFonts w:cstheme="minorHAnsi"/>
                <w:sz w:val="18"/>
                <w:szCs w:val="18"/>
                <w:lang w:val="fr-BE"/>
              </w:rPr>
              <w:t>2-0</w:t>
            </w:r>
            <w:r>
              <w:rPr>
                <w:rFonts w:cstheme="minorHAnsi"/>
                <w:sz w:val="18"/>
                <w:szCs w:val="18"/>
                <w:lang w:val="fr-BE"/>
              </w:rPr>
              <w:t>.</w:t>
            </w:r>
            <w:r w:rsidRPr="00800B07">
              <w:rPr>
                <w:rFonts w:cstheme="minorHAnsi"/>
                <w:sz w:val="18"/>
                <w:szCs w:val="18"/>
                <w:lang w:val="fr-BE"/>
              </w:rPr>
              <w:t>9)</w:t>
            </w:r>
          </w:p>
        </w:tc>
        <w:tc>
          <w:tcPr>
            <w:tcW w:w="1549" w:type="dxa"/>
            <w:shd w:val="clear" w:color="auto" w:fill="auto"/>
          </w:tcPr>
          <w:p w14:paraId="06CCC6CC" w14:textId="77777777" w:rsidR="0057187E" w:rsidRPr="00800B07" w:rsidRDefault="0057187E" w:rsidP="0057187E">
            <w:pPr>
              <w:rPr>
                <w:rFonts w:cstheme="minorHAnsi"/>
                <w:sz w:val="18"/>
                <w:szCs w:val="18"/>
                <w:lang w:val="fr-BE"/>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5</w:t>
            </w: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3</w:t>
            </w:r>
          </w:p>
          <w:p w14:paraId="78F33C46" w14:textId="77777777" w:rsidR="0057187E" w:rsidRPr="00800B07" w:rsidRDefault="0057187E" w:rsidP="0057187E">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5 (0</w:t>
            </w:r>
            <w:r>
              <w:rPr>
                <w:rFonts w:cstheme="minorHAnsi"/>
                <w:sz w:val="18"/>
                <w:szCs w:val="18"/>
                <w:lang w:val="en-GB"/>
              </w:rPr>
              <w:t>.</w:t>
            </w:r>
            <w:r w:rsidRPr="00800B07">
              <w:rPr>
                <w:rFonts w:cstheme="minorHAnsi"/>
                <w:sz w:val="18"/>
                <w:szCs w:val="18"/>
                <w:lang w:val="en-GB"/>
              </w:rPr>
              <w:t>3-0</w:t>
            </w:r>
            <w:r>
              <w:rPr>
                <w:rFonts w:cstheme="minorHAnsi"/>
                <w:sz w:val="18"/>
                <w:szCs w:val="18"/>
                <w:lang w:val="en-GB"/>
              </w:rPr>
              <w:t>.</w:t>
            </w:r>
            <w:r w:rsidRPr="00800B07">
              <w:rPr>
                <w:rFonts w:cstheme="minorHAnsi"/>
                <w:sz w:val="18"/>
                <w:szCs w:val="18"/>
                <w:lang w:val="en-GB"/>
              </w:rPr>
              <w:t>8)</w:t>
            </w:r>
          </w:p>
        </w:tc>
        <w:tc>
          <w:tcPr>
            <w:tcW w:w="1550" w:type="dxa"/>
            <w:shd w:val="clear" w:color="auto" w:fill="auto"/>
          </w:tcPr>
          <w:p w14:paraId="265C442A" w14:textId="77777777" w:rsidR="0057187E" w:rsidRPr="00800B07" w:rsidRDefault="0057187E" w:rsidP="0057187E">
            <w:pPr>
              <w:rPr>
                <w:rFonts w:cstheme="minorHAnsi"/>
                <w:sz w:val="18"/>
                <w:szCs w:val="18"/>
                <w:lang w:val="fr-BE"/>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6</w:t>
            </w: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6</w:t>
            </w:r>
          </w:p>
          <w:p w14:paraId="3CAFC71D" w14:textId="77777777" w:rsidR="0057187E" w:rsidRPr="00800B07" w:rsidRDefault="0057187E" w:rsidP="0057187E">
            <w:pPr>
              <w:rPr>
                <w:rFonts w:cstheme="minorHAnsi"/>
                <w:sz w:val="18"/>
                <w:szCs w:val="18"/>
                <w:lang w:val="en-GB"/>
              </w:rPr>
            </w:pPr>
            <w:r w:rsidRPr="00800B07">
              <w:rPr>
                <w:rFonts w:cstheme="minorHAnsi"/>
                <w:sz w:val="18"/>
                <w:szCs w:val="18"/>
                <w:lang w:val="fr-BE"/>
              </w:rPr>
              <w:t>0</w:t>
            </w:r>
            <w:r>
              <w:rPr>
                <w:rFonts w:cstheme="minorHAnsi"/>
                <w:sz w:val="18"/>
                <w:szCs w:val="18"/>
                <w:lang w:val="fr-BE"/>
              </w:rPr>
              <w:t>.</w:t>
            </w:r>
            <w:r w:rsidRPr="00800B07">
              <w:rPr>
                <w:rFonts w:cstheme="minorHAnsi"/>
                <w:sz w:val="18"/>
                <w:szCs w:val="18"/>
                <w:lang w:val="fr-BE"/>
              </w:rPr>
              <w:t>4 (0</w:t>
            </w:r>
            <w:r>
              <w:rPr>
                <w:rFonts w:cstheme="minorHAnsi"/>
                <w:sz w:val="18"/>
                <w:szCs w:val="18"/>
                <w:lang w:val="fr-BE"/>
              </w:rPr>
              <w:t>.</w:t>
            </w:r>
            <w:r w:rsidRPr="00800B07">
              <w:rPr>
                <w:rFonts w:cstheme="minorHAnsi"/>
                <w:sz w:val="18"/>
                <w:szCs w:val="18"/>
                <w:lang w:val="fr-BE"/>
              </w:rPr>
              <w:t>2-0</w:t>
            </w:r>
            <w:r>
              <w:rPr>
                <w:rFonts w:cstheme="minorHAnsi"/>
                <w:sz w:val="18"/>
                <w:szCs w:val="18"/>
                <w:lang w:val="fr-BE"/>
              </w:rPr>
              <w:t>.</w:t>
            </w:r>
            <w:r w:rsidRPr="00800B07">
              <w:rPr>
                <w:rFonts w:cstheme="minorHAnsi"/>
                <w:sz w:val="18"/>
                <w:szCs w:val="18"/>
                <w:lang w:val="fr-BE"/>
              </w:rPr>
              <w:t>8)</w:t>
            </w:r>
          </w:p>
        </w:tc>
      </w:tr>
      <w:tr w:rsidR="0057187E" w:rsidRPr="00D21C22" w14:paraId="6B47D06C" w14:textId="77777777" w:rsidTr="00D21C22">
        <w:trPr>
          <w:trHeight w:val="283"/>
        </w:trPr>
        <w:tc>
          <w:tcPr>
            <w:tcW w:w="14373" w:type="dxa"/>
            <w:gridSpan w:val="9"/>
            <w:shd w:val="clear" w:color="auto" w:fill="E7E6E6" w:themeFill="background2"/>
          </w:tcPr>
          <w:p w14:paraId="63D130BE" w14:textId="21E36822" w:rsidR="0057187E" w:rsidRPr="00800B07" w:rsidRDefault="0057187E" w:rsidP="0057187E">
            <w:pPr>
              <w:rPr>
                <w:rFonts w:cstheme="minorHAnsi"/>
                <w:sz w:val="18"/>
                <w:szCs w:val="18"/>
                <w:lang w:val="en-GB"/>
              </w:rPr>
            </w:pPr>
            <w:r w:rsidRPr="001F53E0">
              <w:rPr>
                <w:rFonts w:cstheme="minorHAnsi"/>
                <w:b/>
                <w:bCs/>
                <w:sz w:val="18"/>
                <w:szCs w:val="18"/>
                <w:lang w:val="en-GB"/>
              </w:rPr>
              <w:t>UROLOGICAL INTERVENTION RATE</w:t>
            </w:r>
            <w:r>
              <w:rPr>
                <w:rFonts w:cstheme="minorHAnsi"/>
                <w:sz w:val="18"/>
                <w:szCs w:val="18"/>
                <w:lang w:val="en-GB"/>
              </w:rPr>
              <w:t xml:space="preserve"> </w:t>
            </w:r>
          </w:p>
        </w:tc>
      </w:tr>
      <w:tr w:rsidR="0057187E" w:rsidRPr="00800B07" w14:paraId="78EFB242" w14:textId="77777777" w:rsidTr="0057187E">
        <w:trPr>
          <w:trHeight w:val="20"/>
        </w:trPr>
        <w:tc>
          <w:tcPr>
            <w:tcW w:w="1978" w:type="dxa"/>
            <w:tcBorders>
              <w:right w:val="single" w:sz="12" w:space="0" w:color="auto"/>
            </w:tcBorders>
            <w:shd w:val="clear" w:color="auto" w:fill="auto"/>
          </w:tcPr>
          <w:p w14:paraId="3D13B28D" w14:textId="77777777" w:rsidR="0057187E" w:rsidRPr="00800B07" w:rsidRDefault="0057187E" w:rsidP="0057187E">
            <w:pPr>
              <w:rPr>
                <w:rFonts w:cstheme="minorHAnsi"/>
                <w:sz w:val="18"/>
                <w:szCs w:val="18"/>
                <w:lang w:val="en-GB"/>
              </w:rPr>
            </w:pPr>
            <w:r w:rsidRPr="00800B07">
              <w:rPr>
                <w:rFonts w:cstheme="minorHAnsi"/>
                <w:sz w:val="18"/>
                <w:szCs w:val="18"/>
                <w:lang w:val="en-GB"/>
              </w:rPr>
              <w:t>Number of patients</w:t>
            </w:r>
          </w:p>
        </w:tc>
        <w:tc>
          <w:tcPr>
            <w:tcW w:w="154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7B593AE" w14:textId="77777777" w:rsidR="0057187E" w:rsidRPr="00800B07" w:rsidRDefault="0057187E" w:rsidP="0057187E">
            <w:pPr>
              <w:rPr>
                <w:rFonts w:cstheme="minorHAnsi"/>
                <w:sz w:val="18"/>
                <w:szCs w:val="18"/>
                <w:lang w:val="en-GB"/>
              </w:rPr>
            </w:pPr>
            <w:r w:rsidRPr="00800B07">
              <w:rPr>
                <w:rFonts w:cstheme="minorHAnsi"/>
                <w:sz w:val="18"/>
                <w:szCs w:val="18"/>
                <w:lang w:val="en-GB"/>
              </w:rPr>
              <w:t>780</w:t>
            </w:r>
          </w:p>
        </w:tc>
        <w:tc>
          <w:tcPr>
            <w:tcW w:w="1549" w:type="dxa"/>
            <w:tcBorders>
              <w:left w:val="single" w:sz="12" w:space="0" w:color="auto"/>
            </w:tcBorders>
            <w:shd w:val="clear" w:color="auto" w:fill="auto"/>
          </w:tcPr>
          <w:p w14:paraId="4BEF467D" w14:textId="77777777" w:rsidR="0057187E" w:rsidRPr="00800B07" w:rsidRDefault="0057187E" w:rsidP="0057187E">
            <w:pPr>
              <w:rPr>
                <w:rFonts w:cstheme="minorHAnsi"/>
                <w:sz w:val="18"/>
                <w:szCs w:val="18"/>
                <w:lang w:val="en-GB"/>
              </w:rPr>
            </w:pPr>
            <w:r w:rsidRPr="00800B07">
              <w:rPr>
                <w:rFonts w:cstheme="minorHAnsi"/>
                <w:sz w:val="18"/>
                <w:szCs w:val="18"/>
                <w:lang w:val="en-GB"/>
              </w:rPr>
              <w:t>356</w:t>
            </w:r>
          </w:p>
        </w:tc>
        <w:tc>
          <w:tcPr>
            <w:tcW w:w="1550" w:type="dxa"/>
            <w:shd w:val="clear" w:color="auto" w:fill="auto"/>
          </w:tcPr>
          <w:p w14:paraId="356FFFCE" w14:textId="77777777" w:rsidR="0057187E" w:rsidRPr="00800B07" w:rsidRDefault="0057187E" w:rsidP="0057187E">
            <w:pPr>
              <w:rPr>
                <w:rFonts w:cstheme="minorHAnsi"/>
                <w:sz w:val="18"/>
                <w:szCs w:val="18"/>
                <w:lang w:val="en-GB"/>
              </w:rPr>
            </w:pPr>
            <w:r w:rsidRPr="00800B07">
              <w:rPr>
                <w:rFonts w:cstheme="minorHAnsi"/>
                <w:sz w:val="18"/>
                <w:szCs w:val="18"/>
                <w:lang w:val="en-GB"/>
              </w:rPr>
              <w:t>35</w:t>
            </w:r>
          </w:p>
        </w:tc>
        <w:tc>
          <w:tcPr>
            <w:tcW w:w="1549" w:type="dxa"/>
            <w:shd w:val="clear" w:color="auto" w:fill="auto"/>
          </w:tcPr>
          <w:p w14:paraId="24B545DF" w14:textId="77777777" w:rsidR="0057187E" w:rsidRPr="00800B07" w:rsidRDefault="0057187E" w:rsidP="0057187E">
            <w:pPr>
              <w:rPr>
                <w:rFonts w:cstheme="minorHAnsi"/>
                <w:sz w:val="18"/>
                <w:szCs w:val="18"/>
                <w:lang w:val="en-GB"/>
              </w:rPr>
            </w:pPr>
            <w:r w:rsidRPr="00800B07">
              <w:rPr>
                <w:rFonts w:cstheme="minorHAnsi"/>
                <w:sz w:val="18"/>
                <w:szCs w:val="18"/>
                <w:lang w:val="en-GB"/>
              </w:rPr>
              <w:t>17</w:t>
            </w:r>
          </w:p>
        </w:tc>
        <w:tc>
          <w:tcPr>
            <w:tcW w:w="1549" w:type="dxa"/>
            <w:shd w:val="clear" w:color="auto" w:fill="auto"/>
          </w:tcPr>
          <w:p w14:paraId="59465327" w14:textId="77777777" w:rsidR="0057187E" w:rsidRPr="00800B07" w:rsidRDefault="0057187E" w:rsidP="0057187E">
            <w:pPr>
              <w:rPr>
                <w:rFonts w:cstheme="minorHAnsi"/>
                <w:sz w:val="18"/>
                <w:szCs w:val="18"/>
                <w:lang w:val="en-GB"/>
              </w:rPr>
            </w:pPr>
            <w:r w:rsidRPr="00800B07">
              <w:rPr>
                <w:rFonts w:cstheme="minorHAnsi"/>
                <w:sz w:val="18"/>
                <w:szCs w:val="18"/>
                <w:lang w:val="en-GB"/>
              </w:rPr>
              <w:t>16</w:t>
            </w:r>
          </w:p>
        </w:tc>
        <w:tc>
          <w:tcPr>
            <w:tcW w:w="1550" w:type="dxa"/>
            <w:shd w:val="clear" w:color="auto" w:fill="auto"/>
          </w:tcPr>
          <w:p w14:paraId="79F0E285" w14:textId="77777777" w:rsidR="0057187E" w:rsidRPr="00800B07" w:rsidRDefault="0057187E" w:rsidP="0057187E">
            <w:pPr>
              <w:rPr>
                <w:rFonts w:cstheme="minorHAnsi"/>
                <w:sz w:val="18"/>
                <w:szCs w:val="18"/>
                <w:lang w:val="en-GB"/>
              </w:rPr>
            </w:pPr>
            <w:r w:rsidRPr="00800B07">
              <w:rPr>
                <w:rFonts w:cstheme="minorHAnsi"/>
                <w:sz w:val="18"/>
                <w:szCs w:val="18"/>
                <w:lang w:val="en-GB"/>
              </w:rPr>
              <w:t>10</w:t>
            </w:r>
          </w:p>
        </w:tc>
        <w:tc>
          <w:tcPr>
            <w:tcW w:w="1549" w:type="dxa"/>
            <w:shd w:val="clear" w:color="auto" w:fill="auto"/>
          </w:tcPr>
          <w:p w14:paraId="292F02FA" w14:textId="77777777" w:rsidR="0057187E" w:rsidRPr="00800B07" w:rsidRDefault="0057187E" w:rsidP="0057187E">
            <w:pPr>
              <w:rPr>
                <w:rFonts w:cstheme="minorHAnsi"/>
                <w:sz w:val="18"/>
                <w:szCs w:val="18"/>
                <w:lang w:val="en-GB"/>
              </w:rPr>
            </w:pPr>
            <w:r w:rsidRPr="00800B07">
              <w:rPr>
                <w:rFonts w:cstheme="minorHAnsi"/>
                <w:sz w:val="18"/>
                <w:szCs w:val="18"/>
                <w:lang w:val="en-GB"/>
              </w:rPr>
              <w:t>11</w:t>
            </w:r>
          </w:p>
        </w:tc>
        <w:tc>
          <w:tcPr>
            <w:tcW w:w="1550" w:type="dxa"/>
            <w:shd w:val="clear" w:color="auto" w:fill="auto"/>
          </w:tcPr>
          <w:p w14:paraId="0B91F1A3" w14:textId="77777777" w:rsidR="0057187E" w:rsidRPr="00800B07" w:rsidRDefault="0057187E" w:rsidP="0057187E">
            <w:pPr>
              <w:rPr>
                <w:rFonts w:cstheme="minorHAnsi"/>
                <w:sz w:val="18"/>
                <w:szCs w:val="18"/>
                <w:lang w:val="en-GB"/>
              </w:rPr>
            </w:pPr>
            <w:r w:rsidRPr="00800B07">
              <w:rPr>
                <w:rFonts w:cstheme="minorHAnsi"/>
                <w:sz w:val="18"/>
                <w:szCs w:val="18"/>
                <w:lang w:val="en-GB"/>
              </w:rPr>
              <w:t>8</w:t>
            </w:r>
          </w:p>
        </w:tc>
      </w:tr>
      <w:tr w:rsidR="0057187E" w:rsidRPr="00800B07" w14:paraId="780EB0FC" w14:textId="77777777" w:rsidTr="0057187E">
        <w:trPr>
          <w:trHeight w:val="20"/>
        </w:trPr>
        <w:tc>
          <w:tcPr>
            <w:tcW w:w="1978" w:type="dxa"/>
            <w:tcBorders>
              <w:right w:val="single" w:sz="12" w:space="0" w:color="auto"/>
            </w:tcBorders>
            <w:shd w:val="clear" w:color="auto" w:fill="auto"/>
          </w:tcPr>
          <w:p w14:paraId="1E968916" w14:textId="77777777" w:rsidR="0057187E" w:rsidRPr="00800B07" w:rsidRDefault="0057187E" w:rsidP="0057187E">
            <w:pPr>
              <w:rPr>
                <w:rFonts w:cstheme="minorHAnsi"/>
                <w:sz w:val="18"/>
                <w:szCs w:val="18"/>
                <w:lang w:val="en-GB"/>
              </w:rPr>
            </w:pPr>
            <w:proofErr w:type="spellStart"/>
            <w:r w:rsidRPr="00800B07">
              <w:rPr>
                <w:rFonts w:cstheme="minorHAnsi"/>
                <w:sz w:val="18"/>
                <w:szCs w:val="18"/>
                <w:lang w:val="en-GB"/>
              </w:rPr>
              <w:t>Mean±SD</w:t>
            </w:r>
            <w:proofErr w:type="spellEnd"/>
            <w:r>
              <w:rPr>
                <w:rFonts w:cstheme="minorHAnsi"/>
                <w:sz w:val="18"/>
                <w:szCs w:val="18"/>
                <w:lang w:val="en-GB"/>
              </w:rPr>
              <w:t xml:space="preserve"> (per yr)</w:t>
            </w:r>
          </w:p>
          <w:p w14:paraId="1015D541" w14:textId="77777777" w:rsidR="0057187E" w:rsidRPr="00800B07" w:rsidRDefault="0057187E" w:rsidP="0057187E">
            <w:pPr>
              <w:rPr>
                <w:rFonts w:cstheme="minorHAnsi"/>
                <w:sz w:val="18"/>
                <w:szCs w:val="18"/>
                <w:lang w:val="en-GB"/>
              </w:rPr>
            </w:pPr>
            <w:r w:rsidRPr="00800B07">
              <w:rPr>
                <w:rFonts w:cstheme="minorHAnsi"/>
                <w:sz w:val="18"/>
                <w:szCs w:val="18"/>
                <w:lang w:val="en-GB"/>
              </w:rPr>
              <w:t>Median (IQR)</w:t>
            </w:r>
            <w:r>
              <w:rPr>
                <w:rFonts w:cstheme="minorHAnsi"/>
                <w:sz w:val="18"/>
                <w:szCs w:val="18"/>
                <w:lang w:val="en-GB"/>
              </w:rPr>
              <w:t xml:space="preserve"> (per yr)</w:t>
            </w:r>
          </w:p>
        </w:tc>
        <w:tc>
          <w:tcPr>
            <w:tcW w:w="154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0A2E44C"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5</w:t>
            </w:r>
            <w:r w:rsidRPr="00800B07">
              <w:rPr>
                <w:rFonts w:cstheme="minorHAnsi"/>
                <w:sz w:val="18"/>
                <w:szCs w:val="18"/>
                <w:lang w:val="fr-BE"/>
              </w:rPr>
              <w:t>±</w:t>
            </w:r>
            <w:r w:rsidRPr="00800B07">
              <w:rPr>
                <w:rFonts w:cstheme="minorHAnsi"/>
                <w:sz w:val="18"/>
                <w:szCs w:val="18"/>
              </w:rPr>
              <w:t>1</w:t>
            </w:r>
            <w:r>
              <w:rPr>
                <w:rFonts w:cstheme="minorHAnsi"/>
                <w:sz w:val="18"/>
                <w:szCs w:val="18"/>
              </w:rPr>
              <w:t>.</w:t>
            </w:r>
            <w:r w:rsidRPr="00800B07">
              <w:rPr>
                <w:rFonts w:cstheme="minorHAnsi"/>
                <w:sz w:val="18"/>
                <w:szCs w:val="18"/>
              </w:rPr>
              <w:t>7</w:t>
            </w:r>
          </w:p>
          <w:p w14:paraId="741D0E99"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0 (0</w:t>
            </w:r>
            <w:r>
              <w:rPr>
                <w:rFonts w:cstheme="minorHAnsi"/>
                <w:sz w:val="18"/>
                <w:szCs w:val="18"/>
              </w:rPr>
              <w:t>.</w:t>
            </w:r>
            <w:r w:rsidRPr="00800B07">
              <w:rPr>
                <w:rFonts w:cstheme="minorHAnsi"/>
                <w:sz w:val="18"/>
                <w:szCs w:val="18"/>
              </w:rPr>
              <w:t>0-0</w:t>
            </w:r>
            <w:r>
              <w:rPr>
                <w:rFonts w:cstheme="minorHAnsi"/>
                <w:sz w:val="18"/>
                <w:szCs w:val="18"/>
              </w:rPr>
              <w:t>.</w:t>
            </w:r>
            <w:r w:rsidRPr="00800B07">
              <w:rPr>
                <w:rFonts w:cstheme="minorHAnsi"/>
                <w:sz w:val="18"/>
                <w:szCs w:val="18"/>
              </w:rPr>
              <w:t>1)</w:t>
            </w:r>
          </w:p>
        </w:tc>
        <w:tc>
          <w:tcPr>
            <w:tcW w:w="1549" w:type="dxa"/>
            <w:tcBorders>
              <w:left w:val="single" w:sz="12" w:space="0" w:color="auto"/>
            </w:tcBorders>
            <w:shd w:val="clear" w:color="auto" w:fill="auto"/>
          </w:tcPr>
          <w:p w14:paraId="19C5FF5E"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4</w:t>
            </w:r>
            <w:r w:rsidRPr="00800B07">
              <w:rPr>
                <w:rFonts w:cstheme="minorHAnsi"/>
                <w:sz w:val="18"/>
                <w:szCs w:val="18"/>
                <w:lang w:val="fr-BE"/>
              </w:rPr>
              <w:t>±</w:t>
            </w:r>
            <w:r w:rsidRPr="00800B07">
              <w:rPr>
                <w:rFonts w:cstheme="minorHAnsi"/>
                <w:sz w:val="18"/>
                <w:szCs w:val="18"/>
              </w:rPr>
              <w:t>1</w:t>
            </w:r>
            <w:r>
              <w:rPr>
                <w:rFonts w:cstheme="minorHAnsi"/>
                <w:sz w:val="18"/>
                <w:szCs w:val="18"/>
              </w:rPr>
              <w:t>.</w:t>
            </w:r>
            <w:r w:rsidRPr="00800B07">
              <w:rPr>
                <w:rFonts w:cstheme="minorHAnsi"/>
                <w:sz w:val="18"/>
                <w:szCs w:val="18"/>
              </w:rPr>
              <w:t>4</w:t>
            </w:r>
          </w:p>
          <w:p w14:paraId="5BE26F52"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0 (0</w:t>
            </w:r>
            <w:r>
              <w:rPr>
                <w:rFonts w:cstheme="minorHAnsi"/>
                <w:sz w:val="18"/>
                <w:szCs w:val="18"/>
              </w:rPr>
              <w:t>.</w:t>
            </w:r>
            <w:r w:rsidRPr="00800B07">
              <w:rPr>
                <w:rFonts w:cstheme="minorHAnsi"/>
                <w:sz w:val="18"/>
                <w:szCs w:val="18"/>
              </w:rPr>
              <w:t>0-0</w:t>
            </w:r>
            <w:r>
              <w:rPr>
                <w:rFonts w:cstheme="minorHAnsi"/>
                <w:sz w:val="18"/>
                <w:szCs w:val="18"/>
              </w:rPr>
              <w:t>.</w:t>
            </w:r>
            <w:r w:rsidRPr="00800B07">
              <w:rPr>
                <w:rFonts w:cstheme="minorHAnsi"/>
                <w:sz w:val="18"/>
                <w:szCs w:val="18"/>
              </w:rPr>
              <w:t>1)</w:t>
            </w:r>
          </w:p>
        </w:tc>
        <w:tc>
          <w:tcPr>
            <w:tcW w:w="1550" w:type="dxa"/>
            <w:shd w:val="clear" w:color="auto" w:fill="auto"/>
          </w:tcPr>
          <w:p w14:paraId="18D58325" w14:textId="77777777" w:rsidR="0057187E" w:rsidRPr="00800B07" w:rsidRDefault="0057187E" w:rsidP="0057187E">
            <w:pPr>
              <w:rPr>
                <w:rFonts w:cstheme="minorHAnsi"/>
                <w:sz w:val="18"/>
                <w:szCs w:val="18"/>
              </w:rPr>
            </w:pPr>
            <w:r w:rsidRPr="00800B07">
              <w:rPr>
                <w:rFonts w:cstheme="minorHAnsi"/>
                <w:sz w:val="18"/>
                <w:szCs w:val="18"/>
              </w:rPr>
              <w:t>1</w:t>
            </w:r>
            <w:r>
              <w:rPr>
                <w:rFonts w:cstheme="minorHAnsi"/>
                <w:sz w:val="18"/>
                <w:szCs w:val="18"/>
              </w:rPr>
              <w:t>.</w:t>
            </w:r>
            <w:r w:rsidRPr="00800B07">
              <w:rPr>
                <w:rFonts w:cstheme="minorHAnsi"/>
                <w:sz w:val="18"/>
                <w:szCs w:val="18"/>
              </w:rPr>
              <w:t>4</w:t>
            </w:r>
            <w:r w:rsidRPr="00800B07">
              <w:rPr>
                <w:rFonts w:cstheme="minorHAnsi"/>
                <w:sz w:val="18"/>
                <w:szCs w:val="18"/>
                <w:lang w:val="fr-BE"/>
              </w:rPr>
              <w:t>±</w:t>
            </w:r>
            <w:r w:rsidRPr="00800B07">
              <w:rPr>
                <w:rFonts w:cstheme="minorHAnsi"/>
                <w:sz w:val="18"/>
                <w:szCs w:val="18"/>
              </w:rPr>
              <w:t>5</w:t>
            </w:r>
            <w:r>
              <w:rPr>
                <w:rFonts w:cstheme="minorHAnsi"/>
                <w:sz w:val="18"/>
                <w:szCs w:val="18"/>
              </w:rPr>
              <w:t>.</w:t>
            </w:r>
            <w:r w:rsidRPr="00800B07">
              <w:rPr>
                <w:rFonts w:cstheme="minorHAnsi"/>
                <w:sz w:val="18"/>
                <w:szCs w:val="18"/>
              </w:rPr>
              <w:t>9</w:t>
            </w:r>
          </w:p>
          <w:p w14:paraId="5214DA90"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0 (0</w:t>
            </w:r>
            <w:r>
              <w:rPr>
                <w:rFonts w:cstheme="minorHAnsi"/>
                <w:sz w:val="18"/>
                <w:szCs w:val="18"/>
              </w:rPr>
              <w:t>.</w:t>
            </w:r>
            <w:r w:rsidRPr="00800B07">
              <w:rPr>
                <w:rFonts w:cstheme="minorHAnsi"/>
                <w:sz w:val="18"/>
                <w:szCs w:val="18"/>
              </w:rPr>
              <w:t>0-0</w:t>
            </w:r>
            <w:r>
              <w:rPr>
                <w:rFonts w:cstheme="minorHAnsi"/>
                <w:sz w:val="18"/>
                <w:szCs w:val="18"/>
              </w:rPr>
              <w:t>.</w:t>
            </w:r>
            <w:r w:rsidRPr="00800B07">
              <w:rPr>
                <w:rFonts w:cstheme="minorHAnsi"/>
                <w:sz w:val="18"/>
                <w:szCs w:val="18"/>
              </w:rPr>
              <w:t>1)</w:t>
            </w:r>
          </w:p>
        </w:tc>
        <w:tc>
          <w:tcPr>
            <w:tcW w:w="1549" w:type="dxa"/>
            <w:shd w:val="clear" w:color="auto" w:fill="auto"/>
          </w:tcPr>
          <w:p w14:paraId="0511A207"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6</w:t>
            </w:r>
            <w:r w:rsidRPr="00800B07">
              <w:rPr>
                <w:rFonts w:cstheme="minorHAnsi"/>
                <w:sz w:val="18"/>
                <w:szCs w:val="18"/>
                <w:lang w:val="fr-BE"/>
              </w:rPr>
              <w:t>±</w:t>
            </w:r>
            <w:r w:rsidRPr="00800B07">
              <w:rPr>
                <w:rFonts w:cstheme="minorHAnsi"/>
                <w:sz w:val="18"/>
                <w:szCs w:val="18"/>
              </w:rPr>
              <w:t>1</w:t>
            </w:r>
            <w:r>
              <w:rPr>
                <w:rFonts w:cstheme="minorHAnsi"/>
                <w:sz w:val="18"/>
                <w:szCs w:val="18"/>
              </w:rPr>
              <w:t>.</w:t>
            </w:r>
            <w:r w:rsidRPr="00800B07">
              <w:rPr>
                <w:rFonts w:cstheme="minorHAnsi"/>
                <w:sz w:val="18"/>
                <w:szCs w:val="18"/>
              </w:rPr>
              <w:t>6</w:t>
            </w:r>
          </w:p>
          <w:p w14:paraId="1081A69C"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0 (0</w:t>
            </w:r>
            <w:r>
              <w:rPr>
                <w:rFonts w:cstheme="minorHAnsi"/>
                <w:sz w:val="18"/>
                <w:szCs w:val="18"/>
              </w:rPr>
              <w:t>.</w:t>
            </w:r>
            <w:r w:rsidRPr="00800B07">
              <w:rPr>
                <w:rFonts w:cstheme="minorHAnsi"/>
                <w:sz w:val="18"/>
                <w:szCs w:val="18"/>
              </w:rPr>
              <w:t>0-0</w:t>
            </w:r>
            <w:r>
              <w:rPr>
                <w:rFonts w:cstheme="minorHAnsi"/>
                <w:sz w:val="18"/>
                <w:szCs w:val="18"/>
              </w:rPr>
              <w:t>.</w:t>
            </w:r>
            <w:r w:rsidRPr="00800B07">
              <w:rPr>
                <w:rFonts w:cstheme="minorHAnsi"/>
                <w:sz w:val="18"/>
                <w:szCs w:val="18"/>
              </w:rPr>
              <w:t>0)</w:t>
            </w:r>
          </w:p>
        </w:tc>
        <w:tc>
          <w:tcPr>
            <w:tcW w:w="1549" w:type="dxa"/>
            <w:shd w:val="clear" w:color="auto" w:fill="auto"/>
          </w:tcPr>
          <w:p w14:paraId="58E16DC3"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0</w:t>
            </w:r>
            <w:r w:rsidRPr="00800B07">
              <w:rPr>
                <w:rFonts w:cstheme="minorHAnsi"/>
                <w:sz w:val="18"/>
                <w:szCs w:val="18"/>
                <w:lang w:val="fr-BE"/>
              </w:rPr>
              <w:t>±</w:t>
            </w:r>
            <w:r w:rsidRPr="00800B07">
              <w:rPr>
                <w:rFonts w:cstheme="minorHAnsi"/>
                <w:sz w:val="18"/>
                <w:szCs w:val="18"/>
              </w:rPr>
              <w:t>0</w:t>
            </w:r>
            <w:r>
              <w:rPr>
                <w:rFonts w:cstheme="minorHAnsi"/>
                <w:sz w:val="18"/>
                <w:szCs w:val="18"/>
              </w:rPr>
              <w:t>.</w:t>
            </w:r>
            <w:r w:rsidRPr="00800B07">
              <w:rPr>
                <w:rFonts w:cstheme="minorHAnsi"/>
                <w:sz w:val="18"/>
                <w:szCs w:val="18"/>
              </w:rPr>
              <w:t>0</w:t>
            </w:r>
          </w:p>
          <w:p w14:paraId="5B3CA96E"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0 (0</w:t>
            </w:r>
            <w:r>
              <w:rPr>
                <w:rFonts w:cstheme="minorHAnsi"/>
                <w:sz w:val="18"/>
                <w:szCs w:val="18"/>
              </w:rPr>
              <w:t>.</w:t>
            </w:r>
            <w:r w:rsidRPr="00800B07">
              <w:rPr>
                <w:rFonts w:cstheme="minorHAnsi"/>
                <w:sz w:val="18"/>
                <w:szCs w:val="18"/>
              </w:rPr>
              <w:t>0-0</w:t>
            </w:r>
            <w:r>
              <w:rPr>
                <w:rFonts w:cstheme="minorHAnsi"/>
                <w:sz w:val="18"/>
                <w:szCs w:val="18"/>
              </w:rPr>
              <w:t>.</w:t>
            </w:r>
            <w:r w:rsidRPr="00800B07">
              <w:rPr>
                <w:rFonts w:cstheme="minorHAnsi"/>
                <w:sz w:val="18"/>
                <w:szCs w:val="18"/>
              </w:rPr>
              <w:t>0)</w:t>
            </w:r>
          </w:p>
        </w:tc>
        <w:tc>
          <w:tcPr>
            <w:tcW w:w="1550" w:type="dxa"/>
            <w:shd w:val="clear" w:color="auto" w:fill="auto"/>
          </w:tcPr>
          <w:p w14:paraId="413CC7C3"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1</w:t>
            </w:r>
            <w:r w:rsidRPr="00800B07">
              <w:rPr>
                <w:rFonts w:cstheme="minorHAnsi"/>
                <w:sz w:val="18"/>
                <w:szCs w:val="18"/>
                <w:lang w:val="fr-BE"/>
              </w:rPr>
              <w:t>±</w:t>
            </w:r>
            <w:r w:rsidRPr="00800B07">
              <w:rPr>
                <w:rFonts w:cstheme="minorHAnsi"/>
                <w:sz w:val="18"/>
                <w:szCs w:val="18"/>
              </w:rPr>
              <w:t>0</w:t>
            </w:r>
            <w:r>
              <w:rPr>
                <w:rFonts w:cstheme="minorHAnsi"/>
                <w:sz w:val="18"/>
                <w:szCs w:val="18"/>
              </w:rPr>
              <w:t>.</w:t>
            </w:r>
            <w:r w:rsidRPr="00800B07">
              <w:rPr>
                <w:rFonts w:cstheme="minorHAnsi"/>
                <w:sz w:val="18"/>
                <w:szCs w:val="18"/>
              </w:rPr>
              <w:t>2</w:t>
            </w:r>
          </w:p>
          <w:p w14:paraId="53C865C5"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0 (0</w:t>
            </w:r>
            <w:r>
              <w:rPr>
                <w:rFonts w:cstheme="minorHAnsi"/>
                <w:sz w:val="18"/>
                <w:szCs w:val="18"/>
              </w:rPr>
              <w:t>.</w:t>
            </w:r>
            <w:r w:rsidRPr="00800B07">
              <w:rPr>
                <w:rFonts w:cstheme="minorHAnsi"/>
                <w:sz w:val="18"/>
                <w:szCs w:val="18"/>
              </w:rPr>
              <w:t>0-0</w:t>
            </w:r>
            <w:r>
              <w:rPr>
                <w:rFonts w:cstheme="minorHAnsi"/>
                <w:sz w:val="18"/>
                <w:szCs w:val="18"/>
              </w:rPr>
              <w:t>.</w:t>
            </w:r>
            <w:r w:rsidRPr="00800B07">
              <w:rPr>
                <w:rFonts w:cstheme="minorHAnsi"/>
                <w:sz w:val="18"/>
                <w:szCs w:val="18"/>
              </w:rPr>
              <w:t>1)</w:t>
            </w:r>
          </w:p>
        </w:tc>
        <w:tc>
          <w:tcPr>
            <w:tcW w:w="1549" w:type="dxa"/>
            <w:shd w:val="clear" w:color="auto" w:fill="auto"/>
          </w:tcPr>
          <w:p w14:paraId="49F51FEA"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4</w:t>
            </w:r>
            <w:r w:rsidRPr="00800B07">
              <w:rPr>
                <w:rFonts w:cstheme="minorHAnsi"/>
                <w:sz w:val="18"/>
                <w:szCs w:val="18"/>
                <w:lang w:val="fr-BE"/>
              </w:rPr>
              <w:t>±</w:t>
            </w:r>
            <w:r w:rsidRPr="00800B07">
              <w:rPr>
                <w:rFonts w:cstheme="minorHAnsi"/>
                <w:sz w:val="18"/>
                <w:szCs w:val="18"/>
              </w:rPr>
              <w:t>1</w:t>
            </w:r>
            <w:r>
              <w:rPr>
                <w:rFonts w:cstheme="minorHAnsi"/>
                <w:sz w:val="18"/>
                <w:szCs w:val="18"/>
              </w:rPr>
              <w:t>.</w:t>
            </w:r>
            <w:r w:rsidRPr="00800B07">
              <w:rPr>
                <w:rFonts w:cstheme="minorHAnsi"/>
                <w:sz w:val="18"/>
                <w:szCs w:val="18"/>
              </w:rPr>
              <w:t>1</w:t>
            </w:r>
          </w:p>
          <w:p w14:paraId="5BD63CAE"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0 (0</w:t>
            </w:r>
            <w:r>
              <w:rPr>
                <w:rFonts w:cstheme="minorHAnsi"/>
                <w:sz w:val="18"/>
                <w:szCs w:val="18"/>
              </w:rPr>
              <w:t>.</w:t>
            </w:r>
            <w:r w:rsidRPr="00800B07">
              <w:rPr>
                <w:rFonts w:cstheme="minorHAnsi"/>
                <w:sz w:val="18"/>
                <w:szCs w:val="18"/>
              </w:rPr>
              <w:t>0-0</w:t>
            </w:r>
            <w:r>
              <w:rPr>
                <w:rFonts w:cstheme="minorHAnsi"/>
                <w:sz w:val="18"/>
                <w:szCs w:val="18"/>
              </w:rPr>
              <w:t>.</w:t>
            </w:r>
            <w:r w:rsidRPr="00800B07">
              <w:rPr>
                <w:rFonts w:cstheme="minorHAnsi"/>
                <w:sz w:val="18"/>
                <w:szCs w:val="18"/>
              </w:rPr>
              <w:t>1)</w:t>
            </w:r>
          </w:p>
        </w:tc>
        <w:tc>
          <w:tcPr>
            <w:tcW w:w="1550" w:type="dxa"/>
            <w:shd w:val="clear" w:color="auto" w:fill="auto"/>
          </w:tcPr>
          <w:p w14:paraId="44E2D5E6"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9</w:t>
            </w:r>
            <w:r w:rsidRPr="00800B07">
              <w:rPr>
                <w:rFonts w:cstheme="minorHAnsi"/>
                <w:sz w:val="18"/>
                <w:szCs w:val="18"/>
                <w:lang w:val="fr-BE"/>
              </w:rPr>
              <w:t>±</w:t>
            </w:r>
            <w:r w:rsidRPr="00800B07">
              <w:rPr>
                <w:rFonts w:cstheme="minorHAnsi"/>
                <w:sz w:val="18"/>
                <w:szCs w:val="18"/>
              </w:rPr>
              <w:t>1</w:t>
            </w:r>
            <w:r>
              <w:rPr>
                <w:rFonts w:cstheme="minorHAnsi"/>
                <w:sz w:val="18"/>
                <w:szCs w:val="18"/>
              </w:rPr>
              <w:t>.</w:t>
            </w:r>
            <w:r w:rsidRPr="00800B07">
              <w:rPr>
                <w:rFonts w:cstheme="minorHAnsi"/>
                <w:sz w:val="18"/>
                <w:szCs w:val="18"/>
              </w:rPr>
              <w:t>7</w:t>
            </w:r>
          </w:p>
          <w:p w14:paraId="4D34A79B" w14:textId="77777777" w:rsidR="0057187E" w:rsidRPr="00800B07" w:rsidRDefault="0057187E" w:rsidP="0057187E">
            <w:pPr>
              <w:rPr>
                <w:rFonts w:cstheme="minorHAnsi"/>
                <w:sz w:val="18"/>
                <w:szCs w:val="18"/>
              </w:rPr>
            </w:pPr>
            <w:r w:rsidRPr="00800B07">
              <w:rPr>
                <w:rFonts w:cstheme="minorHAnsi"/>
                <w:sz w:val="18"/>
                <w:szCs w:val="18"/>
              </w:rPr>
              <w:t>0</w:t>
            </w:r>
            <w:r>
              <w:rPr>
                <w:rFonts w:cstheme="minorHAnsi"/>
                <w:sz w:val="18"/>
                <w:szCs w:val="18"/>
              </w:rPr>
              <w:t>.</w:t>
            </w:r>
            <w:r w:rsidRPr="00800B07">
              <w:rPr>
                <w:rFonts w:cstheme="minorHAnsi"/>
                <w:sz w:val="18"/>
                <w:szCs w:val="18"/>
              </w:rPr>
              <w:t>0</w:t>
            </w:r>
            <w:r>
              <w:rPr>
                <w:rFonts w:cstheme="minorHAnsi"/>
                <w:sz w:val="18"/>
                <w:szCs w:val="18"/>
              </w:rPr>
              <w:t xml:space="preserve"> </w:t>
            </w:r>
            <w:r w:rsidRPr="00800B07">
              <w:rPr>
                <w:rFonts w:cstheme="minorHAnsi"/>
                <w:sz w:val="18"/>
                <w:szCs w:val="18"/>
              </w:rPr>
              <w:t>(0</w:t>
            </w:r>
            <w:r>
              <w:rPr>
                <w:rFonts w:cstheme="minorHAnsi"/>
                <w:sz w:val="18"/>
                <w:szCs w:val="18"/>
              </w:rPr>
              <w:t>.</w:t>
            </w:r>
            <w:r w:rsidRPr="00800B07">
              <w:rPr>
                <w:rFonts w:cstheme="minorHAnsi"/>
                <w:sz w:val="18"/>
                <w:szCs w:val="18"/>
              </w:rPr>
              <w:t>0-1</w:t>
            </w:r>
            <w:r>
              <w:rPr>
                <w:rFonts w:cstheme="minorHAnsi"/>
                <w:sz w:val="18"/>
                <w:szCs w:val="18"/>
              </w:rPr>
              <w:t>.</w:t>
            </w:r>
            <w:r w:rsidRPr="00800B07">
              <w:rPr>
                <w:rFonts w:cstheme="minorHAnsi"/>
                <w:sz w:val="18"/>
                <w:szCs w:val="18"/>
              </w:rPr>
              <w:t>1)</w:t>
            </w:r>
          </w:p>
        </w:tc>
      </w:tr>
    </w:tbl>
    <w:p w14:paraId="66A89EEB" w14:textId="77777777" w:rsidR="0057187E" w:rsidRPr="00800B07" w:rsidRDefault="0057187E" w:rsidP="0057187E">
      <w:pPr>
        <w:rPr>
          <w:u w:val="single"/>
          <w:lang w:val="en-GB"/>
        </w:rPr>
      </w:pPr>
    </w:p>
    <w:p w14:paraId="6DE58272" w14:textId="77777777" w:rsidR="0057187E" w:rsidRPr="00800B07" w:rsidRDefault="0057187E" w:rsidP="0057187E">
      <w:pPr>
        <w:spacing w:after="0"/>
        <w:rPr>
          <w:sz w:val="18"/>
          <w:szCs w:val="18"/>
          <w:u w:val="single"/>
          <w:lang w:val="en-GB"/>
        </w:rPr>
      </w:pPr>
    </w:p>
    <w:p w14:paraId="18CA50E5" w14:textId="77777777" w:rsidR="0057187E" w:rsidRPr="00800B07" w:rsidRDefault="0057187E" w:rsidP="0057187E">
      <w:pPr>
        <w:rPr>
          <w:sz w:val="20"/>
          <w:szCs w:val="20"/>
          <w:u w:val="single"/>
          <w:lang w:val="en-GB"/>
        </w:rPr>
      </w:pPr>
      <w:r w:rsidRPr="00800B07">
        <w:rPr>
          <w:sz w:val="20"/>
          <w:szCs w:val="20"/>
          <w:u w:val="single"/>
          <w:lang w:val="en-GB"/>
        </w:rPr>
        <w:t xml:space="preserve">Table 9: </w:t>
      </w:r>
      <w:r w:rsidRPr="00800B07">
        <w:rPr>
          <w:sz w:val="20"/>
          <w:szCs w:val="20"/>
          <w:lang w:val="en-GB"/>
        </w:rPr>
        <w:t>types of urological interventions in patients with nephrolithiasis, excluding those with nephrocalcinosis</w:t>
      </w:r>
      <w:r w:rsidRPr="00800B07">
        <w:rPr>
          <w:sz w:val="20"/>
          <w:szCs w:val="20"/>
          <w:u w:val="single"/>
          <w:lang w:val="en-GB"/>
        </w:rPr>
        <w:t xml:space="preserve"> </w:t>
      </w:r>
    </w:p>
    <w:tbl>
      <w:tblPr>
        <w:tblStyle w:val="Tabelraster"/>
        <w:tblpPr w:leftFromText="141" w:rightFromText="141" w:vertAnchor="text" w:horzAnchor="page" w:tblpX="1929" w:tblpY="-11"/>
        <w:tblOverlap w:val="never"/>
        <w:tblW w:w="0" w:type="auto"/>
        <w:tblLook w:val="04A0" w:firstRow="1" w:lastRow="0" w:firstColumn="1" w:lastColumn="0" w:noHBand="0" w:noVBand="1"/>
      </w:tblPr>
      <w:tblGrid>
        <w:gridCol w:w="2689"/>
        <w:gridCol w:w="2870"/>
        <w:gridCol w:w="2871"/>
      </w:tblGrid>
      <w:tr w:rsidR="0057187E" w:rsidRPr="0073106F" w14:paraId="46F62E0A" w14:textId="77777777" w:rsidTr="0057187E">
        <w:trPr>
          <w:trHeight w:val="283"/>
        </w:trPr>
        <w:tc>
          <w:tcPr>
            <w:tcW w:w="2689" w:type="dxa"/>
            <w:tcBorders>
              <w:top w:val="nil"/>
              <w:left w:val="nil"/>
            </w:tcBorders>
            <w:shd w:val="clear" w:color="auto" w:fill="auto"/>
          </w:tcPr>
          <w:p w14:paraId="248E0FE0" w14:textId="77777777" w:rsidR="0057187E" w:rsidRPr="00800B07" w:rsidRDefault="0057187E" w:rsidP="0057187E">
            <w:pPr>
              <w:rPr>
                <w:sz w:val="18"/>
                <w:szCs w:val="18"/>
                <w:lang w:val="en-GB"/>
              </w:rPr>
            </w:pPr>
          </w:p>
        </w:tc>
        <w:tc>
          <w:tcPr>
            <w:tcW w:w="2870" w:type="dxa"/>
            <w:shd w:val="clear" w:color="auto" w:fill="000000" w:themeFill="text1"/>
          </w:tcPr>
          <w:p w14:paraId="7903BE11" w14:textId="77777777" w:rsidR="0057187E" w:rsidRPr="00800B07" w:rsidRDefault="0057187E" w:rsidP="0057187E">
            <w:pPr>
              <w:rPr>
                <w:sz w:val="18"/>
                <w:szCs w:val="18"/>
                <w:lang w:val="en-GB"/>
              </w:rPr>
            </w:pPr>
            <w:r w:rsidRPr="00800B07">
              <w:rPr>
                <w:sz w:val="18"/>
                <w:szCs w:val="18"/>
                <w:lang w:val="en-GB"/>
              </w:rPr>
              <w:t>Urological interventions before first consultation (n = 944)</w:t>
            </w:r>
          </w:p>
        </w:tc>
        <w:tc>
          <w:tcPr>
            <w:tcW w:w="2871" w:type="dxa"/>
            <w:shd w:val="clear" w:color="auto" w:fill="000000" w:themeFill="text1"/>
          </w:tcPr>
          <w:p w14:paraId="1F9F8D23" w14:textId="77777777" w:rsidR="0057187E" w:rsidRPr="00800B07" w:rsidRDefault="0057187E" w:rsidP="0057187E">
            <w:pPr>
              <w:rPr>
                <w:sz w:val="18"/>
                <w:szCs w:val="18"/>
                <w:lang w:val="en-GB"/>
              </w:rPr>
            </w:pPr>
            <w:r w:rsidRPr="00800B07">
              <w:rPr>
                <w:sz w:val="18"/>
                <w:szCs w:val="18"/>
                <w:lang w:val="en-GB"/>
              </w:rPr>
              <w:t>Urological interventions during follow-up (n=  94)</w:t>
            </w:r>
          </w:p>
        </w:tc>
      </w:tr>
      <w:tr w:rsidR="0057187E" w:rsidRPr="00800B07" w14:paraId="2D312099" w14:textId="77777777" w:rsidTr="0057187E">
        <w:trPr>
          <w:trHeight w:val="283"/>
        </w:trPr>
        <w:tc>
          <w:tcPr>
            <w:tcW w:w="2689" w:type="dxa"/>
          </w:tcPr>
          <w:p w14:paraId="6D51038E" w14:textId="77777777" w:rsidR="0057187E" w:rsidRPr="00800B07" w:rsidRDefault="0057187E" w:rsidP="0057187E">
            <w:pPr>
              <w:rPr>
                <w:sz w:val="18"/>
                <w:szCs w:val="18"/>
                <w:lang w:val="en-GB"/>
              </w:rPr>
            </w:pPr>
            <w:r w:rsidRPr="00800B07">
              <w:rPr>
                <w:sz w:val="18"/>
                <w:szCs w:val="18"/>
                <w:lang w:val="en-GB"/>
              </w:rPr>
              <w:t>ESWL</w:t>
            </w:r>
          </w:p>
        </w:tc>
        <w:tc>
          <w:tcPr>
            <w:tcW w:w="2870" w:type="dxa"/>
          </w:tcPr>
          <w:p w14:paraId="58025B31" w14:textId="77777777" w:rsidR="0057187E" w:rsidRPr="00800B07" w:rsidRDefault="0057187E" w:rsidP="0057187E">
            <w:pPr>
              <w:rPr>
                <w:sz w:val="18"/>
                <w:szCs w:val="18"/>
                <w:lang w:val="en-GB"/>
              </w:rPr>
            </w:pPr>
            <w:r w:rsidRPr="00800B07">
              <w:rPr>
                <w:sz w:val="18"/>
                <w:szCs w:val="18"/>
                <w:lang w:val="en-GB"/>
              </w:rPr>
              <w:t>498 (52</w:t>
            </w:r>
            <w:r>
              <w:rPr>
                <w:sz w:val="18"/>
                <w:szCs w:val="18"/>
                <w:lang w:val="en-GB"/>
              </w:rPr>
              <w:t>.</w:t>
            </w:r>
            <w:r w:rsidRPr="00800B07">
              <w:rPr>
                <w:sz w:val="18"/>
                <w:szCs w:val="18"/>
                <w:lang w:val="en-GB"/>
              </w:rPr>
              <w:t>8%)</w:t>
            </w:r>
          </w:p>
        </w:tc>
        <w:tc>
          <w:tcPr>
            <w:tcW w:w="2871" w:type="dxa"/>
          </w:tcPr>
          <w:p w14:paraId="6D714356" w14:textId="77777777" w:rsidR="0057187E" w:rsidRPr="00800B07" w:rsidRDefault="0057187E" w:rsidP="0057187E">
            <w:pPr>
              <w:rPr>
                <w:sz w:val="18"/>
                <w:szCs w:val="18"/>
                <w:lang w:val="en-GB"/>
              </w:rPr>
            </w:pPr>
            <w:r w:rsidRPr="00800B07">
              <w:rPr>
                <w:sz w:val="18"/>
                <w:szCs w:val="18"/>
                <w:lang w:val="en-GB"/>
              </w:rPr>
              <w:t>38 (45</w:t>
            </w:r>
            <w:r>
              <w:rPr>
                <w:sz w:val="18"/>
                <w:szCs w:val="18"/>
                <w:lang w:val="en-GB"/>
              </w:rPr>
              <w:t>.</w:t>
            </w:r>
            <w:r w:rsidRPr="00800B07">
              <w:rPr>
                <w:sz w:val="18"/>
                <w:szCs w:val="18"/>
                <w:lang w:val="en-GB"/>
              </w:rPr>
              <w:t>3%)</w:t>
            </w:r>
          </w:p>
        </w:tc>
      </w:tr>
      <w:tr w:rsidR="0057187E" w:rsidRPr="00800B07" w14:paraId="231F45DF" w14:textId="77777777" w:rsidTr="0057187E">
        <w:trPr>
          <w:trHeight w:val="283"/>
        </w:trPr>
        <w:tc>
          <w:tcPr>
            <w:tcW w:w="2689" w:type="dxa"/>
          </w:tcPr>
          <w:p w14:paraId="50BC45DA" w14:textId="77777777" w:rsidR="0057187E" w:rsidRPr="00800B07" w:rsidRDefault="0057187E" w:rsidP="0057187E">
            <w:pPr>
              <w:rPr>
                <w:sz w:val="18"/>
                <w:szCs w:val="18"/>
                <w:lang w:val="en-GB"/>
              </w:rPr>
            </w:pPr>
            <w:r w:rsidRPr="00800B07">
              <w:rPr>
                <w:sz w:val="18"/>
                <w:szCs w:val="18"/>
                <w:lang w:val="en-GB"/>
              </w:rPr>
              <w:t>URS</w:t>
            </w:r>
          </w:p>
        </w:tc>
        <w:tc>
          <w:tcPr>
            <w:tcW w:w="2870" w:type="dxa"/>
          </w:tcPr>
          <w:p w14:paraId="61D0A5D8" w14:textId="77777777" w:rsidR="0057187E" w:rsidRPr="00800B07" w:rsidRDefault="0057187E" w:rsidP="0057187E">
            <w:pPr>
              <w:rPr>
                <w:sz w:val="18"/>
                <w:szCs w:val="18"/>
                <w:lang w:val="en-GB"/>
              </w:rPr>
            </w:pPr>
            <w:r w:rsidRPr="00800B07">
              <w:rPr>
                <w:sz w:val="18"/>
                <w:szCs w:val="18"/>
                <w:lang w:val="en-GB"/>
              </w:rPr>
              <w:t>253 (26</w:t>
            </w:r>
            <w:r>
              <w:rPr>
                <w:sz w:val="18"/>
                <w:szCs w:val="18"/>
                <w:lang w:val="en-GB"/>
              </w:rPr>
              <w:t>.</w:t>
            </w:r>
            <w:r w:rsidRPr="00800B07">
              <w:rPr>
                <w:sz w:val="18"/>
                <w:szCs w:val="18"/>
                <w:lang w:val="en-GB"/>
              </w:rPr>
              <w:t>8%)</w:t>
            </w:r>
          </w:p>
        </w:tc>
        <w:tc>
          <w:tcPr>
            <w:tcW w:w="2871" w:type="dxa"/>
          </w:tcPr>
          <w:p w14:paraId="1C772DA8" w14:textId="77777777" w:rsidR="0057187E" w:rsidRPr="00800B07" w:rsidRDefault="0057187E" w:rsidP="0057187E">
            <w:pPr>
              <w:rPr>
                <w:sz w:val="18"/>
                <w:szCs w:val="18"/>
                <w:lang w:val="en-GB"/>
              </w:rPr>
            </w:pPr>
            <w:r w:rsidRPr="00800B07">
              <w:rPr>
                <w:sz w:val="18"/>
                <w:szCs w:val="18"/>
                <w:lang w:val="en-GB"/>
              </w:rPr>
              <w:t>38  (45</w:t>
            </w:r>
            <w:r>
              <w:rPr>
                <w:sz w:val="18"/>
                <w:szCs w:val="18"/>
                <w:lang w:val="en-GB"/>
              </w:rPr>
              <w:t>.</w:t>
            </w:r>
            <w:r w:rsidRPr="00800B07">
              <w:rPr>
                <w:sz w:val="18"/>
                <w:szCs w:val="18"/>
                <w:lang w:val="en-GB"/>
              </w:rPr>
              <w:t>2%)</w:t>
            </w:r>
          </w:p>
        </w:tc>
      </w:tr>
      <w:tr w:rsidR="0057187E" w:rsidRPr="00800B07" w14:paraId="43E076B8" w14:textId="77777777" w:rsidTr="0057187E">
        <w:trPr>
          <w:trHeight w:val="283"/>
        </w:trPr>
        <w:tc>
          <w:tcPr>
            <w:tcW w:w="2689" w:type="dxa"/>
            <w:tcBorders>
              <w:top w:val="single" w:sz="4" w:space="0" w:color="auto"/>
            </w:tcBorders>
          </w:tcPr>
          <w:p w14:paraId="01C84C90" w14:textId="77777777" w:rsidR="0057187E" w:rsidRPr="00800B07" w:rsidRDefault="0057187E" w:rsidP="0057187E">
            <w:pPr>
              <w:rPr>
                <w:sz w:val="18"/>
                <w:szCs w:val="18"/>
                <w:lang w:val="en-GB"/>
              </w:rPr>
            </w:pPr>
            <w:r w:rsidRPr="00800B07">
              <w:rPr>
                <w:sz w:val="18"/>
                <w:szCs w:val="18"/>
                <w:lang w:val="en-GB"/>
              </w:rPr>
              <w:t xml:space="preserve">JJ stent </w:t>
            </w:r>
          </w:p>
        </w:tc>
        <w:tc>
          <w:tcPr>
            <w:tcW w:w="2870" w:type="dxa"/>
            <w:tcBorders>
              <w:top w:val="single" w:sz="4" w:space="0" w:color="auto"/>
            </w:tcBorders>
          </w:tcPr>
          <w:p w14:paraId="7C2DEDE6" w14:textId="77777777" w:rsidR="0057187E" w:rsidRPr="00800B07" w:rsidRDefault="0057187E" w:rsidP="0057187E">
            <w:pPr>
              <w:rPr>
                <w:sz w:val="18"/>
                <w:szCs w:val="18"/>
                <w:lang w:val="en-GB"/>
              </w:rPr>
            </w:pPr>
            <w:r w:rsidRPr="00800B07">
              <w:rPr>
                <w:sz w:val="18"/>
                <w:szCs w:val="18"/>
                <w:lang w:val="en-GB"/>
              </w:rPr>
              <w:t>98 (10</w:t>
            </w:r>
            <w:r>
              <w:rPr>
                <w:sz w:val="18"/>
                <w:szCs w:val="18"/>
                <w:lang w:val="en-GB"/>
              </w:rPr>
              <w:t>.</w:t>
            </w:r>
            <w:r w:rsidRPr="00800B07">
              <w:rPr>
                <w:sz w:val="18"/>
                <w:szCs w:val="18"/>
                <w:lang w:val="en-GB"/>
              </w:rPr>
              <w:t>4%)</w:t>
            </w:r>
          </w:p>
        </w:tc>
        <w:tc>
          <w:tcPr>
            <w:tcW w:w="2871" w:type="dxa"/>
            <w:tcBorders>
              <w:top w:val="single" w:sz="4" w:space="0" w:color="auto"/>
            </w:tcBorders>
          </w:tcPr>
          <w:p w14:paraId="090C9C9A" w14:textId="77777777" w:rsidR="0057187E" w:rsidRPr="00800B07" w:rsidRDefault="0057187E" w:rsidP="0057187E">
            <w:pPr>
              <w:rPr>
                <w:sz w:val="18"/>
                <w:szCs w:val="18"/>
                <w:lang w:val="en-GB"/>
              </w:rPr>
            </w:pPr>
            <w:r w:rsidRPr="00800B07">
              <w:rPr>
                <w:sz w:val="18"/>
                <w:szCs w:val="18"/>
                <w:lang w:val="en-GB"/>
              </w:rPr>
              <w:t>10 (10</w:t>
            </w:r>
            <w:r>
              <w:rPr>
                <w:sz w:val="18"/>
                <w:szCs w:val="18"/>
                <w:lang w:val="en-GB"/>
              </w:rPr>
              <w:t>.</w:t>
            </w:r>
            <w:r w:rsidRPr="00800B07">
              <w:rPr>
                <w:sz w:val="18"/>
                <w:szCs w:val="18"/>
                <w:lang w:val="en-GB"/>
              </w:rPr>
              <w:t>6%)</w:t>
            </w:r>
          </w:p>
        </w:tc>
      </w:tr>
      <w:tr w:rsidR="0057187E" w:rsidRPr="00800B07" w14:paraId="4028021B" w14:textId="77777777" w:rsidTr="0057187E">
        <w:trPr>
          <w:trHeight w:val="283"/>
        </w:trPr>
        <w:tc>
          <w:tcPr>
            <w:tcW w:w="2689" w:type="dxa"/>
          </w:tcPr>
          <w:p w14:paraId="15374238" w14:textId="77777777" w:rsidR="0057187E" w:rsidRPr="00800B07" w:rsidRDefault="0057187E" w:rsidP="0057187E">
            <w:pPr>
              <w:rPr>
                <w:sz w:val="18"/>
                <w:szCs w:val="18"/>
                <w:lang w:val="en-GB"/>
              </w:rPr>
            </w:pPr>
            <w:r w:rsidRPr="00800B07">
              <w:rPr>
                <w:sz w:val="18"/>
                <w:szCs w:val="18"/>
                <w:lang w:val="en-GB"/>
              </w:rPr>
              <w:t xml:space="preserve">PNL </w:t>
            </w:r>
          </w:p>
        </w:tc>
        <w:tc>
          <w:tcPr>
            <w:tcW w:w="2870" w:type="dxa"/>
          </w:tcPr>
          <w:p w14:paraId="03F41BDD" w14:textId="77777777" w:rsidR="0057187E" w:rsidRPr="00800B07" w:rsidRDefault="0057187E" w:rsidP="0057187E">
            <w:pPr>
              <w:rPr>
                <w:sz w:val="18"/>
                <w:szCs w:val="18"/>
                <w:lang w:val="en-GB"/>
              </w:rPr>
            </w:pPr>
            <w:r w:rsidRPr="00800B07">
              <w:rPr>
                <w:sz w:val="18"/>
                <w:szCs w:val="18"/>
                <w:lang w:val="en-GB"/>
              </w:rPr>
              <w:t>74(7</w:t>
            </w:r>
            <w:r>
              <w:rPr>
                <w:sz w:val="18"/>
                <w:szCs w:val="18"/>
                <w:lang w:val="en-GB"/>
              </w:rPr>
              <w:t>.</w:t>
            </w:r>
            <w:r w:rsidRPr="00800B07">
              <w:rPr>
                <w:sz w:val="18"/>
                <w:szCs w:val="18"/>
                <w:lang w:val="en-GB"/>
              </w:rPr>
              <w:t>8%)</w:t>
            </w:r>
          </w:p>
        </w:tc>
        <w:tc>
          <w:tcPr>
            <w:tcW w:w="2871" w:type="dxa"/>
          </w:tcPr>
          <w:p w14:paraId="46DDA5A2" w14:textId="77777777" w:rsidR="0057187E" w:rsidRPr="00800B07" w:rsidRDefault="0057187E" w:rsidP="0057187E">
            <w:pPr>
              <w:rPr>
                <w:sz w:val="18"/>
                <w:szCs w:val="18"/>
                <w:lang w:val="en-GB"/>
              </w:rPr>
            </w:pPr>
            <w:r w:rsidRPr="00800B07">
              <w:rPr>
                <w:sz w:val="18"/>
                <w:szCs w:val="18"/>
                <w:lang w:val="en-GB"/>
              </w:rPr>
              <w:t>6 (6</w:t>
            </w:r>
            <w:r>
              <w:rPr>
                <w:sz w:val="18"/>
                <w:szCs w:val="18"/>
                <w:lang w:val="en-GB"/>
              </w:rPr>
              <w:t>.</w:t>
            </w:r>
            <w:r w:rsidRPr="00800B07">
              <w:rPr>
                <w:sz w:val="18"/>
                <w:szCs w:val="18"/>
                <w:lang w:val="en-GB"/>
              </w:rPr>
              <w:t>4%)</w:t>
            </w:r>
          </w:p>
        </w:tc>
      </w:tr>
      <w:tr w:rsidR="0057187E" w:rsidRPr="00800B07" w14:paraId="6419FA73" w14:textId="77777777" w:rsidTr="0057187E">
        <w:trPr>
          <w:trHeight w:val="283"/>
        </w:trPr>
        <w:tc>
          <w:tcPr>
            <w:tcW w:w="2689" w:type="dxa"/>
            <w:tcBorders>
              <w:top w:val="single" w:sz="4" w:space="0" w:color="auto"/>
            </w:tcBorders>
          </w:tcPr>
          <w:p w14:paraId="59E59FDF" w14:textId="77777777" w:rsidR="0057187E" w:rsidRPr="00800B07" w:rsidRDefault="0057187E" w:rsidP="0057187E">
            <w:pPr>
              <w:rPr>
                <w:sz w:val="18"/>
                <w:szCs w:val="18"/>
                <w:lang w:val="en-GB"/>
              </w:rPr>
            </w:pPr>
            <w:r w:rsidRPr="00800B07">
              <w:rPr>
                <w:sz w:val="18"/>
                <w:szCs w:val="18"/>
                <w:lang w:val="en-GB"/>
              </w:rPr>
              <w:t>Nephrostomy</w:t>
            </w:r>
          </w:p>
        </w:tc>
        <w:tc>
          <w:tcPr>
            <w:tcW w:w="2870" w:type="dxa"/>
            <w:tcBorders>
              <w:top w:val="single" w:sz="4" w:space="0" w:color="auto"/>
            </w:tcBorders>
          </w:tcPr>
          <w:p w14:paraId="59331496" w14:textId="77777777" w:rsidR="0057187E" w:rsidRPr="00800B07" w:rsidRDefault="0057187E" w:rsidP="0057187E">
            <w:pPr>
              <w:rPr>
                <w:sz w:val="18"/>
                <w:szCs w:val="18"/>
                <w:lang w:val="en-GB"/>
              </w:rPr>
            </w:pPr>
            <w:r w:rsidRPr="00800B07">
              <w:rPr>
                <w:sz w:val="18"/>
                <w:szCs w:val="18"/>
                <w:lang w:val="en-GB"/>
              </w:rPr>
              <w:t>6 (0</w:t>
            </w:r>
            <w:r>
              <w:rPr>
                <w:sz w:val="18"/>
                <w:szCs w:val="18"/>
                <w:lang w:val="en-GB"/>
              </w:rPr>
              <w:t>.</w:t>
            </w:r>
            <w:r w:rsidRPr="00800B07">
              <w:rPr>
                <w:sz w:val="18"/>
                <w:szCs w:val="18"/>
                <w:lang w:val="en-GB"/>
              </w:rPr>
              <w:t>6%)</w:t>
            </w:r>
          </w:p>
        </w:tc>
        <w:tc>
          <w:tcPr>
            <w:tcW w:w="2871" w:type="dxa"/>
            <w:tcBorders>
              <w:top w:val="single" w:sz="4" w:space="0" w:color="auto"/>
            </w:tcBorders>
          </w:tcPr>
          <w:p w14:paraId="17A9B1E2" w14:textId="77777777" w:rsidR="0057187E" w:rsidRPr="00800B07" w:rsidRDefault="0057187E" w:rsidP="0057187E">
            <w:pPr>
              <w:rPr>
                <w:sz w:val="18"/>
                <w:szCs w:val="18"/>
                <w:lang w:val="en-GB"/>
              </w:rPr>
            </w:pPr>
            <w:r w:rsidRPr="00800B07">
              <w:rPr>
                <w:sz w:val="18"/>
                <w:szCs w:val="18"/>
                <w:lang w:val="en-GB"/>
              </w:rPr>
              <w:t>1 (1</w:t>
            </w:r>
            <w:r>
              <w:rPr>
                <w:sz w:val="18"/>
                <w:szCs w:val="18"/>
                <w:lang w:val="en-GB"/>
              </w:rPr>
              <w:t>.</w:t>
            </w:r>
            <w:r w:rsidRPr="00800B07">
              <w:rPr>
                <w:sz w:val="18"/>
                <w:szCs w:val="18"/>
                <w:lang w:val="en-GB"/>
              </w:rPr>
              <w:t>1%)</w:t>
            </w:r>
          </w:p>
        </w:tc>
      </w:tr>
      <w:tr w:rsidR="0057187E" w:rsidRPr="00800B07" w14:paraId="603986CA" w14:textId="77777777" w:rsidTr="0057187E">
        <w:trPr>
          <w:trHeight w:val="283"/>
        </w:trPr>
        <w:tc>
          <w:tcPr>
            <w:tcW w:w="2689" w:type="dxa"/>
          </w:tcPr>
          <w:p w14:paraId="53A9F554" w14:textId="77777777" w:rsidR="0057187E" w:rsidRPr="00800B07" w:rsidRDefault="0057187E" w:rsidP="0057187E">
            <w:pPr>
              <w:rPr>
                <w:sz w:val="18"/>
                <w:szCs w:val="18"/>
                <w:lang w:val="en-GB"/>
              </w:rPr>
            </w:pPr>
            <w:r w:rsidRPr="00800B07">
              <w:rPr>
                <w:sz w:val="18"/>
                <w:szCs w:val="18"/>
                <w:lang w:val="en-GB"/>
              </w:rPr>
              <w:t xml:space="preserve">Bladder stone lithotripsy </w:t>
            </w:r>
          </w:p>
        </w:tc>
        <w:tc>
          <w:tcPr>
            <w:tcW w:w="2870" w:type="dxa"/>
          </w:tcPr>
          <w:p w14:paraId="3A357268" w14:textId="77777777" w:rsidR="0057187E" w:rsidRPr="00800B07" w:rsidRDefault="0057187E" w:rsidP="0057187E">
            <w:pPr>
              <w:rPr>
                <w:sz w:val="18"/>
                <w:szCs w:val="18"/>
                <w:lang w:val="en-GB"/>
              </w:rPr>
            </w:pPr>
            <w:r w:rsidRPr="00800B07">
              <w:rPr>
                <w:sz w:val="18"/>
                <w:szCs w:val="18"/>
                <w:lang w:val="en-GB"/>
              </w:rPr>
              <w:t>4 (0</w:t>
            </w:r>
            <w:r>
              <w:rPr>
                <w:sz w:val="18"/>
                <w:szCs w:val="18"/>
                <w:lang w:val="en-GB"/>
              </w:rPr>
              <w:t>.</w:t>
            </w:r>
            <w:r w:rsidRPr="00800B07">
              <w:rPr>
                <w:sz w:val="18"/>
                <w:szCs w:val="18"/>
                <w:lang w:val="en-GB"/>
              </w:rPr>
              <w:t>4%)</w:t>
            </w:r>
          </w:p>
        </w:tc>
        <w:tc>
          <w:tcPr>
            <w:tcW w:w="2871" w:type="dxa"/>
          </w:tcPr>
          <w:p w14:paraId="2F72BFEC" w14:textId="77777777" w:rsidR="0057187E" w:rsidRPr="00800B07" w:rsidRDefault="0057187E" w:rsidP="0057187E">
            <w:pPr>
              <w:rPr>
                <w:sz w:val="18"/>
                <w:szCs w:val="18"/>
                <w:lang w:val="en-GB"/>
              </w:rPr>
            </w:pPr>
            <w:r w:rsidRPr="00800B07">
              <w:rPr>
                <w:sz w:val="18"/>
                <w:szCs w:val="18"/>
                <w:lang w:val="en-GB"/>
              </w:rPr>
              <w:t>0</w:t>
            </w:r>
          </w:p>
        </w:tc>
      </w:tr>
      <w:tr w:rsidR="0057187E" w:rsidRPr="00800B07" w14:paraId="6A8E8C4B" w14:textId="77777777" w:rsidTr="0057187E">
        <w:trPr>
          <w:trHeight w:val="283"/>
        </w:trPr>
        <w:tc>
          <w:tcPr>
            <w:tcW w:w="2689" w:type="dxa"/>
          </w:tcPr>
          <w:p w14:paraId="19F4ED38" w14:textId="77777777" w:rsidR="0057187E" w:rsidRPr="00800B07" w:rsidRDefault="0057187E" w:rsidP="0057187E">
            <w:pPr>
              <w:rPr>
                <w:sz w:val="18"/>
                <w:szCs w:val="18"/>
                <w:lang w:val="en-GB"/>
              </w:rPr>
            </w:pPr>
            <w:r w:rsidRPr="00800B07">
              <w:rPr>
                <w:sz w:val="18"/>
                <w:szCs w:val="18"/>
                <w:lang w:val="en-GB"/>
              </w:rPr>
              <w:t>(Partial) nephrectomy</w:t>
            </w:r>
          </w:p>
        </w:tc>
        <w:tc>
          <w:tcPr>
            <w:tcW w:w="2870" w:type="dxa"/>
          </w:tcPr>
          <w:p w14:paraId="643D3E28" w14:textId="77777777" w:rsidR="0057187E" w:rsidRPr="00800B07" w:rsidRDefault="0057187E" w:rsidP="0057187E">
            <w:pPr>
              <w:rPr>
                <w:sz w:val="18"/>
                <w:szCs w:val="18"/>
                <w:lang w:val="en-GB"/>
              </w:rPr>
            </w:pPr>
            <w:r w:rsidRPr="00800B07">
              <w:rPr>
                <w:sz w:val="18"/>
                <w:szCs w:val="18"/>
                <w:lang w:val="en-GB"/>
              </w:rPr>
              <w:t>2 (0</w:t>
            </w:r>
            <w:r>
              <w:rPr>
                <w:sz w:val="18"/>
                <w:szCs w:val="18"/>
                <w:lang w:val="en-GB"/>
              </w:rPr>
              <w:t>.</w:t>
            </w:r>
            <w:r w:rsidRPr="00800B07">
              <w:rPr>
                <w:sz w:val="18"/>
                <w:szCs w:val="18"/>
                <w:lang w:val="en-GB"/>
              </w:rPr>
              <w:t>2%)</w:t>
            </w:r>
          </w:p>
        </w:tc>
        <w:tc>
          <w:tcPr>
            <w:tcW w:w="2871" w:type="dxa"/>
          </w:tcPr>
          <w:p w14:paraId="1C8662F2" w14:textId="77777777" w:rsidR="0057187E" w:rsidRPr="00800B07" w:rsidRDefault="0057187E" w:rsidP="0057187E">
            <w:pPr>
              <w:rPr>
                <w:sz w:val="18"/>
                <w:szCs w:val="18"/>
                <w:lang w:val="en-GB"/>
              </w:rPr>
            </w:pPr>
            <w:r w:rsidRPr="00800B07">
              <w:rPr>
                <w:sz w:val="18"/>
                <w:szCs w:val="18"/>
                <w:lang w:val="en-GB"/>
              </w:rPr>
              <w:t>0</w:t>
            </w:r>
          </w:p>
        </w:tc>
      </w:tr>
      <w:tr w:rsidR="0057187E" w:rsidRPr="00800B07" w14:paraId="7701E81D" w14:textId="77777777" w:rsidTr="0057187E">
        <w:trPr>
          <w:trHeight w:val="283"/>
        </w:trPr>
        <w:tc>
          <w:tcPr>
            <w:tcW w:w="2689" w:type="dxa"/>
          </w:tcPr>
          <w:p w14:paraId="79A903CA" w14:textId="77777777" w:rsidR="0057187E" w:rsidRPr="00800B07" w:rsidRDefault="0057187E" w:rsidP="0057187E">
            <w:pPr>
              <w:rPr>
                <w:sz w:val="18"/>
                <w:szCs w:val="18"/>
                <w:lang w:val="en-GB"/>
              </w:rPr>
            </w:pPr>
            <w:r w:rsidRPr="00800B07">
              <w:rPr>
                <w:sz w:val="18"/>
                <w:szCs w:val="18"/>
                <w:lang w:val="en-GB"/>
              </w:rPr>
              <w:t xml:space="preserve">Open surgery </w:t>
            </w:r>
          </w:p>
        </w:tc>
        <w:tc>
          <w:tcPr>
            <w:tcW w:w="2870" w:type="dxa"/>
          </w:tcPr>
          <w:p w14:paraId="640367D3" w14:textId="77777777" w:rsidR="0057187E" w:rsidRPr="00800B07" w:rsidRDefault="0057187E" w:rsidP="0057187E">
            <w:pPr>
              <w:rPr>
                <w:sz w:val="18"/>
                <w:szCs w:val="18"/>
                <w:lang w:val="en-GB"/>
              </w:rPr>
            </w:pPr>
            <w:r w:rsidRPr="00800B07">
              <w:rPr>
                <w:sz w:val="18"/>
                <w:szCs w:val="18"/>
                <w:lang w:val="en-GB"/>
              </w:rPr>
              <w:t>8 (0</w:t>
            </w:r>
            <w:r>
              <w:rPr>
                <w:sz w:val="18"/>
                <w:szCs w:val="18"/>
                <w:lang w:val="en-GB"/>
              </w:rPr>
              <w:t>.</w:t>
            </w:r>
            <w:r w:rsidRPr="00800B07">
              <w:rPr>
                <w:sz w:val="18"/>
                <w:szCs w:val="18"/>
                <w:lang w:val="en-GB"/>
              </w:rPr>
              <w:t>8%)</w:t>
            </w:r>
          </w:p>
        </w:tc>
        <w:tc>
          <w:tcPr>
            <w:tcW w:w="2871" w:type="dxa"/>
          </w:tcPr>
          <w:p w14:paraId="71B2E4D6" w14:textId="77777777" w:rsidR="0057187E" w:rsidRPr="00800B07" w:rsidRDefault="0057187E" w:rsidP="0057187E">
            <w:pPr>
              <w:rPr>
                <w:sz w:val="18"/>
                <w:szCs w:val="18"/>
                <w:lang w:val="en-GB"/>
              </w:rPr>
            </w:pPr>
            <w:r w:rsidRPr="00800B07">
              <w:rPr>
                <w:sz w:val="18"/>
                <w:szCs w:val="18"/>
                <w:lang w:val="en-GB"/>
              </w:rPr>
              <w:t>0</w:t>
            </w:r>
          </w:p>
        </w:tc>
      </w:tr>
      <w:tr w:rsidR="0057187E" w:rsidRPr="00800B07" w14:paraId="22243703" w14:textId="77777777" w:rsidTr="0057187E">
        <w:trPr>
          <w:trHeight w:val="283"/>
        </w:trPr>
        <w:tc>
          <w:tcPr>
            <w:tcW w:w="2689" w:type="dxa"/>
          </w:tcPr>
          <w:p w14:paraId="1F32A2D6" w14:textId="77777777" w:rsidR="0057187E" w:rsidRPr="00800B07" w:rsidRDefault="0057187E" w:rsidP="0057187E">
            <w:pPr>
              <w:rPr>
                <w:sz w:val="18"/>
                <w:szCs w:val="18"/>
                <w:lang w:val="en-GB"/>
              </w:rPr>
            </w:pPr>
            <w:r w:rsidRPr="00800B07">
              <w:rPr>
                <w:sz w:val="18"/>
                <w:szCs w:val="18"/>
                <w:lang w:val="en-GB"/>
              </w:rPr>
              <w:t xml:space="preserve">Bladder stone cystostomy </w:t>
            </w:r>
          </w:p>
        </w:tc>
        <w:tc>
          <w:tcPr>
            <w:tcW w:w="2870" w:type="dxa"/>
          </w:tcPr>
          <w:p w14:paraId="749DC0C8" w14:textId="77777777" w:rsidR="0057187E" w:rsidRPr="00800B07" w:rsidRDefault="0057187E" w:rsidP="0057187E">
            <w:pPr>
              <w:rPr>
                <w:sz w:val="18"/>
                <w:szCs w:val="18"/>
                <w:lang w:val="en-GB"/>
              </w:rPr>
            </w:pPr>
            <w:r w:rsidRPr="00800B07">
              <w:rPr>
                <w:sz w:val="18"/>
                <w:szCs w:val="18"/>
                <w:lang w:val="en-GB"/>
              </w:rPr>
              <w:t>1 (0</w:t>
            </w:r>
            <w:r>
              <w:rPr>
                <w:sz w:val="18"/>
                <w:szCs w:val="18"/>
                <w:lang w:val="en-GB"/>
              </w:rPr>
              <w:t>.</w:t>
            </w:r>
            <w:r w:rsidRPr="00800B07">
              <w:rPr>
                <w:sz w:val="18"/>
                <w:szCs w:val="18"/>
                <w:lang w:val="en-GB"/>
              </w:rPr>
              <w:t>1%)</w:t>
            </w:r>
          </w:p>
        </w:tc>
        <w:tc>
          <w:tcPr>
            <w:tcW w:w="2871" w:type="dxa"/>
          </w:tcPr>
          <w:p w14:paraId="62F9BF13" w14:textId="77777777" w:rsidR="0057187E" w:rsidRPr="00800B07" w:rsidRDefault="0057187E" w:rsidP="0057187E">
            <w:pPr>
              <w:rPr>
                <w:sz w:val="18"/>
                <w:szCs w:val="18"/>
                <w:lang w:val="en-GB"/>
              </w:rPr>
            </w:pPr>
            <w:r w:rsidRPr="00800B07">
              <w:rPr>
                <w:sz w:val="18"/>
                <w:szCs w:val="18"/>
                <w:lang w:val="en-GB"/>
              </w:rPr>
              <w:t>1 (1</w:t>
            </w:r>
            <w:r>
              <w:rPr>
                <w:sz w:val="18"/>
                <w:szCs w:val="18"/>
                <w:lang w:val="en-GB"/>
              </w:rPr>
              <w:t>.</w:t>
            </w:r>
            <w:r w:rsidRPr="00800B07">
              <w:rPr>
                <w:sz w:val="18"/>
                <w:szCs w:val="18"/>
                <w:lang w:val="en-GB"/>
              </w:rPr>
              <w:t>1%)</w:t>
            </w:r>
          </w:p>
        </w:tc>
      </w:tr>
    </w:tbl>
    <w:p w14:paraId="625F3246" w14:textId="77777777" w:rsidR="0057187E" w:rsidRPr="00800B07" w:rsidRDefault="0057187E" w:rsidP="0057187E">
      <w:pPr>
        <w:spacing w:after="0"/>
        <w:rPr>
          <w:sz w:val="18"/>
          <w:szCs w:val="18"/>
          <w:u w:val="single"/>
          <w:lang w:val="en-GB"/>
        </w:rPr>
      </w:pPr>
      <w:r w:rsidRPr="00800B07">
        <w:rPr>
          <w:sz w:val="18"/>
          <w:szCs w:val="18"/>
          <w:u w:val="single"/>
          <w:lang w:val="en-GB"/>
        </w:rPr>
        <w:br w:type="textWrapping" w:clear="all"/>
      </w:r>
    </w:p>
    <w:p w14:paraId="45CB81DA" w14:textId="77777777" w:rsidR="0057187E" w:rsidRDefault="0057187E" w:rsidP="005769F3">
      <w:pPr>
        <w:spacing w:line="480" w:lineRule="auto"/>
        <w:jc w:val="both"/>
        <w:rPr>
          <w:lang w:val="en-GB"/>
        </w:rPr>
        <w:sectPr w:rsidR="0057187E" w:rsidSect="0057187E">
          <w:pgSz w:w="16838" w:h="11906" w:orient="landscape"/>
          <w:pgMar w:top="1418" w:right="1418" w:bottom="1418" w:left="1418" w:header="709" w:footer="709" w:gutter="0"/>
          <w:cols w:space="708"/>
          <w:docGrid w:linePitch="360"/>
        </w:sectPr>
      </w:pPr>
    </w:p>
    <w:p w14:paraId="0D5B9A7B" w14:textId="6C2EA3FA" w:rsidR="001B324E" w:rsidRPr="008E4DC6" w:rsidRDefault="00545712" w:rsidP="00CC6FA2">
      <w:pPr>
        <w:pStyle w:val="Kop2"/>
        <w:numPr>
          <w:ilvl w:val="0"/>
          <w:numId w:val="4"/>
        </w:numPr>
        <w:spacing w:line="480" w:lineRule="auto"/>
        <w:rPr>
          <w:lang w:val="en-GB"/>
        </w:rPr>
      </w:pPr>
      <w:bookmarkStart w:id="103" w:name="_Toc68333381"/>
      <w:bookmarkStart w:id="104" w:name="_Toc70238569"/>
      <w:r>
        <w:rPr>
          <w:lang w:val="en-GB"/>
        </w:rPr>
        <w:lastRenderedPageBreak/>
        <w:t>POST-TREATMENT FINDINGS</w:t>
      </w:r>
      <w:bookmarkEnd w:id="103"/>
      <w:bookmarkEnd w:id="104"/>
    </w:p>
    <w:p w14:paraId="2DEAD692" w14:textId="373FD05B" w:rsidR="00D5507A" w:rsidRDefault="00D5507A" w:rsidP="00CC6FA2">
      <w:pPr>
        <w:pStyle w:val="Kop3"/>
        <w:numPr>
          <w:ilvl w:val="1"/>
          <w:numId w:val="9"/>
        </w:numPr>
        <w:spacing w:line="480" w:lineRule="auto"/>
        <w:rPr>
          <w:lang w:val="en-GB"/>
        </w:rPr>
      </w:pPr>
      <w:bookmarkStart w:id="105" w:name="_Toc68163871"/>
      <w:bookmarkStart w:id="106" w:name="_Toc68333382"/>
      <w:bookmarkStart w:id="107" w:name="_Toc68704056"/>
      <w:bookmarkStart w:id="108" w:name="_Toc70154219"/>
      <w:bookmarkStart w:id="109" w:name="_Toc70238570"/>
      <w:r>
        <w:rPr>
          <w:lang w:val="en-GB"/>
        </w:rPr>
        <w:t>Evolution of the urinary risk factors</w:t>
      </w:r>
      <w:bookmarkEnd w:id="105"/>
      <w:bookmarkEnd w:id="106"/>
      <w:bookmarkEnd w:id="107"/>
      <w:bookmarkEnd w:id="108"/>
      <w:bookmarkEnd w:id="109"/>
    </w:p>
    <w:p w14:paraId="2628F380" w14:textId="1D417853" w:rsidR="0091408E" w:rsidRDefault="00D77BF4" w:rsidP="005769F3">
      <w:pPr>
        <w:spacing w:line="480" w:lineRule="auto"/>
        <w:jc w:val="both"/>
        <w:rPr>
          <w:lang w:val="en-GB"/>
        </w:rPr>
      </w:pPr>
      <w:r w:rsidRPr="00D77BF4">
        <w:rPr>
          <w:lang w:val="en-GB"/>
        </w:rPr>
        <w:t xml:space="preserve">The mean urinary </w:t>
      </w:r>
      <w:r>
        <w:rPr>
          <w:lang w:val="en-GB"/>
        </w:rPr>
        <w:t>parameters pre- and post</w:t>
      </w:r>
      <w:r w:rsidR="00F06883">
        <w:rPr>
          <w:lang w:val="en-GB"/>
        </w:rPr>
        <w:t>-</w:t>
      </w:r>
      <w:r>
        <w:rPr>
          <w:lang w:val="en-GB"/>
        </w:rPr>
        <w:t xml:space="preserve">treatment can be found in table </w:t>
      </w:r>
      <w:r w:rsidR="00D75D27">
        <w:rPr>
          <w:lang w:val="en-GB"/>
        </w:rPr>
        <w:t>10</w:t>
      </w:r>
      <w:r>
        <w:rPr>
          <w:lang w:val="en-GB"/>
        </w:rPr>
        <w:t xml:space="preserve"> for patients with at least six months of follow-up and in table </w:t>
      </w:r>
      <w:r w:rsidR="00D75D27">
        <w:rPr>
          <w:lang w:val="en-GB"/>
        </w:rPr>
        <w:t>11</w:t>
      </w:r>
      <w:r>
        <w:rPr>
          <w:lang w:val="en-GB"/>
        </w:rPr>
        <w:t xml:space="preserve"> for patients with at least six months of follow-up who presented urinary risk factors at baseline.</w:t>
      </w:r>
    </w:p>
    <w:p w14:paraId="3DB59A49" w14:textId="5C48CD2C" w:rsidR="000C3DA1" w:rsidRPr="00D42CE0" w:rsidRDefault="00B25FC9" w:rsidP="005769F3">
      <w:pPr>
        <w:spacing w:line="480" w:lineRule="auto"/>
        <w:jc w:val="both"/>
        <w:rPr>
          <w:rFonts w:cstheme="minorHAnsi"/>
          <w:lang w:val="en-GB"/>
        </w:rPr>
      </w:pPr>
      <w:r>
        <w:rPr>
          <w:lang w:val="en-GB"/>
        </w:rPr>
        <w:t>In all patients with at least six months of follow-up, c</w:t>
      </w:r>
      <w:r w:rsidR="000C3DA1">
        <w:rPr>
          <w:lang w:val="en-GB"/>
        </w:rPr>
        <w:t>ombined preventive measures significantly reduced urinary sodium excretion</w:t>
      </w:r>
      <w:r>
        <w:rPr>
          <w:lang w:val="en-GB"/>
        </w:rPr>
        <w:t xml:space="preserve"> </w:t>
      </w:r>
      <w:r w:rsidR="000C3DA1">
        <w:rPr>
          <w:lang w:val="en-GB"/>
        </w:rPr>
        <w:t>(</w:t>
      </w:r>
      <w:r w:rsidR="00B776D3" w:rsidRPr="00B776D3">
        <w:rPr>
          <w:rFonts w:cstheme="minorHAnsi"/>
          <w:i/>
          <w:iCs/>
          <w:lang w:val="en-GB"/>
        </w:rPr>
        <w:t>P</w:t>
      </w:r>
      <w:r w:rsidR="000C3DA1">
        <w:rPr>
          <w:lang w:val="en-GB"/>
        </w:rPr>
        <w:t>&lt;0</w:t>
      </w:r>
      <w:r w:rsidR="00F620E5">
        <w:rPr>
          <w:lang w:val="en-GB"/>
        </w:rPr>
        <w:t>.</w:t>
      </w:r>
      <w:r w:rsidR="000C3DA1">
        <w:rPr>
          <w:lang w:val="en-GB"/>
        </w:rPr>
        <w:t xml:space="preserve">05), calciuria </w:t>
      </w:r>
      <w:r>
        <w:rPr>
          <w:lang w:val="en-GB"/>
        </w:rPr>
        <w:t>(</w:t>
      </w:r>
      <w:r w:rsidR="00B776D3" w:rsidRPr="00B776D3">
        <w:rPr>
          <w:rFonts w:cstheme="minorHAnsi"/>
          <w:i/>
          <w:iCs/>
          <w:lang w:val="en-GB"/>
        </w:rPr>
        <w:t>P</w:t>
      </w:r>
      <w:r w:rsidR="00D325FB" w:rsidRPr="00D325FB">
        <w:rPr>
          <w:lang w:val="en-GB"/>
        </w:rPr>
        <w:t>&lt;</w:t>
      </w:r>
      <w:r w:rsidR="002074A0">
        <w:rPr>
          <w:rFonts w:cstheme="minorHAnsi"/>
          <w:lang w:val="en-GB"/>
        </w:rPr>
        <w:t>0</w:t>
      </w:r>
      <w:r w:rsidR="00D42CE0">
        <w:rPr>
          <w:rFonts w:cstheme="minorHAnsi"/>
          <w:lang w:val="en-GB"/>
        </w:rPr>
        <w:t>.</w:t>
      </w:r>
      <w:r w:rsidR="002074A0">
        <w:rPr>
          <w:rFonts w:cstheme="minorHAnsi"/>
          <w:lang w:val="en-GB"/>
        </w:rPr>
        <w:t>0001</w:t>
      </w:r>
      <w:r>
        <w:rPr>
          <w:lang w:val="en-GB"/>
        </w:rPr>
        <w:t>)</w:t>
      </w:r>
      <w:r w:rsidR="00D325FB">
        <w:rPr>
          <w:lang w:val="en-GB"/>
        </w:rPr>
        <w:t>, uricosuria</w:t>
      </w:r>
      <w:r>
        <w:rPr>
          <w:lang w:val="en-GB"/>
        </w:rPr>
        <w:t>(</w:t>
      </w:r>
      <w:r w:rsidR="00B776D3" w:rsidRPr="00B776D3">
        <w:rPr>
          <w:rFonts w:cstheme="minorHAnsi"/>
          <w:i/>
          <w:iCs/>
          <w:lang w:val="en-GB"/>
        </w:rPr>
        <w:t>P</w:t>
      </w:r>
      <w:r w:rsidR="002074A0" w:rsidRPr="00D325FB">
        <w:rPr>
          <w:lang w:val="en-GB"/>
        </w:rPr>
        <w:t>&lt;</w:t>
      </w:r>
      <w:r w:rsidR="002074A0">
        <w:rPr>
          <w:rFonts w:cstheme="minorHAnsi"/>
          <w:lang w:val="en-GB"/>
        </w:rPr>
        <w:t>0</w:t>
      </w:r>
      <w:r w:rsidR="00D42CE0">
        <w:rPr>
          <w:rFonts w:cstheme="minorHAnsi"/>
          <w:lang w:val="en-GB"/>
        </w:rPr>
        <w:t>.</w:t>
      </w:r>
      <w:r w:rsidR="002074A0">
        <w:rPr>
          <w:rFonts w:cstheme="minorHAnsi"/>
          <w:lang w:val="en-GB"/>
        </w:rPr>
        <w:t>0001</w:t>
      </w:r>
      <w:r>
        <w:rPr>
          <w:lang w:val="en-GB"/>
        </w:rPr>
        <w:t>)</w:t>
      </w:r>
      <w:r w:rsidR="00D325FB">
        <w:rPr>
          <w:lang w:val="en-GB"/>
        </w:rPr>
        <w:t xml:space="preserve">  and phosphaturia (</w:t>
      </w:r>
      <w:r w:rsidR="00B776D3" w:rsidRPr="00B776D3">
        <w:rPr>
          <w:rFonts w:cstheme="minorHAnsi"/>
          <w:i/>
          <w:iCs/>
          <w:lang w:val="en-GB"/>
        </w:rPr>
        <w:t>P</w:t>
      </w:r>
      <w:r w:rsidR="00D325FB">
        <w:rPr>
          <w:lang w:val="en-GB"/>
        </w:rPr>
        <w:t>&lt;0</w:t>
      </w:r>
      <w:r w:rsidR="00F620E5">
        <w:rPr>
          <w:lang w:val="en-GB"/>
        </w:rPr>
        <w:t>.</w:t>
      </w:r>
      <w:r w:rsidR="00D325FB">
        <w:rPr>
          <w:lang w:val="en-GB"/>
        </w:rPr>
        <w:t>0</w:t>
      </w:r>
      <w:r w:rsidR="00D42CE0">
        <w:rPr>
          <w:lang w:val="en-GB"/>
        </w:rPr>
        <w:t>0</w:t>
      </w:r>
      <w:r w:rsidR="00D325FB">
        <w:rPr>
          <w:lang w:val="en-GB"/>
        </w:rPr>
        <w:t>5)</w:t>
      </w:r>
      <w:r w:rsidR="00492E57">
        <w:rPr>
          <w:lang w:val="en-GB"/>
        </w:rPr>
        <w:t xml:space="preserve">. Additionally, a </w:t>
      </w:r>
      <w:r w:rsidR="00D325FB">
        <w:rPr>
          <w:lang w:val="en-GB"/>
        </w:rPr>
        <w:t>significant</w:t>
      </w:r>
      <w:r w:rsidR="00492E57">
        <w:rPr>
          <w:lang w:val="en-GB"/>
        </w:rPr>
        <w:t xml:space="preserve"> increase in </w:t>
      </w:r>
      <w:r w:rsidR="00D325FB">
        <w:rPr>
          <w:lang w:val="en-GB"/>
        </w:rPr>
        <w:t xml:space="preserve">urinary volume </w:t>
      </w:r>
      <w:r w:rsidR="00D325FB" w:rsidRPr="00D325FB">
        <w:rPr>
          <w:lang w:val="en-GB"/>
        </w:rPr>
        <w:t>(</w:t>
      </w:r>
      <w:r w:rsidR="00B776D3" w:rsidRPr="00B776D3">
        <w:rPr>
          <w:rFonts w:cstheme="minorHAnsi"/>
          <w:i/>
          <w:iCs/>
          <w:lang w:val="en-GB"/>
        </w:rPr>
        <w:t>P</w:t>
      </w:r>
      <w:r w:rsidR="002074A0" w:rsidRPr="00D325FB">
        <w:rPr>
          <w:lang w:val="en-GB"/>
        </w:rPr>
        <w:t>&lt;</w:t>
      </w:r>
      <w:r w:rsidR="002074A0">
        <w:rPr>
          <w:rFonts w:cstheme="minorHAnsi"/>
          <w:lang w:val="en-GB"/>
        </w:rPr>
        <w:t>0</w:t>
      </w:r>
      <w:r w:rsidR="00D42CE0">
        <w:rPr>
          <w:rFonts w:cstheme="minorHAnsi"/>
          <w:lang w:val="en-GB"/>
        </w:rPr>
        <w:t>.</w:t>
      </w:r>
      <w:r w:rsidR="002074A0">
        <w:rPr>
          <w:rFonts w:cstheme="minorHAnsi"/>
          <w:lang w:val="en-GB"/>
        </w:rPr>
        <w:t>0001</w:t>
      </w:r>
      <w:r w:rsidR="00D325FB" w:rsidRPr="00D325FB">
        <w:rPr>
          <w:lang w:val="en-GB"/>
        </w:rPr>
        <w:t>)</w:t>
      </w:r>
      <w:r w:rsidR="00492E57">
        <w:rPr>
          <w:lang w:val="en-GB"/>
        </w:rPr>
        <w:t xml:space="preserve"> was determined</w:t>
      </w:r>
      <w:r w:rsidR="00D325FB">
        <w:rPr>
          <w:lang w:val="en-GB"/>
        </w:rPr>
        <w:t>.</w:t>
      </w:r>
    </w:p>
    <w:p w14:paraId="0FA009C0" w14:textId="0A05D172" w:rsidR="00D325FB" w:rsidRDefault="00BB713E" w:rsidP="005769F3">
      <w:pPr>
        <w:spacing w:line="480" w:lineRule="auto"/>
        <w:jc w:val="both"/>
        <w:rPr>
          <w:rFonts w:cstheme="minorHAnsi"/>
          <w:lang w:val="en-GB"/>
        </w:rPr>
      </w:pPr>
      <w:r>
        <w:rPr>
          <w:lang w:val="en-GB"/>
        </w:rPr>
        <w:t>I</w:t>
      </w:r>
      <w:r w:rsidR="00D325FB" w:rsidRPr="00D325FB">
        <w:rPr>
          <w:lang w:val="en-GB"/>
        </w:rPr>
        <w:t>n patients with hyperoxaluria</w:t>
      </w:r>
      <w:r w:rsidR="00DC7FE7">
        <w:rPr>
          <w:lang w:val="en-GB"/>
        </w:rPr>
        <w:t xml:space="preserve"> and </w:t>
      </w:r>
      <w:r w:rsidR="00D325FB" w:rsidRPr="00D325FB">
        <w:rPr>
          <w:lang w:val="en-GB"/>
        </w:rPr>
        <w:t>increased protein intake</w:t>
      </w:r>
      <w:r w:rsidR="00DC7FE7">
        <w:rPr>
          <w:lang w:val="en-GB"/>
        </w:rPr>
        <w:t xml:space="preserve"> </w:t>
      </w:r>
      <w:r w:rsidR="00D325FB" w:rsidRPr="00D325FB">
        <w:rPr>
          <w:lang w:val="en-GB"/>
        </w:rPr>
        <w:t>at baseline evaluation, combined preventive measures significantly reduced urinary oxalate excretion (</w:t>
      </w:r>
      <w:r w:rsidR="00B776D3" w:rsidRPr="00B776D3">
        <w:rPr>
          <w:rFonts w:cstheme="minorHAnsi"/>
          <w:i/>
          <w:iCs/>
          <w:lang w:val="en-GB"/>
        </w:rPr>
        <w:t>P</w:t>
      </w:r>
      <w:r w:rsidR="002074A0" w:rsidRPr="00D325FB">
        <w:rPr>
          <w:lang w:val="en-GB"/>
        </w:rPr>
        <w:t>&lt;</w:t>
      </w:r>
      <w:r w:rsidR="002074A0">
        <w:rPr>
          <w:rFonts w:cstheme="minorHAnsi"/>
          <w:lang w:val="en-GB"/>
        </w:rPr>
        <w:t>0</w:t>
      </w:r>
      <w:r w:rsidR="00D42CE0">
        <w:rPr>
          <w:rFonts w:cstheme="minorHAnsi"/>
          <w:lang w:val="en-GB"/>
        </w:rPr>
        <w:t>.</w:t>
      </w:r>
      <w:r w:rsidR="002074A0">
        <w:rPr>
          <w:rFonts w:cstheme="minorHAnsi"/>
          <w:lang w:val="en-GB"/>
        </w:rPr>
        <w:t>0001</w:t>
      </w:r>
      <w:r w:rsidR="00D325FB" w:rsidRPr="00D325FB">
        <w:rPr>
          <w:rFonts w:cstheme="minorHAnsi"/>
          <w:lang w:val="en-GB"/>
        </w:rPr>
        <w:t>)</w:t>
      </w:r>
      <w:r w:rsidR="00D325FB">
        <w:rPr>
          <w:rFonts w:cstheme="minorHAnsi"/>
          <w:lang w:val="en-GB"/>
        </w:rPr>
        <w:t xml:space="preserve"> and </w:t>
      </w:r>
      <w:r w:rsidR="00D325FB">
        <w:rPr>
          <w:lang w:val="en-GB"/>
        </w:rPr>
        <w:t xml:space="preserve"> protein intake (</w:t>
      </w:r>
      <w:r w:rsidR="00B776D3" w:rsidRPr="00B776D3">
        <w:rPr>
          <w:rFonts w:cstheme="minorHAnsi"/>
          <w:i/>
          <w:iCs/>
          <w:lang w:val="en-GB"/>
        </w:rPr>
        <w:t>P</w:t>
      </w:r>
      <w:r w:rsidR="002074A0" w:rsidRPr="00D325FB">
        <w:rPr>
          <w:lang w:val="en-GB"/>
        </w:rPr>
        <w:t>&lt;</w:t>
      </w:r>
      <w:r w:rsidR="002074A0">
        <w:rPr>
          <w:rFonts w:cstheme="minorHAnsi"/>
          <w:lang w:val="en-GB"/>
        </w:rPr>
        <w:t>0</w:t>
      </w:r>
      <w:r w:rsidR="00D42CE0">
        <w:rPr>
          <w:rFonts w:cstheme="minorHAnsi"/>
          <w:lang w:val="en-GB"/>
        </w:rPr>
        <w:t>.</w:t>
      </w:r>
      <w:r w:rsidR="002074A0">
        <w:rPr>
          <w:rFonts w:cstheme="minorHAnsi"/>
          <w:lang w:val="en-GB"/>
        </w:rPr>
        <w:t>0001</w:t>
      </w:r>
      <w:r w:rsidR="00D325FB" w:rsidRPr="00D325FB">
        <w:rPr>
          <w:rFonts w:cstheme="minorHAnsi"/>
          <w:lang w:val="en-GB"/>
        </w:rPr>
        <w:t>)</w:t>
      </w:r>
      <w:r w:rsidR="00492E57">
        <w:rPr>
          <w:rFonts w:cstheme="minorHAnsi"/>
          <w:lang w:val="en-GB"/>
        </w:rPr>
        <w:t>. Furthermore, a significant increase in</w:t>
      </w:r>
      <w:r w:rsidR="00DC7FE7">
        <w:rPr>
          <w:rFonts w:cstheme="minorHAnsi"/>
          <w:lang w:val="en-GB"/>
        </w:rPr>
        <w:t xml:space="preserve"> patients with </w:t>
      </w:r>
      <w:r w:rsidR="00492E57">
        <w:rPr>
          <w:rFonts w:cstheme="minorHAnsi"/>
          <w:lang w:val="en-GB"/>
        </w:rPr>
        <w:t xml:space="preserve"> </w:t>
      </w:r>
      <w:r w:rsidR="00DC7FE7" w:rsidRPr="00DC7FE7">
        <w:rPr>
          <w:rFonts w:cstheme="minorHAnsi"/>
          <w:lang w:val="en-GB"/>
        </w:rPr>
        <w:t xml:space="preserve">hypocitraturia and low urinary pH </w:t>
      </w:r>
      <w:r w:rsidR="00DC7FE7">
        <w:rPr>
          <w:rFonts w:cstheme="minorHAnsi"/>
          <w:lang w:val="en-GB"/>
        </w:rPr>
        <w:t xml:space="preserve"> at baseline in </w:t>
      </w:r>
      <w:r w:rsidR="00D325FB">
        <w:rPr>
          <w:lang w:val="en-GB"/>
        </w:rPr>
        <w:t xml:space="preserve">urinary citrate excretion  </w:t>
      </w:r>
      <w:r w:rsidR="00D325FB" w:rsidRPr="00D325FB">
        <w:rPr>
          <w:lang w:val="en-GB"/>
        </w:rPr>
        <w:t>(</w:t>
      </w:r>
      <w:r w:rsidR="00B776D3" w:rsidRPr="00B776D3">
        <w:rPr>
          <w:rFonts w:cstheme="minorHAnsi"/>
          <w:i/>
          <w:iCs/>
          <w:lang w:val="en-GB"/>
        </w:rPr>
        <w:t>P</w:t>
      </w:r>
      <w:r w:rsidR="002074A0" w:rsidRPr="00D325FB">
        <w:rPr>
          <w:lang w:val="en-GB"/>
        </w:rPr>
        <w:t>&lt;</w:t>
      </w:r>
      <w:r w:rsidR="002074A0">
        <w:rPr>
          <w:rFonts w:cstheme="minorHAnsi"/>
          <w:lang w:val="en-GB"/>
        </w:rPr>
        <w:t>0</w:t>
      </w:r>
      <w:r w:rsidR="00D42CE0">
        <w:rPr>
          <w:rFonts w:cstheme="minorHAnsi"/>
          <w:lang w:val="en-GB"/>
        </w:rPr>
        <w:t>.</w:t>
      </w:r>
      <w:r w:rsidR="002074A0">
        <w:rPr>
          <w:rFonts w:cstheme="minorHAnsi"/>
          <w:lang w:val="en-GB"/>
        </w:rPr>
        <w:t>0001</w:t>
      </w:r>
      <w:r w:rsidR="00D325FB" w:rsidRPr="00D325FB">
        <w:rPr>
          <w:rFonts w:cstheme="minorHAnsi"/>
          <w:lang w:val="en-GB"/>
        </w:rPr>
        <w:t>)</w:t>
      </w:r>
      <w:r w:rsidR="00D325FB">
        <w:rPr>
          <w:rFonts w:cstheme="minorHAnsi"/>
          <w:lang w:val="en-GB"/>
        </w:rPr>
        <w:t xml:space="preserve"> </w:t>
      </w:r>
      <w:r w:rsidR="00D325FB">
        <w:rPr>
          <w:lang w:val="en-GB"/>
        </w:rPr>
        <w:t>and urinary pH (</w:t>
      </w:r>
      <w:r w:rsidR="00B776D3" w:rsidRPr="00B776D3">
        <w:rPr>
          <w:rFonts w:cstheme="minorHAnsi"/>
          <w:i/>
          <w:iCs/>
          <w:lang w:val="en-GB"/>
        </w:rPr>
        <w:t>P</w:t>
      </w:r>
      <w:r w:rsidR="002074A0" w:rsidRPr="00D325FB">
        <w:rPr>
          <w:lang w:val="en-GB"/>
        </w:rPr>
        <w:t>&lt;</w:t>
      </w:r>
      <w:r w:rsidR="002074A0">
        <w:rPr>
          <w:rFonts w:cstheme="minorHAnsi"/>
          <w:lang w:val="en-GB"/>
        </w:rPr>
        <w:t>0</w:t>
      </w:r>
      <w:r w:rsidR="00D42CE0">
        <w:rPr>
          <w:rFonts w:cstheme="minorHAnsi"/>
          <w:lang w:val="en-GB"/>
        </w:rPr>
        <w:t>.</w:t>
      </w:r>
      <w:r w:rsidR="002074A0">
        <w:rPr>
          <w:rFonts w:cstheme="minorHAnsi"/>
          <w:lang w:val="en-GB"/>
        </w:rPr>
        <w:t>0001</w:t>
      </w:r>
      <w:r w:rsidR="00D325FB" w:rsidRPr="00D325FB">
        <w:rPr>
          <w:rFonts w:cstheme="minorHAnsi"/>
          <w:lang w:val="en-GB"/>
        </w:rPr>
        <w:t>)</w:t>
      </w:r>
      <w:r w:rsidR="00492E57">
        <w:rPr>
          <w:rFonts w:cstheme="minorHAnsi"/>
          <w:lang w:val="en-GB"/>
        </w:rPr>
        <w:t xml:space="preserve"> could be demonstrated</w:t>
      </w:r>
      <w:r w:rsidR="00D325FB">
        <w:rPr>
          <w:rFonts w:cstheme="minorHAnsi"/>
          <w:lang w:val="en-GB"/>
        </w:rPr>
        <w:t xml:space="preserve">. </w:t>
      </w:r>
    </w:p>
    <w:p w14:paraId="066D7F43" w14:textId="31B7EDEE" w:rsidR="0057187E" w:rsidRDefault="0057187E" w:rsidP="005769F3">
      <w:pPr>
        <w:spacing w:line="480" w:lineRule="auto"/>
        <w:jc w:val="both"/>
        <w:rPr>
          <w:rFonts w:cstheme="minorHAnsi"/>
          <w:lang w:val="en-GB"/>
        </w:rPr>
      </w:pPr>
    </w:p>
    <w:p w14:paraId="782F8CF6" w14:textId="533FC0D6" w:rsidR="0057187E" w:rsidRDefault="0057187E" w:rsidP="005769F3">
      <w:pPr>
        <w:spacing w:line="480" w:lineRule="auto"/>
        <w:jc w:val="both"/>
        <w:rPr>
          <w:rFonts w:cstheme="minorHAnsi"/>
          <w:lang w:val="en-GB"/>
        </w:rPr>
      </w:pPr>
    </w:p>
    <w:p w14:paraId="4FD5BB2A" w14:textId="557A29E6" w:rsidR="0057187E" w:rsidRDefault="0057187E" w:rsidP="005769F3">
      <w:pPr>
        <w:spacing w:line="480" w:lineRule="auto"/>
        <w:jc w:val="both"/>
        <w:rPr>
          <w:rFonts w:cstheme="minorHAnsi"/>
          <w:lang w:val="en-GB"/>
        </w:rPr>
      </w:pPr>
    </w:p>
    <w:p w14:paraId="4AA64F1F" w14:textId="693627AF" w:rsidR="0057187E" w:rsidRDefault="0057187E" w:rsidP="005769F3">
      <w:pPr>
        <w:spacing w:line="480" w:lineRule="auto"/>
        <w:jc w:val="both"/>
        <w:rPr>
          <w:rFonts w:cstheme="minorHAnsi"/>
          <w:lang w:val="en-GB"/>
        </w:rPr>
      </w:pPr>
    </w:p>
    <w:p w14:paraId="5D9D5318" w14:textId="7789967C" w:rsidR="0057187E" w:rsidRDefault="0057187E" w:rsidP="005769F3">
      <w:pPr>
        <w:spacing w:line="480" w:lineRule="auto"/>
        <w:jc w:val="both"/>
        <w:rPr>
          <w:rFonts w:cstheme="minorHAnsi"/>
          <w:lang w:val="en-GB"/>
        </w:rPr>
      </w:pPr>
    </w:p>
    <w:p w14:paraId="745EF9EC" w14:textId="7AA6BBB5" w:rsidR="0057187E" w:rsidRDefault="0057187E" w:rsidP="005769F3">
      <w:pPr>
        <w:spacing w:line="480" w:lineRule="auto"/>
        <w:jc w:val="both"/>
        <w:rPr>
          <w:rFonts w:cstheme="minorHAnsi"/>
          <w:lang w:val="en-GB"/>
        </w:rPr>
      </w:pPr>
    </w:p>
    <w:p w14:paraId="697BFB06" w14:textId="545A0127" w:rsidR="0057187E" w:rsidRDefault="0057187E" w:rsidP="005769F3">
      <w:pPr>
        <w:spacing w:line="480" w:lineRule="auto"/>
        <w:jc w:val="both"/>
        <w:rPr>
          <w:rFonts w:cstheme="minorHAnsi"/>
          <w:lang w:val="en-GB"/>
        </w:rPr>
      </w:pPr>
    </w:p>
    <w:p w14:paraId="1BEB0532" w14:textId="22330258" w:rsidR="0057187E" w:rsidRDefault="0057187E" w:rsidP="005769F3">
      <w:pPr>
        <w:spacing w:line="480" w:lineRule="auto"/>
        <w:jc w:val="both"/>
        <w:rPr>
          <w:rFonts w:cstheme="minorHAnsi"/>
          <w:lang w:val="en-GB"/>
        </w:rPr>
      </w:pPr>
    </w:p>
    <w:p w14:paraId="19ED9FC5" w14:textId="77777777" w:rsidR="0057187E" w:rsidRDefault="0057187E" w:rsidP="005769F3">
      <w:pPr>
        <w:spacing w:line="480" w:lineRule="auto"/>
        <w:jc w:val="both"/>
        <w:rPr>
          <w:rFonts w:cstheme="minorHAnsi"/>
          <w:lang w:val="en-GB"/>
        </w:rPr>
      </w:pPr>
    </w:p>
    <w:p w14:paraId="6CBBBAF6" w14:textId="77777777" w:rsidR="0057187E" w:rsidRPr="00800B07" w:rsidRDefault="0057187E" w:rsidP="0057187E">
      <w:pPr>
        <w:rPr>
          <w:lang w:val="en-GB"/>
        </w:rPr>
      </w:pPr>
      <w:r w:rsidRPr="00800B07">
        <w:rPr>
          <w:u w:val="single"/>
          <w:lang w:val="en-GB"/>
        </w:rPr>
        <w:lastRenderedPageBreak/>
        <w:t xml:space="preserve">Table 10: </w:t>
      </w:r>
      <w:r w:rsidRPr="00800B07">
        <w:rPr>
          <w:lang w:val="en-GB"/>
        </w:rPr>
        <w:t>urinary risk factors pre- and posttreatment in the entire study population with &gt;6 months follow-up (n=355)</w:t>
      </w:r>
    </w:p>
    <w:tbl>
      <w:tblPr>
        <w:tblStyle w:val="Tabelraster"/>
        <w:tblpPr w:leftFromText="141" w:rightFromText="141" w:vertAnchor="page" w:horzAnchor="margin" w:tblpY="2241"/>
        <w:tblW w:w="9072" w:type="dxa"/>
        <w:tblLayout w:type="fixed"/>
        <w:tblCellMar>
          <w:left w:w="28" w:type="dxa"/>
          <w:right w:w="28" w:type="dxa"/>
        </w:tblCellMar>
        <w:tblLook w:val="04A0" w:firstRow="1" w:lastRow="0" w:firstColumn="1" w:lastColumn="0" w:noHBand="0" w:noVBand="1"/>
      </w:tblPr>
      <w:tblGrid>
        <w:gridCol w:w="3686"/>
        <w:gridCol w:w="1795"/>
        <w:gridCol w:w="1795"/>
        <w:gridCol w:w="1796"/>
      </w:tblGrid>
      <w:tr w:rsidR="0057187E" w:rsidRPr="00800B07" w14:paraId="13B65A0F" w14:textId="77777777" w:rsidTr="00311773">
        <w:tc>
          <w:tcPr>
            <w:tcW w:w="3686" w:type="dxa"/>
            <w:tcBorders>
              <w:top w:val="nil"/>
              <w:left w:val="nil"/>
            </w:tcBorders>
            <w:shd w:val="clear" w:color="auto" w:fill="auto"/>
          </w:tcPr>
          <w:p w14:paraId="790072CA" w14:textId="77777777" w:rsidR="0057187E" w:rsidRPr="00800B07" w:rsidRDefault="0057187E" w:rsidP="0057187E">
            <w:pPr>
              <w:rPr>
                <w:sz w:val="18"/>
                <w:szCs w:val="18"/>
                <w:lang w:val="en-GB"/>
              </w:rPr>
            </w:pPr>
          </w:p>
        </w:tc>
        <w:tc>
          <w:tcPr>
            <w:tcW w:w="1795" w:type="dxa"/>
            <w:shd w:val="clear" w:color="auto" w:fill="000000" w:themeFill="text1"/>
          </w:tcPr>
          <w:p w14:paraId="2140A04D" w14:textId="77777777" w:rsidR="0057187E" w:rsidRPr="00800B07" w:rsidRDefault="0057187E" w:rsidP="0057187E">
            <w:pPr>
              <w:rPr>
                <w:sz w:val="18"/>
                <w:szCs w:val="18"/>
                <w:lang w:val="fr-BE"/>
              </w:rPr>
            </w:pP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 xml:space="preserve">SD </w:t>
            </w:r>
          </w:p>
        </w:tc>
        <w:tc>
          <w:tcPr>
            <w:tcW w:w="1795" w:type="dxa"/>
            <w:shd w:val="clear" w:color="auto" w:fill="000000" w:themeFill="text1"/>
          </w:tcPr>
          <w:p w14:paraId="4752799F" w14:textId="77777777" w:rsidR="0057187E" w:rsidRPr="00800B07" w:rsidRDefault="0057187E" w:rsidP="0057187E">
            <w:pPr>
              <w:rPr>
                <w:sz w:val="18"/>
                <w:szCs w:val="18"/>
                <w:lang w:val="fr-BE"/>
              </w:rPr>
            </w:pPr>
            <w:proofErr w:type="spellStart"/>
            <w:r w:rsidRPr="00800B07">
              <w:rPr>
                <w:sz w:val="18"/>
                <w:szCs w:val="18"/>
                <w:lang w:val="fr-BE"/>
              </w:rPr>
              <w:t>Median</w:t>
            </w:r>
            <w:proofErr w:type="spellEnd"/>
            <w:r w:rsidRPr="00800B07">
              <w:rPr>
                <w:sz w:val="18"/>
                <w:szCs w:val="18"/>
                <w:lang w:val="fr-BE"/>
              </w:rPr>
              <w:t xml:space="preserve"> (IQR)</w:t>
            </w:r>
          </w:p>
        </w:tc>
        <w:tc>
          <w:tcPr>
            <w:tcW w:w="1796" w:type="dxa"/>
            <w:shd w:val="clear" w:color="auto" w:fill="000000" w:themeFill="text1"/>
          </w:tcPr>
          <w:p w14:paraId="4210A5D3" w14:textId="03A8872F" w:rsidR="0057187E" w:rsidRPr="00800B07" w:rsidRDefault="00F75CD3" w:rsidP="0057187E">
            <w:pPr>
              <w:rPr>
                <w:sz w:val="18"/>
                <w:szCs w:val="18"/>
                <w:lang w:val="fr-BE"/>
              </w:rPr>
            </w:pPr>
            <w:r w:rsidRPr="00F75CD3">
              <w:rPr>
                <w:i/>
                <w:iCs/>
                <w:sz w:val="18"/>
                <w:szCs w:val="18"/>
                <w:lang w:val="fr-BE"/>
              </w:rPr>
              <w:t>P</w:t>
            </w:r>
            <w:r w:rsidR="0057187E" w:rsidRPr="00800B07">
              <w:rPr>
                <w:sz w:val="18"/>
                <w:szCs w:val="18"/>
                <w:lang w:val="fr-BE"/>
              </w:rPr>
              <w:t>-value</w:t>
            </w:r>
          </w:p>
        </w:tc>
      </w:tr>
      <w:tr w:rsidR="0057187E" w:rsidRPr="00800B07" w14:paraId="463EB83D" w14:textId="77777777" w:rsidTr="00311773">
        <w:trPr>
          <w:trHeight w:val="698"/>
        </w:trPr>
        <w:tc>
          <w:tcPr>
            <w:tcW w:w="3686" w:type="dxa"/>
            <w:tcBorders>
              <w:right w:val="single" w:sz="4" w:space="0" w:color="auto"/>
            </w:tcBorders>
            <w:shd w:val="clear" w:color="auto" w:fill="auto"/>
          </w:tcPr>
          <w:p w14:paraId="55A9B316" w14:textId="77777777" w:rsidR="0057187E" w:rsidRPr="00800B07" w:rsidRDefault="0057187E" w:rsidP="0057187E">
            <w:pPr>
              <w:rPr>
                <w:b/>
                <w:bCs/>
                <w:sz w:val="18"/>
                <w:szCs w:val="18"/>
                <w:lang w:val="en-GB"/>
              </w:rPr>
            </w:pPr>
            <w:r w:rsidRPr="00800B07">
              <w:rPr>
                <w:b/>
                <w:bCs/>
                <w:sz w:val="18"/>
                <w:szCs w:val="18"/>
                <w:lang w:val="en-GB"/>
              </w:rPr>
              <w:t xml:space="preserve">Urinary oxalate excretion </w:t>
            </w:r>
          </w:p>
          <w:p w14:paraId="6A483153"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(mg/24h)</w:t>
            </w:r>
            <w:r w:rsidRPr="00800B07">
              <w:rPr>
                <w:sz w:val="18"/>
                <w:szCs w:val="18"/>
                <w:lang w:val="en-GB"/>
              </w:rPr>
              <w:t xml:space="preserve"> </w:t>
            </w:r>
          </w:p>
          <w:p w14:paraId="6E99314A" w14:textId="77777777" w:rsidR="0057187E" w:rsidRPr="00800B07" w:rsidRDefault="0057187E" w:rsidP="0057187E">
            <w:pPr>
              <w:rPr>
                <w:b/>
                <w:bCs/>
                <w:sz w:val="18"/>
                <w:szCs w:val="18"/>
                <w:lang w:val="en-GB"/>
              </w:rPr>
            </w:pPr>
            <w:r w:rsidRPr="00800B07">
              <w:rPr>
                <w:sz w:val="18"/>
                <w:szCs w:val="18"/>
                <w:lang w:val="en-GB"/>
              </w:rPr>
              <w:t xml:space="preserve">        Post-treatment</w:t>
            </w:r>
            <w:r>
              <w:rPr>
                <w:sz w:val="18"/>
                <w:szCs w:val="18"/>
                <w:lang w:val="en-GB"/>
              </w:rPr>
              <w:t xml:space="preserve"> (mg/24h)</w:t>
            </w:r>
          </w:p>
        </w:tc>
        <w:tc>
          <w:tcPr>
            <w:tcW w:w="1795" w:type="dxa"/>
            <w:tcBorders>
              <w:left w:val="single" w:sz="4" w:space="0" w:color="auto"/>
              <w:bottom w:val="single" w:sz="4" w:space="0" w:color="auto"/>
              <w:right w:val="single" w:sz="4" w:space="0" w:color="auto"/>
            </w:tcBorders>
            <w:shd w:val="clear" w:color="auto" w:fill="auto"/>
          </w:tcPr>
          <w:p w14:paraId="0604D28E" w14:textId="77777777" w:rsidR="0057187E" w:rsidRPr="00800B07" w:rsidRDefault="0057187E" w:rsidP="0057187E">
            <w:pPr>
              <w:rPr>
                <w:sz w:val="18"/>
                <w:szCs w:val="18"/>
                <w:lang w:val="en-GB"/>
              </w:rPr>
            </w:pPr>
          </w:p>
          <w:p w14:paraId="020E5001" w14:textId="77777777" w:rsidR="0057187E" w:rsidRPr="00800B07" w:rsidRDefault="0057187E" w:rsidP="0057187E">
            <w:pPr>
              <w:rPr>
                <w:sz w:val="18"/>
                <w:szCs w:val="18"/>
                <w:lang w:val="fr-BE"/>
              </w:rPr>
            </w:pPr>
            <w:r w:rsidRPr="00800B07">
              <w:rPr>
                <w:sz w:val="18"/>
                <w:szCs w:val="18"/>
                <w:lang w:val="fr-BE"/>
              </w:rPr>
              <w:t>44</w:t>
            </w:r>
            <w:r>
              <w:rPr>
                <w:sz w:val="18"/>
                <w:szCs w:val="18"/>
                <w:lang w:val="fr-BE"/>
              </w:rPr>
              <w:t>.</w:t>
            </w:r>
            <w:r w:rsidRPr="00800B07">
              <w:rPr>
                <w:sz w:val="18"/>
                <w:szCs w:val="18"/>
                <w:lang w:val="fr-BE"/>
              </w:rPr>
              <w:t>3</w:t>
            </w:r>
            <w:r w:rsidRPr="00800B07">
              <w:rPr>
                <w:rFonts w:ascii="Calibri" w:hAnsi="Calibri"/>
                <w:sz w:val="18"/>
                <w:szCs w:val="18"/>
                <w:lang w:val="en-GB"/>
              </w:rPr>
              <w:sym w:font="Symbol" w:char="F0B1"/>
            </w:r>
            <w:r w:rsidRPr="00800B07">
              <w:rPr>
                <w:rFonts w:ascii="Calibri" w:hAnsi="Calibri"/>
                <w:sz w:val="18"/>
                <w:szCs w:val="18"/>
                <w:lang w:val="en-GB"/>
              </w:rPr>
              <w:t>16</w:t>
            </w:r>
            <w:r>
              <w:rPr>
                <w:rFonts w:ascii="Calibri" w:hAnsi="Calibri"/>
                <w:sz w:val="18"/>
                <w:szCs w:val="18"/>
                <w:lang w:val="en-GB"/>
              </w:rPr>
              <w:t>.</w:t>
            </w:r>
            <w:r w:rsidRPr="00800B07">
              <w:rPr>
                <w:rFonts w:ascii="Calibri" w:hAnsi="Calibri"/>
                <w:sz w:val="18"/>
                <w:szCs w:val="18"/>
                <w:lang w:val="en-GB"/>
              </w:rPr>
              <w:t>9</w:t>
            </w:r>
          </w:p>
          <w:p w14:paraId="7A1FF599" w14:textId="77777777" w:rsidR="0057187E" w:rsidRPr="00800B07" w:rsidRDefault="0057187E" w:rsidP="0057187E">
            <w:pPr>
              <w:rPr>
                <w:b/>
                <w:bCs/>
                <w:sz w:val="18"/>
                <w:szCs w:val="18"/>
                <w:lang w:val="en-GB"/>
              </w:rPr>
            </w:pPr>
            <w:r w:rsidRPr="00800B07">
              <w:rPr>
                <w:sz w:val="18"/>
                <w:szCs w:val="18"/>
                <w:lang w:val="en-GB"/>
              </w:rPr>
              <w:t>44</w:t>
            </w:r>
            <w:r>
              <w:rPr>
                <w:sz w:val="18"/>
                <w:szCs w:val="18"/>
                <w:lang w:val="en-GB"/>
              </w:rPr>
              <w:t>.</w:t>
            </w:r>
            <w:r w:rsidRPr="00800B07">
              <w:rPr>
                <w:sz w:val="18"/>
                <w:szCs w:val="18"/>
                <w:lang w:val="en-GB"/>
              </w:rPr>
              <w:t>8</w:t>
            </w:r>
            <w:r w:rsidRPr="00800B07">
              <w:rPr>
                <w:rFonts w:ascii="Calibri" w:hAnsi="Calibri"/>
                <w:sz w:val="18"/>
                <w:szCs w:val="18"/>
                <w:lang w:val="en-GB"/>
              </w:rPr>
              <w:sym w:font="Symbol" w:char="F0B1"/>
            </w:r>
            <w:r w:rsidRPr="00800B07">
              <w:rPr>
                <w:sz w:val="18"/>
                <w:szCs w:val="18"/>
                <w:lang w:val="en-GB"/>
              </w:rPr>
              <w:t>18</w:t>
            </w:r>
            <w:r>
              <w:rPr>
                <w:sz w:val="18"/>
                <w:szCs w:val="18"/>
                <w:lang w:val="en-GB"/>
              </w:rPr>
              <w:t>.</w:t>
            </w:r>
            <w:r w:rsidRPr="00800B07">
              <w:rPr>
                <w:sz w:val="18"/>
                <w:szCs w:val="18"/>
                <w:lang w:val="en-GB"/>
              </w:rPr>
              <w:t>6</w:t>
            </w:r>
          </w:p>
        </w:tc>
        <w:tc>
          <w:tcPr>
            <w:tcW w:w="1795" w:type="dxa"/>
            <w:tcBorders>
              <w:left w:val="single" w:sz="4" w:space="0" w:color="auto"/>
            </w:tcBorders>
            <w:shd w:val="clear" w:color="auto" w:fill="auto"/>
          </w:tcPr>
          <w:p w14:paraId="371DFA7A" w14:textId="77777777" w:rsidR="0057187E" w:rsidRPr="00800B07" w:rsidRDefault="0057187E" w:rsidP="0057187E">
            <w:pPr>
              <w:rPr>
                <w:sz w:val="18"/>
                <w:szCs w:val="18"/>
                <w:lang w:val="en-GB"/>
              </w:rPr>
            </w:pPr>
          </w:p>
          <w:p w14:paraId="141EE986" w14:textId="77777777" w:rsidR="0057187E" w:rsidRPr="00800B07" w:rsidRDefault="0057187E" w:rsidP="0057187E">
            <w:pPr>
              <w:rPr>
                <w:sz w:val="18"/>
                <w:szCs w:val="18"/>
                <w:lang w:val="en-GB"/>
              </w:rPr>
            </w:pPr>
            <w:r w:rsidRPr="00800B07">
              <w:rPr>
                <w:sz w:val="18"/>
                <w:szCs w:val="18"/>
                <w:lang w:val="en-GB"/>
              </w:rPr>
              <w:t>41</w:t>
            </w:r>
            <w:r>
              <w:rPr>
                <w:sz w:val="18"/>
                <w:szCs w:val="18"/>
                <w:lang w:val="en-GB"/>
              </w:rPr>
              <w:t>.</w:t>
            </w:r>
            <w:r w:rsidRPr="00800B07">
              <w:rPr>
                <w:sz w:val="18"/>
                <w:szCs w:val="18"/>
                <w:lang w:val="en-GB"/>
              </w:rPr>
              <w:t>0 (33</w:t>
            </w:r>
            <w:r>
              <w:rPr>
                <w:sz w:val="18"/>
                <w:szCs w:val="18"/>
                <w:lang w:val="en-GB"/>
              </w:rPr>
              <w:t>.</w:t>
            </w:r>
            <w:r w:rsidRPr="00800B07">
              <w:rPr>
                <w:sz w:val="18"/>
                <w:szCs w:val="18"/>
                <w:lang w:val="en-GB"/>
              </w:rPr>
              <w:t>0-54</w:t>
            </w:r>
            <w:r>
              <w:rPr>
                <w:sz w:val="18"/>
                <w:szCs w:val="18"/>
                <w:lang w:val="en-GB"/>
              </w:rPr>
              <w:t>.</w:t>
            </w:r>
            <w:r w:rsidRPr="00800B07">
              <w:rPr>
                <w:sz w:val="18"/>
                <w:szCs w:val="18"/>
                <w:lang w:val="en-GB"/>
              </w:rPr>
              <w:t>0)</w:t>
            </w:r>
          </w:p>
          <w:p w14:paraId="00F16CEF" w14:textId="77777777" w:rsidR="0057187E" w:rsidRPr="00800B07" w:rsidRDefault="0057187E" w:rsidP="0057187E">
            <w:pPr>
              <w:rPr>
                <w:sz w:val="18"/>
                <w:szCs w:val="18"/>
                <w:lang w:val="en-GB"/>
              </w:rPr>
            </w:pPr>
            <w:r w:rsidRPr="00800B07">
              <w:rPr>
                <w:sz w:val="18"/>
                <w:szCs w:val="18"/>
                <w:lang w:val="en-GB"/>
              </w:rPr>
              <w:t>42</w:t>
            </w:r>
            <w:r>
              <w:rPr>
                <w:sz w:val="18"/>
                <w:szCs w:val="18"/>
                <w:lang w:val="en-GB"/>
              </w:rPr>
              <w:t>.</w:t>
            </w:r>
            <w:r w:rsidRPr="00800B07">
              <w:rPr>
                <w:sz w:val="18"/>
                <w:szCs w:val="18"/>
                <w:lang w:val="en-GB"/>
              </w:rPr>
              <w:t>0 (33</w:t>
            </w:r>
            <w:r>
              <w:rPr>
                <w:sz w:val="18"/>
                <w:szCs w:val="18"/>
                <w:lang w:val="en-GB"/>
              </w:rPr>
              <w:t>.</w:t>
            </w:r>
            <w:r w:rsidRPr="00800B07">
              <w:rPr>
                <w:sz w:val="18"/>
                <w:szCs w:val="18"/>
                <w:lang w:val="en-GB"/>
              </w:rPr>
              <w:t>0-53</w:t>
            </w:r>
            <w:r>
              <w:rPr>
                <w:sz w:val="18"/>
                <w:szCs w:val="18"/>
                <w:lang w:val="en-GB"/>
              </w:rPr>
              <w:t>.</w:t>
            </w:r>
            <w:r w:rsidRPr="00800B07">
              <w:rPr>
                <w:sz w:val="18"/>
                <w:szCs w:val="18"/>
                <w:lang w:val="en-GB"/>
              </w:rPr>
              <w:t>0)</w:t>
            </w:r>
          </w:p>
        </w:tc>
        <w:tc>
          <w:tcPr>
            <w:tcW w:w="1796" w:type="dxa"/>
          </w:tcPr>
          <w:p w14:paraId="48ECC997" w14:textId="77777777" w:rsidR="0057187E" w:rsidRPr="00F75CD3" w:rsidRDefault="0057187E" w:rsidP="00F75CD3">
            <w:pPr>
              <w:jc w:val="center"/>
              <w:rPr>
                <w:sz w:val="18"/>
                <w:szCs w:val="18"/>
                <w:lang w:val="en-GB"/>
              </w:rPr>
            </w:pPr>
          </w:p>
          <w:p w14:paraId="3EFE8B9C" w14:textId="43AF3859" w:rsidR="0057187E" w:rsidRPr="00F75CD3" w:rsidRDefault="00F75CD3" w:rsidP="00F75CD3">
            <w:pPr>
              <w:jc w:val="center"/>
              <w:rPr>
                <w:sz w:val="18"/>
                <w:szCs w:val="18"/>
                <w:lang w:val="fr-BE"/>
              </w:rPr>
            </w:pPr>
            <w:r w:rsidRPr="00F75CD3">
              <w:rPr>
                <w:sz w:val="18"/>
                <w:szCs w:val="18"/>
              </w:rPr>
              <w:t>0.9008</w:t>
            </w:r>
          </w:p>
        </w:tc>
      </w:tr>
      <w:tr w:rsidR="0057187E" w:rsidRPr="00800B07" w14:paraId="6D108B36" w14:textId="77777777" w:rsidTr="00311773">
        <w:trPr>
          <w:trHeight w:val="449"/>
        </w:trPr>
        <w:tc>
          <w:tcPr>
            <w:tcW w:w="3686" w:type="dxa"/>
            <w:tcBorders>
              <w:right w:val="single" w:sz="4" w:space="0" w:color="auto"/>
            </w:tcBorders>
            <w:shd w:val="clear" w:color="auto" w:fill="auto"/>
          </w:tcPr>
          <w:p w14:paraId="6F2ECA75" w14:textId="77777777" w:rsidR="0057187E" w:rsidRPr="00800B07" w:rsidRDefault="0057187E" w:rsidP="0057187E">
            <w:pPr>
              <w:rPr>
                <w:b/>
                <w:bCs/>
                <w:sz w:val="18"/>
                <w:szCs w:val="18"/>
                <w:lang w:val="en-GB"/>
              </w:rPr>
            </w:pPr>
            <w:r w:rsidRPr="00800B07">
              <w:rPr>
                <w:b/>
                <w:bCs/>
                <w:sz w:val="18"/>
                <w:szCs w:val="18"/>
                <w:lang w:val="en-GB"/>
              </w:rPr>
              <w:t xml:space="preserve">Urinary calcium excretion </w:t>
            </w:r>
          </w:p>
          <w:p w14:paraId="7119E396" w14:textId="3F48D8E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00310678" w:rsidRPr="00310678">
              <w:rPr>
                <w:sz w:val="18"/>
                <w:szCs w:val="18"/>
                <w:lang w:val="en-GB"/>
              </w:rPr>
              <w:t>mmol/24h</w:t>
            </w:r>
            <w:r w:rsidR="00FC6DBB">
              <w:rPr>
                <w:sz w:val="18"/>
                <w:szCs w:val="18"/>
                <w:lang w:val="en-GB"/>
              </w:rPr>
              <w:t>)</w:t>
            </w:r>
          </w:p>
          <w:p w14:paraId="093CDFB7" w14:textId="488D63AE" w:rsidR="0057187E" w:rsidRPr="00800B07" w:rsidRDefault="0057187E" w:rsidP="0057187E">
            <w:pPr>
              <w:rPr>
                <w:sz w:val="18"/>
                <w:szCs w:val="18"/>
                <w:lang w:val="en-GB"/>
              </w:rPr>
            </w:pPr>
            <w:r w:rsidRPr="00800B07">
              <w:rPr>
                <w:sz w:val="18"/>
                <w:szCs w:val="18"/>
                <w:lang w:val="en-GB"/>
              </w:rPr>
              <w:t xml:space="preserve">        Post-treatment</w:t>
            </w:r>
            <w:r>
              <w:rPr>
                <w:sz w:val="18"/>
                <w:szCs w:val="18"/>
                <w:lang w:val="en-GB"/>
              </w:rPr>
              <w:t xml:space="preserve"> (</w:t>
            </w:r>
            <w:r w:rsidR="00FC6DBB">
              <w:rPr>
                <w:sz w:val="18"/>
                <w:szCs w:val="18"/>
                <w:lang w:val="en-GB"/>
              </w:rPr>
              <w:t>(</w:t>
            </w:r>
            <w:r w:rsidR="00FC6DBB" w:rsidRPr="00310678">
              <w:rPr>
                <w:sz w:val="18"/>
                <w:szCs w:val="18"/>
                <w:lang w:val="en-GB"/>
              </w:rPr>
              <w:t>mmol/</w:t>
            </w:r>
            <w:r w:rsidR="00311773">
              <w:rPr>
                <w:sz w:val="18"/>
                <w:szCs w:val="18"/>
                <w:lang w:val="en-GB"/>
              </w:rPr>
              <w:t>24h</w:t>
            </w:r>
            <w:r w:rsidR="00FC6DBB">
              <w:rPr>
                <w:sz w:val="18"/>
                <w:szCs w:val="18"/>
                <w:lang w:val="en-GB"/>
              </w:rPr>
              <w:t>)</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7F5F2A72" w14:textId="77777777" w:rsidR="0057187E" w:rsidRPr="00800B07" w:rsidRDefault="0057187E" w:rsidP="0057187E">
            <w:pPr>
              <w:rPr>
                <w:sz w:val="18"/>
                <w:szCs w:val="18"/>
                <w:lang w:val="en-GB"/>
              </w:rPr>
            </w:pPr>
          </w:p>
          <w:p w14:paraId="00EC55BF" w14:textId="3D6C6484" w:rsidR="0057187E" w:rsidRPr="00800B07" w:rsidRDefault="00EB2264" w:rsidP="0057187E">
            <w:pPr>
              <w:rPr>
                <w:sz w:val="18"/>
                <w:szCs w:val="18"/>
                <w:lang w:val="en-GB"/>
              </w:rPr>
            </w:pPr>
            <w:r>
              <w:rPr>
                <w:sz w:val="18"/>
                <w:szCs w:val="18"/>
                <w:lang w:val="en-GB"/>
              </w:rPr>
              <w:t>5</w:t>
            </w:r>
            <w:r w:rsidR="0057187E">
              <w:rPr>
                <w:sz w:val="18"/>
                <w:szCs w:val="18"/>
                <w:lang w:val="en-GB"/>
              </w:rPr>
              <w:t>.</w:t>
            </w:r>
            <w:r>
              <w:rPr>
                <w:sz w:val="18"/>
                <w:szCs w:val="18"/>
                <w:lang w:val="en-GB"/>
              </w:rPr>
              <w:t>9</w:t>
            </w:r>
            <w:r w:rsidR="0057187E" w:rsidRPr="00800B07">
              <w:rPr>
                <w:rFonts w:ascii="Calibri" w:hAnsi="Calibri"/>
                <w:sz w:val="18"/>
                <w:szCs w:val="18"/>
                <w:lang w:val="en-GB"/>
              </w:rPr>
              <w:sym w:font="Symbol" w:char="F0B1"/>
            </w:r>
            <w:r>
              <w:rPr>
                <w:rFonts w:ascii="Calibri" w:hAnsi="Calibri"/>
                <w:sz w:val="18"/>
                <w:szCs w:val="18"/>
                <w:lang w:val="en-GB"/>
              </w:rPr>
              <w:t>5.7</w:t>
            </w:r>
          </w:p>
          <w:p w14:paraId="05A23D75" w14:textId="7DABD9D4" w:rsidR="0057187E" w:rsidRPr="00800B07" w:rsidRDefault="00EB2264" w:rsidP="0057187E">
            <w:pPr>
              <w:rPr>
                <w:b/>
                <w:bCs/>
                <w:sz w:val="18"/>
                <w:szCs w:val="18"/>
                <w:lang w:val="en-GB"/>
              </w:rPr>
            </w:pPr>
            <w:r>
              <w:rPr>
                <w:sz w:val="18"/>
                <w:szCs w:val="18"/>
                <w:lang w:val="en-GB"/>
              </w:rPr>
              <w:t>4</w:t>
            </w:r>
            <w:r w:rsidR="0057187E">
              <w:rPr>
                <w:sz w:val="18"/>
                <w:szCs w:val="18"/>
                <w:lang w:val="en-GB"/>
              </w:rPr>
              <w:t>.</w:t>
            </w:r>
            <w:r>
              <w:rPr>
                <w:sz w:val="18"/>
                <w:szCs w:val="18"/>
                <w:lang w:val="en-GB"/>
              </w:rPr>
              <w:t>7</w:t>
            </w:r>
            <w:r w:rsidR="0057187E" w:rsidRPr="00800B07">
              <w:rPr>
                <w:rFonts w:ascii="Calibri" w:hAnsi="Calibri"/>
                <w:sz w:val="18"/>
                <w:szCs w:val="18"/>
                <w:lang w:val="en-GB"/>
              </w:rPr>
              <w:sym w:font="Symbol" w:char="F0B1"/>
            </w:r>
            <w:r>
              <w:rPr>
                <w:rFonts w:ascii="Calibri" w:hAnsi="Calibri"/>
                <w:sz w:val="18"/>
                <w:szCs w:val="18"/>
                <w:lang w:val="en-GB"/>
              </w:rPr>
              <w:t>2</w:t>
            </w:r>
            <w:r w:rsidR="0057187E">
              <w:rPr>
                <w:sz w:val="18"/>
                <w:szCs w:val="18"/>
                <w:lang w:val="en-GB"/>
              </w:rPr>
              <w:t>.</w:t>
            </w:r>
            <w:r>
              <w:rPr>
                <w:sz w:val="18"/>
                <w:szCs w:val="18"/>
                <w:lang w:val="en-GB"/>
              </w:rPr>
              <w:t>9</w:t>
            </w:r>
          </w:p>
        </w:tc>
        <w:tc>
          <w:tcPr>
            <w:tcW w:w="1795" w:type="dxa"/>
            <w:tcBorders>
              <w:left w:val="single" w:sz="4" w:space="0" w:color="auto"/>
            </w:tcBorders>
            <w:shd w:val="clear" w:color="auto" w:fill="auto"/>
          </w:tcPr>
          <w:p w14:paraId="3C1C6668" w14:textId="77777777" w:rsidR="0057187E" w:rsidRPr="000138AF" w:rsidRDefault="0057187E" w:rsidP="0057187E">
            <w:pPr>
              <w:rPr>
                <w:sz w:val="18"/>
                <w:szCs w:val="18"/>
                <w:lang w:val="en-GB"/>
              </w:rPr>
            </w:pPr>
          </w:p>
          <w:p w14:paraId="28916BE6" w14:textId="2BA349DB" w:rsidR="0057187E" w:rsidRPr="000138AF" w:rsidRDefault="00EB2264" w:rsidP="0057187E">
            <w:pPr>
              <w:rPr>
                <w:sz w:val="18"/>
                <w:szCs w:val="18"/>
                <w:lang w:val="en-GB"/>
              </w:rPr>
            </w:pPr>
            <w:r>
              <w:rPr>
                <w:sz w:val="18"/>
                <w:szCs w:val="18"/>
                <w:lang w:val="en-GB"/>
              </w:rPr>
              <w:t>4.9</w:t>
            </w:r>
            <w:r w:rsidR="0057187E" w:rsidRPr="000138AF">
              <w:rPr>
                <w:sz w:val="18"/>
                <w:szCs w:val="18"/>
                <w:lang w:val="en-GB"/>
              </w:rPr>
              <w:t xml:space="preserve"> (</w:t>
            </w:r>
            <w:r>
              <w:rPr>
                <w:sz w:val="18"/>
                <w:szCs w:val="18"/>
                <w:lang w:val="en-GB"/>
              </w:rPr>
              <w:t>3.0</w:t>
            </w:r>
            <w:r w:rsidR="0057187E" w:rsidRPr="000138AF">
              <w:rPr>
                <w:sz w:val="18"/>
                <w:szCs w:val="18"/>
                <w:lang w:val="en-GB"/>
              </w:rPr>
              <w:t>-</w:t>
            </w:r>
            <w:r>
              <w:rPr>
                <w:sz w:val="18"/>
                <w:szCs w:val="18"/>
                <w:lang w:val="en-GB"/>
              </w:rPr>
              <w:t>7.3</w:t>
            </w:r>
            <w:r w:rsidR="0057187E" w:rsidRPr="000138AF">
              <w:rPr>
                <w:sz w:val="18"/>
                <w:szCs w:val="18"/>
                <w:lang w:val="en-GB"/>
              </w:rPr>
              <w:t>)</w:t>
            </w:r>
          </w:p>
          <w:p w14:paraId="6DE50F0C" w14:textId="1FB9E711" w:rsidR="0057187E" w:rsidRPr="000138AF" w:rsidRDefault="00EB2264" w:rsidP="0057187E">
            <w:pPr>
              <w:rPr>
                <w:sz w:val="18"/>
                <w:szCs w:val="18"/>
                <w:lang w:val="en-GB"/>
              </w:rPr>
            </w:pPr>
            <w:r>
              <w:rPr>
                <w:sz w:val="18"/>
                <w:szCs w:val="18"/>
                <w:lang w:val="en-GB"/>
              </w:rPr>
              <w:t>4</w:t>
            </w:r>
            <w:r w:rsidR="00D7749A">
              <w:rPr>
                <w:sz w:val="18"/>
                <w:szCs w:val="18"/>
                <w:lang w:val="en-GB"/>
              </w:rPr>
              <w:t>.</w:t>
            </w:r>
            <w:r>
              <w:rPr>
                <w:sz w:val="18"/>
                <w:szCs w:val="18"/>
                <w:lang w:val="en-GB"/>
              </w:rPr>
              <w:t>2</w:t>
            </w:r>
            <w:r w:rsidR="0057187E" w:rsidRPr="000138AF">
              <w:rPr>
                <w:sz w:val="18"/>
                <w:szCs w:val="18"/>
                <w:lang w:val="en-GB"/>
              </w:rPr>
              <w:t xml:space="preserve"> (</w:t>
            </w:r>
            <w:r>
              <w:rPr>
                <w:sz w:val="18"/>
                <w:szCs w:val="18"/>
                <w:lang w:val="en-GB"/>
              </w:rPr>
              <w:t>2.7-6.2</w:t>
            </w:r>
            <w:r w:rsidR="0057187E" w:rsidRPr="000138AF">
              <w:rPr>
                <w:sz w:val="18"/>
                <w:szCs w:val="18"/>
                <w:lang w:val="en-GB"/>
              </w:rPr>
              <w:t>)</w:t>
            </w:r>
          </w:p>
        </w:tc>
        <w:tc>
          <w:tcPr>
            <w:tcW w:w="1796" w:type="dxa"/>
          </w:tcPr>
          <w:p w14:paraId="077F3DEB" w14:textId="77777777" w:rsidR="0057187E" w:rsidRPr="00F75CD3" w:rsidRDefault="0057187E" w:rsidP="00F75CD3">
            <w:pPr>
              <w:jc w:val="center"/>
              <w:rPr>
                <w:sz w:val="18"/>
                <w:szCs w:val="18"/>
                <w:lang w:val="en-GB"/>
              </w:rPr>
            </w:pPr>
          </w:p>
          <w:p w14:paraId="37770BE8" w14:textId="77777777" w:rsidR="0057187E" w:rsidRPr="00F75CD3" w:rsidRDefault="0057187E" w:rsidP="00F75CD3">
            <w:pPr>
              <w:jc w:val="center"/>
              <w:rPr>
                <w:sz w:val="18"/>
                <w:szCs w:val="18"/>
                <w:lang w:val="en-GB"/>
              </w:rPr>
            </w:pPr>
            <w:r w:rsidRPr="00F75CD3">
              <w:rPr>
                <w:sz w:val="18"/>
                <w:szCs w:val="18"/>
                <w:lang w:val="en-GB"/>
              </w:rPr>
              <w:t>&lt;0.0001</w:t>
            </w:r>
          </w:p>
        </w:tc>
      </w:tr>
      <w:tr w:rsidR="0057187E" w:rsidRPr="00800B07" w14:paraId="0953C930" w14:textId="77777777" w:rsidTr="00311773">
        <w:trPr>
          <w:trHeight w:val="449"/>
        </w:trPr>
        <w:tc>
          <w:tcPr>
            <w:tcW w:w="3686" w:type="dxa"/>
            <w:tcBorders>
              <w:right w:val="single" w:sz="4" w:space="0" w:color="auto"/>
            </w:tcBorders>
            <w:shd w:val="clear" w:color="auto" w:fill="auto"/>
          </w:tcPr>
          <w:p w14:paraId="2EB97ED8" w14:textId="77777777" w:rsidR="0057187E" w:rsidRPr="00800B07" w:rsidRDefault="0057187E" w:rsidP="0057187E">
            <w:pPr>
              <w:rPr>
                <w:b/>
                <w:bCs/>
                <w:sz w:val="18"/>
                <w:szCs w:val="18"/>
                <w:lang w:val="en-GB"/>
              </w:rPr>
            </w:pPr>
            <w:r w:rsidRPr="00800B07">
              <w:rPr>
                <w:b/>
                <w:bCs/>
                <w:sz w:val="18"/>
                <w:szCs w:val="18"/>
                <w:lang w:val="en-GB"/>
              </w:rPr>
              <w:t xml:space="preserve">Urinary phosphate excretion </w:t>
            </w:r>
          </w:p>
          <w:p w14:paraId="1D43F16C"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(mmol/24h)</w:t>
            </w:r>
          </w:p>
          <w:p w14:paraId="5291849D" w14:textId="77777777" w:rsidR="0057187E" w:rsidRPr="00800B07" w:rsidRDefault="0057187E" w:rsidP="0057187E">
            <w:pPr>
              <w:rPr>
                <w:b/>
                <w:bCs/>
                <w:sz w:val="18"/>
                <w:szCs w:val="18"/>
                <w:lang w:val="en-GB"/>
              </w:rPr>
            </w:pPr>
            <w:r w:rsidRPr="00800B07">
              <w:rPr>
                <w:sz w:val="18"/>
                <w:szCs w:val="18"/>
                <w:lang w:val="en-GB"/>
              </w:rPr>
              <w:t xml:space="preserve">        Post-treatment</w:t>
            </w:r>
            <w:r>
              <w:rPr>
                <w:sz w:val="18"/>
                <w:szCs w:val="18"/>
                <w:lang w:val="en-GB"/>
              </w:rPr>
              <w:t xml:space="preserve"> (mmol/24)</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339966B5" w14:textId="77777777" w:rsidR="0057187E" w:rsidRPr="00800B07" w:rsidRDefault="0057187E" w:rsidP="0057187E">
            <w:pPr>
              <w:rPr>
                <w:sz w:val="18"/>
                <w:szCs w:val="18"/>
                <w:lang w:val="en-GB"/>
              </w:rPr>
            </w:pPr>
          </w:p>
          <w:p w14:paraId="1F060845" w14:textId="77777777" w:rsidR="0057187E" w:rsidRPr="00800B07" w:rsidRDefault="0057187E" w:rsidP="0057187E">
            <w:pPr>
              <w:rPr>
                <w:sz w:val="18"/>
                <w:szCs w:val="18"/>
                <w:lang w:val="fr-BE"/>
              </w:rPr>
            </w:pPr>
            <w:r w:rsidRPr="00800B07">
              <w:rPr>
                <w:sz w:val="18"/>
                <w:szCs w:val="18"/>
                <w:lang w:val="fr-BE"/>
              </w:rPr>
              <w:t>31</w:t>
            </w:r>
            <w:r>
              <w:rPr>
                <w:sz w:val="18"/>
                <w:szCs w:val="18"/>
                <w:lang w:val="fr-BE"/>
              </w:rPr>
              <w:t>.</w:t>
            </w:r>
            <w:r w:rsidRPr="00800B07">
              <w:rPr>
                <w:sz w:val="18"/>
                <w:szCs w:val="18"/>
                <w:lang w:val="fr-BE"/>
              </w:rPr>
              <w:t>2</w:t>
            </w:r>
            <w:r w:rsidRPr="00800B07">
              <w:rPr>
                <w:rFonts w:ascii="Calibri" w:hAnsi="Calibri"/>
                <w:sz w:val="18"/>
                <w:szCs w:val="18"/>
                <w:lang w:val="en-GB"/>
              </w:rPr>
              <w:sym w:font="Symbol" w:char="F0B1"/>
            </w:r>
            <w:r w:rsidRPr="00800B07">
              <w:rPr>
                <w:rFonts w:ascii="Calibri" w:hAnsi="Calibri"/>
                <w:sz w:val="18"/>
                <w:szCs w:val="18"/>
                <w:lang w:val="en-GB"/>
              </w:rPr>
              <w:t>13</w:t>
            </w:r>
            <w:r>
              <w:rPr>
                <w:rFonts w:ascii="Calibri" w:hAnsi="Calibri"/>
                <w:sz w:val="18"/>
                <w:szCs w:val="18"/>
                <w:lang w:val="en-GB"/>
              </w:rPr>
              <w:t>.</w:t>
            </w:r>
            <w:r w:rsidRPr="00800B07">
              <w:rPr>
                <w:rFonts w:ascii="Calibri" w:hAnsi="Calibri"/>
                <w:sz w:val="18"/>
                <w:szCs w:val="18"/>
                <w:lang w:val="en-GB"/>
              </w:rPr>
              <w:t>2</w:t>
            </w:r>
          </w:p>
          <w:p w14:paraId="457802BA" w14:textId="77777777" w:rsidR="0057187E" w:rsidRPr="00800B07" w:rsidRDefault="0057187E" w:rsidP="0057187E">
            <w:pPr>
              <w:rPr>
                <w:b/>
                <w:bCs/>
                <w:sz w:val="18"/>
                <w:szCs w:val="18"/>
                <w:lang w:val="en-GB"/>
              </w:rPr>
            </w:pPr>
            <w:r w:rsidRPr="00800B07">
              <w:rPr>
                <w:sz w:val="18"/>
                <w:szCs w:val="18"/>
                <w:lang w:val="en-GB"/>
              </w:rPr>
              <w:t>28</w:t>
            </w:r>
            <w:r>
              <w:rPr>
                <w:sz w:val="18"/>
                <w:szCs w:val="18"/>
                <w:lang w:val="en-GB"/>
              </w:rPr>
              <w:t>.</w:t>
            </w:r>
            <w:r w:rsidRPr="00800B07">
              <w:rPr>
                <w:sz w:val="18"/>
                <w:szCs w:val="18"/>
                <w:lang w:val="en-GB"/>
              </w:rPr>
              <w:t>9</w:t>
            </w:r>
            <w:r w:rsidRPr="00800B07">
              <w:rPr>
                <w:rFonts w:ascii="Calibri" w:hAnsi="Calibri"/>
                <w:sz w:val="18"/>
                <w:szCs w:val="18"/>
                <w:lang w:val="en-GB"/>
              </w:rPr>
              <w:sym w:font="Symbol" w:char="F0B1"/>
            </w:r>
            <w:r w:rsidRPr="00800B07">
              <w:rPr>
                <w:rFonts w:ascii="Calibri" w:hAnsi="Calibri"/>
                <w:sz w:val="18"/>
                <w:szCs w:val="18"/>
                <w:lang w:val="en-GB"/>
              </w:rPr>
              <w:t xml:space="preserve"> </w:t>
            </w:r>
            <w:r w:rsidRPr="00800B07">
              <w:rPr>
                <w:sz w:val="18"/>
                <w:szCs w:val="18"/>
                <w:lang w:val="en-GB"/>
              </w:rPr>
              <w:t>11</w:t>
            </w:r>
            <w:r>
              <w:rPr>
                <w:sz w:val="18"/>
                <w:szCs w:val="18"/>
                <w:lang w:val="en-GB"/>
              </w:rPr>
              <w:t>.</w:t>
            </w:r>
            <w:r w:rsidRPr="00800B07">
              <w:rPr>
                <w:sz w:val="18"/>
                <w:szCs w:val="18"/>
                <w:lang w:val="en-GB"/>
              </w:rPr>
              <w:t>1</w:t>
            </w:r>
          </w:p>
        </w:tc>
        <w:tc>
          <w:tcPr>
            <w:tcW w:w="1795" w:type="dxa"/>
            <w:tcBorders>
              <w:left w:val="single" w:sz="4" w:space="0" w:color="auto"/>
            </w:tcBorders>
            <w:shd w:val="clear" w:color="auto" w:fill="auto"/>
          </w:tcPr>
          <w:p w14:paraId="280D743C" w14:textId="77777777" w:rsidR="0057187E" w:rsidRPr="00800B07" w:rsidRDefault="0057187E" w:rsidP="0057187E">
            <w:pPr>
              <w:rPr>
                <w:sz w:val="18"/>
                <w:szCs w:val="18"/>
                <w:lang w:val="en-GB"/>
              </w:rPr>
            </w:pPr>
          </w:p>
          <w:p w14:paraId="2730F365" w14:textId="77777777" w:rsidR="0057187E" w:rsidRPr="00800B07" w:rsidRDefault="0057187E" w:rsidP="0057187E">
            <w:pPr>
              <w:rPr>
                <w:sz w:val="18"/>
                <w:szCs w:val="18"/>
                <w:lang w:val="en-GB"/>
              </w:rPr>
            </w:pPr>
            <w:r w:rsidRPr="00800B07">
              <w:rPr>
                <w:sz w:val="18"/>
                <w:szCs w:val="18"/>
                <w:lang w:val="en-GB"/>
              </w:rPr>
              <w:t>28</w:t>
            </w:r>
            <w:r>
              <w:rPr>
                <w:sz w:val="18"/>
                <w:szCs w:val="18"/>
                <w:lang w:val="en-GB"/>
              </w:rPr>
              <w:t>.</w:t>
            </w:r>
            <w:r w:rsidRPr="00800B07">
              <w:rPr>
                <w:sz w:val="18"/>
                <w:szCs w:val="18"/>
                <w:lang w:val="en-GB"/>
              </w:rPr>
              <w:t>8 (22</w:t>
            </w:r>
            <w:r>
              <w:rPr>
                <w:sz w:val="18"/>
                <w:szCs w:val="18"/>
                <w:lang w:val="en-GB"/>
              </w:rPr>
              <w:t>.</w:t>
            </w:r>
            <w:r w:rsidRPr="00800B07">
              <w:rPr>
                <w:sz w:val="18"/>
                <w:szCs w:val="18"/>
                <w:lang w:val="en-GB"/>
              </w:rPr>
              <w:t>9-37</w:t>
            </w:r>
            <w:r>
              <w:rPr>
                <w:sz w:val="18"/>
                <w:szCs w:val="18"/>
                <w:lang w:val="en-GB"/>
              </w:rPr>
              <w:t>.</w:t>
            </w:r>
            <w:r w:rsidRPr="00800B07">
              <w:rPr>
                <w:sz w:val="18"/>
                <w:szCs w:val="18"/>
                <w:lang w:val="en-GB"/>
              </w:rPr>
              <w:t>1)</w:t>
            </w:r>
          </w:p>
          <w:p w14:paraId="1BF63C1D" w14:textId="77777777" w:rsidR="0057187E" w:rsidRPr="00800B07" w:rsidRDefault="0057187E" w:rsidP="0057187E">
            <w:pPr>
              <w:rPr>
                <w:sz w:val="18"/>
                <w:szCs w:val="18"/>
                <w:lang w:val="en-GB"/>
              </w:rPr>
            </w:pPr>
            <w:r w:rsidRPr="00800B07">
              <w:rPr>
                <w:sz w:val="18"/>
                <w:szCs w:val="18"/>
                <w:lang w:val="en-GB"/>
              </w:rPr>
              <w:t>28</w:t>
            </w:r>
            <w:r>
              <w:rPr>
                <w:sz w:val="18"/>
                <w:szCs w:val="18"/>
                <w:lang w:val="en-GB"/>
              </w:rPr>
              <w:t>.</w:t>
            </w:r>
            <w:r w:rsidRPr="00800B07">
              <w:rPr>
                <w:sz w:val="18"/>
                <w:szCs w:val="18"/>
                <w:lang w:val="en-GB"/>
              </w:rPr>
              <w:t>1 (21</w:t>
            </w:r>
            <w:r>
              <w:rPr>
                <w:sz w:val="18"/>
                <w:szCs w:val="18"/>
                <w:lang w:val="en-GB"/>
              </w:rPr>
              <w:t>.</w:t>
            </w:r>
            <w:r w:rsidRPr="00800B07">
              <w:rPr>
                <w:sz w:val="18"/>
                <w:szCs w:val="18"/>
                <w:lang w:val="en-GB"/>
              </w:rPr>
              <w:t>1-35</w:t>
            </w:r>
            <w:r>
              <w:rPr>
                <w:sz w:val="18"/>
                <w:szCs w:val="18"/>
                <w:lang w:val="en-GB"/>
              </w:rPr>
              <w:t>.</w:t>
            </w:r>
            <w:r w:rsidRPr="00800B07">
              <w:rPr>
                <w:sz w:val="18"/>
                <w:szCs w:val="18"/>
                <w:lang w:val="en-GB"/>
              </w:rPr>
              <w:t>8)</w:t>
            </w:r>
          </w:p>
        </w:tc>
        <w:tc>
          <w:tcPr>
            <w:tcW w:w="1796" w:type="dxa"/>
          </w:tcPr>
          <w:p w14:paraId="506CF6E1" w14:textId="77777777" w:rsidR="0057187E" w:rsidRPr="00F75CD3" w:rsidRDefault="0057187E" w:rsidP="00F75CD3">
            <w:pPr>
              <w:jc w:val="center"/>
              <w:rPr>
                <w:sz w:val="18"/>
                <w:szCs w:val="18"/>
                <w:lang w:val="en-GB"/>
              </w:rPr>
            </w:pPr>
          </w:p>
          <w:p w14:paraId="7F48077A" w14:textId="75048529" w:rsidR="0057187E" w:rsidRPr="00F75CD3" w:rsidRDefault="00F75CD3" w:rsidP="00F75CD3">
            <w:pPr>
              <w:jc w:val="center"/>
              <w:rPr>
                <w:sz w:val="18"/>
                <w:szCs w:val="18"/>
                <w:lang w:val="fr-BE"/>
              </w:rPr>
            </w:pPr>
            <w:r w:rsidRPr="00F75CD3">
              <w:rPr>
                <w:sz w:val="18"/>
                <w:szCs w:val="18"/>
              </w:rPr>
              <w:t>0.0016</w:t>
            </w:r>
          </w:p>
        </w:tc>
      </w:tr>
      <w:tr w:rsidR="0057187E" w:rsidRPr="00800B07" w14:paraId="4C4B2F02" w14:textId="77777777" w:rsidTr="00311773">
        <w:trPr>
          <w:trHeight w:val="449"/>
        </w:trPr>
        <w:tc>
          <w:tcPr>
            <w:tcW w:w="3686" w:type="dxa"/>
            <w:tcBorders>
              <w:right w:val="single" w:sz="4" w:space="0" w:color="auto"/>
            </w:tcBorders>
            <w:shd w:val="clear" w:color="auto" w:fill="auto"/>
          </w:tcPr>
          <w:p w14:paraId="6E59DF45" w14:textId="77777777" w:rsidR="0057187E" w:rsidRPr="00800B07" w:rsidRDefault="0057187E" w:rsidP="0057187E">
            <w:pPr>
              <w:rPr>
                <w:b/>
                <w:bCs/>
                <w:sz w:val="18"/>
                <w:szCs w:val="18"/>
                <w:lang w:val="en-GB"/>
              </w:rPr>
            </w:pPr>
            <w:r w:rsidRPr="00800B07">
              <w:rPr>
                <w:b/>
                <w:bCs/>
                <w:sz w:val="18"/>
                <w:szCs w:val="18"/>
                <w:lang w:val="en-GB"/>
              </w:rPr>
              <w:t xml:space="preserve">Urinary uric acid excretion </w:t>
            </w:r>
          </w:p>
          <w:p w14:paraId="08D75A0C"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(mg/24h)</w:t>
            </w:r>
          </w:p>
          <w:p w14:paraId="48A63B20" w14:textId="77777777" w:rsidR="0057187E" w:rsidRPr="00800B07" w:rsidRDefault="0057187E" w:rsidP="0057187E">
            <w:pPr>
              <w:rPr>
                <w:b/>
                <w:bCs/>
                <w:sz w:val="18"/>
                <w:szCs w:val="18"/>
                <w:lang w:val="en-GB"/>
              </w:rPr>
            </w:pPr>
            <w:r w:rsidRPr="00800B07">
              <w:rPr>
                <w:sz w:val="18"/>
                <w:szCs w:val="18"/>
                <w:lang w:val="en-GB"/>
              </w:rPr>
              <w:t xml:space="preserve">        Post-treatment</w:t>
            </w:r>
            <w:r>
              <w:rPr>
                <w:sz w:val="18"/>
                <w:szCs w:val="18"/>
                <w:lang w:val="en-GB"/>
              </w:rPr>
              <w:t xml:space="preserve"> (mg/24h)</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2C372061" w14:textId="77777777" w:rsidR="0057187E" w:rsidRPr="00800B07" w:rsidRDefault="0057187E" w:rsidP="0057187E">
            <w:pPr>
              <w:rPr>
                <w:sz w:val="18"/>
                <w:szCs w:val="18"/>
                <w:lang w:val="en-GB"/>
              </w:rPr>
            </w:pPr>
          </w:p>
          <w:p w14:paraId="59E1F657" w14:textId="77777777" w:rsidR="0057187E" w:rsidRPr="00800B07" w:rsidRDefault="0057187E" w:rsidP="0057187E">
            <w:pPr>
              <w:rPr>
                <w:sz w:val="18"/>
                <w:szCs w:val="18"/>
              </w:rPr>
            </w:pPr>
            <w:r w:rsidRPr="00800B07">
              <w:rPr>
                <w:sz w:val="18"/>
                <w:szCs w:val="18"/>
              </w:rPr>
              <w:t>658</w:t>
            </w:r>
            <w:r>
              <w:rPr>
                <w:sz w:val="18"/>
                <w:szCs w:val="18"/>
              </w:rPr>
              <w:t>.</w:t>
            </w:r>
            <w:r w:rsidRPr="00800B07">
              <w:rPr>
                <w:sz w:val="18"/>
                <w:szCs w:val="18"/>
              </w:rPr>
              <w:t>7</w:t>
            </w:r>
            <w:r w:rsidRPr="00800B07">
              <w:rPr>
                <w:rFonts w:ascii="Calibri" w:hAnsi="Calibri"/>
                <w:sz w:val="18"/>
                <w:szCs w:val="18"/>
                <w:lang w:val="en-GB"/>
              </w:rPr>
              <w:sym w:font="Symbol" w:char="F0B1"/>
            </w:r>
            <w:r w:rsidRPr="00800B07">
              <w:rPr>
                <w:rFonts w:ascii="Calibri" w:hAnsi="Calibri"/>
                <w:sz w:val="18"/>
                <w:szCs w:val="18"/>
                <w:lang w:val="en-GB"/>
              </w:rPr>
              <w:t>271</w:t>
            </w:r>
            <w:r>
              <w:rPr>
                <w:rFonts w:ascii="Calibri" w:hAnsi="Calibri"/>
                <w:sz w:val="18"/>
                <w:szCs w:val="18"/>
                <w:lang w:val="en-GB"/>
              </w:rPr>
              <w:t>.</w:t>
            </w:r>
            <w:r w:rsidRPr="00800B07">
              <w:rPr>
                <w:rFonts w:ascii="Calibri" w:hAnsi="Calibri"/>
                <w:sz w:val="18"/>
                <w:szCs w:val="18"/>
                <w:lang w:val="en-GB"/>
              </w:rPr>
              <w:t>1</w:t>
            </w:r>
          </w:p>
          <w:p w14:paraId="4CB43DEC" w14:textId="77777777" w:rsidR="0057187E" w:rsidRPr="00800B07" w:rsidRDefault="0057187E" w:rsidP="0057187E">
            <w:pPr>
              <w:rPr>
                <w:b/>
                <w:bCs/>
                <w:sz w:val="18"/>
                <w:szCs w:val="18"/>
                <w:lang w:val="en-GB"/>
              </w:rPr>
            </w:pPr>
            <w:r w:rsidRPr="00800B07">
              <w:rPr>
                <w:sz w:val="18"/>
                <w:szCs w:val="18"/>
                <w:lang w:val="en-GB"/>
              </w:rPr>
              <w:t>572</w:t>
            </w:r>
            <w:r>
              <w:rPr>
                <w:sz w:val="18"/>
                <w:szCs w:val="18"/>
                <w:lang w:val="en-GB"/>
              </w:rPr>
              <w:t>.</w:t>
            </w:r>
            <w:r w:rsidRPr="00800B07">
              <w:rPr>
                <w:sz w:val="18"/>
                <w:szCs w:val="18"/>
                <w:lang w:val="en-GB"/>
              </w:rPr>
              <w:t>6</w:t>
            </w:r>
            <w:r w:rsidRPr="00800B07">
              <w:rPr>
                <w:rFonts w:ascii="Calibri" w:hAnsi="Calibri"/>
                <w:sz w:val="18"/>
                <w:szCs w:val="18"/>
                <w:lang w:val="en-GB"/>
              </w:rPr>
              <w:sym w:font="Symbol" w:char="F0B1"/>
            </w:r>
            <w:r w:rsidRPr="00800B07">
              <w:rPr>
                <w:sz w:val="18"/>
                <w:szCs w:val="18"/>
                <w:lang w:val="en-GB"/>
              </w:rPr>
              <w:t>227</w:t>
            </w:r>
            <w:r>
              <w:rPr>
                <w:sz w:val="18"/>
                <w:szCs w:val="18"/>
                <w:lang w:val="en-GB"/>
              </w:rPr>
              <w:t>.</w:t>
            </w:r>
            <w:r w:rsidRPr="00800B07">
              <w:rPr>
                <w:sz w:val="18"/>
                <w:szCs w:val="18"/>
                <w:lang w:val="en-GB"/>
              </w:rPr>
              <w:t>8</w:t>
            </w:r>
          </w:p>
        </w:tc>
        <w:tc>
          <w:tcPr>
            <w:tcW w:w="1795" w:type="dxa"/>
            <w:tcBorders>
              <w:left w:val="single" w:sz="4" w:space="0" w:color="auto"/>
            </w:tcBorders>
            <w:shd w:val="clear" w:color="auto" w:fill="auto"/>
          </w:tcPr>
          <w:p w14:paraId="39B86A2A" w14:textId="77777777" w:rsidR="0057187E" w:rsidRPr="00800B07" w:rsidRDefault="0057187E" w:rsidP="0057187E">
            <w:pPr>
              <w:rPr>
                <w:sz w:val="18"/>
                <w:szCs w:val="18"/>
                <w:lang w:val="en-GB"/>
              </w:rPr>
            </w:pPr>
          </w:p>
          <w:p w14:paraId="72CDA885" w14:textId="77777777" w:rsidR="0057187E" w:rsidRPr="00800B07" w:rsidRDefault="0057187E" w:rsidP="0057187E">
            <w:pPr>
              <w:rPr>
                <w:sz w:val="18"/>
                <w:szCs w:val="18"/>
                <w:lang w:val="en-GB"/>
              </w:rPr>
            </w:pPr>
            <w:r w:rsidRPr="00800B07">
              <w:rPr>
                <w:sz w:val="18"/>
                <w:szCs w:val="18"/>
                <w:lang w:val="en-GB"/>
              </w:rPr>
              <w:t>617</w:t>
            </w:r>
            <w:r>
              <w:rPr>
                <w:sz w:val="18"/>
                <w:szCs w:val="18"/>
                <w:lang w:val="en-GB"/>
              </w:rPr>
              <w:t>.</w:t>
            </w:r>
            <w:r w:rsidRPr="00800B07">
              <w:rPr>
                <w:sz w:val="18"/>
                <w:szCs w:val="18"/>
                <w:lang w:val="en-GB"/>
              </w:rPr>
              <w:t>0 (472</w:t>
            </w:r>
            <w:r>
              <w:rPr>
                <w:sz w:val="18"/>
                <w:szCs w:val="18"/>
                <w:lang w:val="en-GB"/>
              </w:rPr>
              <w:t>.</w:t>
            </w:r>
            <w:r w:rsidRPr="00800B07">
              <w:rPr>
                <w:sz w:val="18"/>
                <w:szCs w:val="18"/>
                <w:lang w:val="en-GB"/>
              </w:rPr>
              <w:t>0-792</w:t>
            </w:r>
            <w:r>
              <w:rPr>
                <w:sz w:val="18"/>
                <w:szCs w:val="18"/>
                <w:lang w:val="en-GB"/>
              </w:rPr>
              <w:t>.</w:t>
            </w:r>
            <w:r w:rsidRPr="00800B07">
              <w:rPr>
                <w:sz w:val="18"/>
                <w:szCs w:val="18"/>
                <w:lang w:val="en-GB"/>
              </w:rPr>
              <w:t>0)</w:t>
            </w:r>
          </w:p>
          <w:p w14:paraId="56C6D94C" w14:textId="77777777" w:rsidR="0057187E" w:rsidRPr="00800B07" w:rsidRDefault="0057187E" w:rsidP="0057187E">
            <w:pPr>
              <w:rPr>
                <w:sz w:val="18"/>
                <w:szCs w:val="18"/>
                <w:lang w:val="en-GB"/>
              </w:rPr>
            </w:pPr>
            <w:r w:rsidRPr="00800B07">
              <w:rPr>
                <w:sz w:val="18"/>
                <w:szCs w:val="18"/>
                <w:lang w:val="en-GB"/>
              </w:rPr>
              <w:t>540</w:t>
            </w:r>
            <w:r>
              <w:rPr>
                <w:sz w:val="18"/>
                <w:szCs w:val="18"/>
                <w:lang w:val="en-GB"/>
              </w:rPr>
              <w:t>.</w:t>
            </w:r>
            <w:r w:rsidRPr="00800B07">
              <w:rPr>
                <w:sz w:val="18"/>
                <w:szCs w:val="18"/>
                <w:lang w:val="en-GB"/>
              </w:rPr>
              <w:t>5 (421</w:t>
            </w:r>
            <w:r>
              <w:rPr>
                <w:sz w:val="18"/>
                <w:szCs w:val="18"/>
                <w:lang w:val="en-GB"/>
              </w:rPr>
              <w:t>.</w:t>
            </w:r>
            <w:r w:rsidRPr="00800B07">
              <w:rPr>
                <w:sz w:val="18"/>
                <w:szCs w:val="18"/>
                <w:lang w:val="en-GB"/>
              </w:rPr>
              <w:t>0-693</w:t>
            </w:r>
            <w:r>
              <w:rPr>
                <w:sz w:val="18"/>
                <w:szCs w:val="18"/>
                <w:lang w:val="en-GB"/>
              </w:rPr>
              <w:t>.</w:t>
            </w:r>
            <w:r w:rsidRPr="00800B07">
              <w:rPr>
                <w:sz w:val="18"/>
                <w:szCs w:val="18"/>
                <w:lang w:val="en-GB"/>
              </w:rPr>
              <w:t>0)</w:t>
            </w:r>
          </w:p>
        </w:tc>
        <w:tc>
          <w:tcPr>
            <w:tcW w:w="1796" w:type="dxa"/>
          </w:tcPr>
          <w:p w14:paraId="258B1081" w14:textId="77777777" w:rsidR="0057187E" w:rsidRPr="00F75CD3" w:rsidRDefault="0057187E" w:rsidP="00F75CD3">
            <w:pPr>
              <w:jc w:val="center"/>
              <w:rPr>
                <w:sz w:val="18"/>
                <w:szCs w:val="18"/>
                <w:lang w:val="en-GB"/>
              </w:rPr>
            </w:pPr>
          </w:p>
          <w:p w14:paraId="6304DACF" w14:textId="77777777" w:rsidR="0057187E" w:rsidRPr="00F75CD3" w:rsidRDefault="0057187E" w:rsidP="00F75CD3">
            <w:pPr>
              <w:jc w:val="center"/>
              <w:rPr>
                <w:sz w:val="18"/>
                <w:szCs w:val="18"/>
                <w:lang w:val="fr-BE"/>
              </w:rPr>
            </w:pPr>
            <w:r w:rsidRPr="00F75CD3">
              <w:rPr>
                <w:sz w:val="18"/>
                <w:szCs w:val="18"/>
                <w:lang w:val="en-GB"/>
              </w:rPr>
              <w:t>&lt;0.0001</w:t>
            </w:r>
          </w:p>
        </w:tc>
      </w:tr>
      <w:tr w:rsidR="0057187E" w:rsidRPr="00800B07" w14:paraId="21E87FCE" w14:textId="77777777" w:rsidTr="00311773">
        <w:trPr>
          <w:trHeight w:val="449"/>
        </w:trPr>
        <w:tc>
          <w:tcPr>
            <w:tcW w:w="3686" w:type="dxa"/>
            <w:tcBorders>
              <w:right w:val="single" w:sz="4" w:space="0" w:color="auto"/>
            </w:tcBorders>
            <w:shd w:val="clear" w:color="auto" w:fill="auto"/>
          </w:tcPr>
          <w:p w14:paraId="7B574A92" w14:textId="77777777" w:rsidR="0057187E" w:rsidRPr="00800B07" w:rsidRDefault="0057187E" w:rsidP="0057187E">
            <w:pPr>
              <w:rPr>
                <w:b/>
                <w:bCs/>
                <w:sz w:val="18"/>
                <w:szCs w:val="18"/>
                <w:lang w:val="en-GB"/>
              </w:rPr>
            </w:pPr>
            <w:r w:rsidRPr="00800B07">
              <w:rPr>
                <w:b/>
                <w:bCs/>
                <w:sz w:val="18"/>
                <w:szCs w:val="18"/>
                <w:lang w:val="en-GB"/>
              </w:rPr>
              <w:t xml:space="preserve">Urinary sodium excretion </w:t>
            </w:r>
          </w:p>
          <w:p w14:paraId="5ED4C3FD"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(mmol/24h)</w:t>
            </w:r>
          </w:p>
          <w:p w14:paraId="236FB1FB" w14:textId="77777777" w:rsidR="0057187E" w:rsidRPr="00800B07" w:rsidRDefault="0057187E" w:rsidP="0057187E">
            <w:pPr>
              <w:rPr>
                <w:b/>
                <w:bCs/>
                <w:sz w:val="18"/>
                <w:szCs w:val="18"/>
                <w:lang w:val="en-GB"/>
              </w:rPr>
            </w:pPr>
            <w:r w:rsidRPr="00800B07">
              <w:rPr>
                <w:b/>
                <w:bCs/>
                <w:sz w:val="18"/>
                <w:szCs w:val="18"/>
                <w:lang w:val="en-GB"/>
              </w:rPr>
              <w:t xml:space="preserve">        </w:t>
            </w:r>
            <w:r w:rsidRPr="00800B07">
              <w:rPr>
                <w:sz w:val="18"/>
                <w:szCs w:val="18"/>
                <w:lang w:val="en-GB"/>
              </w:rPr>
              <w:t>Post-treatment</w:t>
            </w:r>
            <w:r>
              <w:rPr>
                <w:sz w:val="18"/>
                <w:szCs w:val="18"/>
                <w:lang w:val="en-GB"/>
              </w:rPr>
              <w:t xml:space="preserve"> (mmol/24h)</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0F0BA156" w14:textId="77777777" w:rsidR="0057187E" w:rsidRPr="00800B07" w:rsidRDefault="0057187E" w:rsidP="0057187E">
            <w:pPr>
              <w:rPr>
                <w:sz w:val="18"/>
                <w:szCs w:val="18"/>
                <w:lang w:val="en-GB"/>
              </w:rPr>
            </w:pPr>
          </w:p>
          <w:p w14:paraId="4C3907BB" w14:textId="77777777" w:rsidR="0057187E" w:rsidRPr="00800B07" w:rsidRDefault="0057187E" w:rsidP="0057187E">
            <w:pPr>
              <w:rPr>
                <w:sz w:val="18"/>
                <w:szCs w:val="18"/>
                <w:lang w:val="fr-BE"/>
              </w:rPr>
            </w:pPr>
            <w:r w:rsidRPr="00800B07">
              <w:rPr>
                <w:sz w:val="18"/>
                <w:szCs w:val="18"/>
                <w:lang w:val="fr-BE"/>
              </w:rPr>
              <w:t>187</w:t>
            </w:r>
            <w:r>
              <w:rPr>
                <w:sz w:val="18"/>
                <w:szCs w:val="18"/>
                <w:lang w:val="fr-BE"/>
              </w:rPr>
              <w:t>.</w:t>
            </w:r>
            <w:r w:rsidRPr="00800B07">
              <w:rPr>
                <w:sz w:val="18"/>
                <w:szCs w:val="18"/>
                <w:lang w:val="fr-BE"/>
              </w:rPr>
              <w:t>6</w:t>
            </w:r>
            <w:r w:rsidRPr="00800B07">
              <w:rPr>
                <w:rFonts w:ascii="Calibri" w:hAnsi="Calibri"/>
                <w:sz w:val="18"/>
                <w:szCs w:val="18"/>
                <w:lang w:val="en-GB"/>
              </w:rPr>
              <w:sym w:font="Symbol" w:char="F0B1"/>
            </w:r>
            <w:r w:rsidRPr="00800B07">
              <w:rPr>
                <w:rFonts w:ascii="Calibri" w:hAnsi="Calibri"/>
                <w:sz w:val="18"/>
                <w:szCs w:val="18"/>
              </w:rPr>
              <w:t>81</w:t>
            </w:r>
            <w:r>
              <w:rPr>
                <w:rFonts w:ascii="Calibri" w:hAnsi="Calibri"/>
                <w:sz w:val="18"/>
                <w:szCs w:val="18"/>
              </w:rPr>
              <w:t>.</w:t>
            </w:r>
            <w:r w:rsidRPr="00800B07">
              <w:rPr>
                <w:rFonts w:ascii="Calibri" w:hAnsi="Calibri"/>
                <w:sz w:val="18"/>
                <w:szCs w:val="18"/>
              </w:rPr>
              <w:t>0</w:t>
            </w:r>
            <w:r w:rsidRPr="00800B07">
              <w:rPr>
                <w:rFonts w:ascii="Calibri" w:hAnsi="Calibri"/>
                <w:sz w:val="18"/>
                <w:szCs w:val="18"/>
                <w:lang w:val="en-GB"/>
              </w:rPr>
              <w:t xml:space="preserve"> </w:t>
            </w:r>
          </w:p>
          <w:p w14:paraId="42EA6035" w14:textId="77777777" w:rsidR="0057187E" w:rsidRPr="00800B07" w:rsidRDefault="0057187E" w:rsidP="0057187E">
            <w:pPr>
              <w:rPr>
                <w:b/>
                <w:bCs/>
                <w:sz w:val="18"/>
                <w:szCs w:val="18"/>
                <w:lang w:val="en-GB"/>
              </w:rPr>
            </w:pPr>
            <w:r w:rsidRPr="00800B07">
              <w:rPr>
                <w:sz w:val="18"/>
                <w:szCs w:val="18"/>
                <w:lang w:val="en-GB"/>
              </w:rPr>
              <w:t>175</w:t>
            </w:r>
            <w:r>
              <w:rPr>
                <w:sz w:val="18"/>
                <w:szCs w:val="18"/>
                <w:lang w:val="en-GB"/>
              </w:rPr>
              <w:t>.</w:t>
            </w:r>
            <w:r w:rsidRPr="00800B07">
              <w:rPr>
                <w:sz w:val="18"/>
                <w:szCs w:val="18"/>
                <w:lang w:val="en-GB"/>
              </w:rPr>
              <w:t>3</w:t>
            </w:r>
            <w:r w:rsidRPr="00800B07">
              <w:rPr>
                <w:rFonts w:ascii="Calibri" w:hAnsi="Calibri"/>
                <w:sz w:val="18"/>
                <w:szCs w:val="18"/>
                <w:lang w:val="en-GB"/>
              </w:rPr>
              <w:sym w:font="Symbol" w:char="F0B1"/>
            </w:r>
            <w:r w:rsidRPr="00800B07">
              <w:rPr>
                <w:sz w:val="18"/>
                <w:szCs w:val="18"/>
                <w:lang w:val="en-GB"/>
              </w:rPr>
              <w:t>77</w:t>
            </w:r>
            <w:r>
              <w:rPr>
                <w:sz w:val="18"/>
                <w:szCs w:val="18"/>
                <w:lang w:val="en-GB"/>
              </w:rPr>
              <w:t>.</w:t>
            </w:r>
            <w:r w:rsidRPr="00800B07">
              <w:rPr>
                <w:sz w:val="18"/>
                <w:szCs w:val="18"/>
                <w:lang w:val="en-GB"/>
              </w:rPr>
              <w:t>8</w:t>
            </w:r>
          </w:p>
        </w:tc>
        <w:tc>
          <w:tcPr>
            <w:tcW w:w="1795" w:type="dxa"/>
            <w:tcBorders>
              <w:left w:val="single" w:sz="4" w:space="0" w:color="auto"/>
            </w:tcBorders>
            <w:shd w:val="clear" w:color="auto" w:fill="auto"/>
          </w:tcPr>
          <w:p w14:paraId="3479B1D6" w14:textId="77777777" w:rsidR="0057187E" w:rsidRPr="00800B07" w:rsidRDefault="0057187E" w:rsidP="0057187E">
            <w:pPr>
              <w:rPr>
                <w:rFonts w:cstheme="minorHAnsi"/>
                <w:sz w:val="18"/>
                <w:szCs w:val="18"/>
                <w:lang w:val="en-GB"/>
              </w:rPr>
            </w:pPr>
          </w:p>
          <w:p w14:paraId="3BA83DC0" w14:textId="77777777" w:rsidR="0057187E" w:rsidRPr="00800B07" w:rsidRDefault="0057187E" w:rsidP="0057187E">
            <w:pPr>
              <w:rPr>
                <w:rFonts w:cstheme="minorHAnsi"/>
                <w:sz w:val="18"/>
                <w:szCs w:val="18"/>
                <w:lang w:val="en-GB"/>
              </w:rPr>
            </w:pPr>
            <w:r w:rsidRPr="00800B07">
              <w:rPr>
                <w:rFonts w:cstheme="minorHAnsi"/>
                <w:sz w:val="18"/>
                <w:szCs w:val="18"/>
                <w:lang w:val="en-GB"/>
              </w:rPr>
              <w:t>178</w:t>
            </w:r>
            <w:r>
              <w:rPr>
                <w:rFonts w:cstheme="minorHAnsi"/>
                <w:sz w:val="18"/>
                <w:szCs w:val="18"/>
                <w:lang w:val="en-GB"/>
              </w:rPr>
              <w:t>.</w:t>
            </w:r>
            <w:r w:rsidRPr="00800B07">
              <w:rPr>
                <w:rFonts w:cstheme="minorHAnsi"/>
                <w:sz w:val="18"/>
                <w:szCs w:val="18"/>
                <w:lang w:val="en-GB"/>
              </w:rPr>
              <w:t>0 (135</w:t>
            </w:r>
            <w:r>
              <w:rPr>
                <w:rFonts w:cstheme="minorHAnsi"/>
                <w:sz w:val="18"/>
                <w:szCs w:val="18"/>
                <w:lang w:val="en-GB"/>
              </w:rPr>
              <w:t>.</w:t>
            </w:r>
            <w:r w:rsidRPr="00800B07">
              <w:rPr>
                <w:rFonts w:cstheme="minorHAnsi"/>
                <w:sz w:val="18"/>
                <w:szCs w:val="18"/>
                <w:lang w:val="en-GB"/>
              </w:rPr>
              <w:t>0-228</w:t>
            </w:r>
            <w:r>
              <w:rPr>
                <w:rFonts w:cstheme="minorHAnsi"/>
                <w:sz w:val="18"/>
                <w:szCs w:val="18"/>
                <w:lang w:val="en-GB"/>
              </w:rPr>
              <w:t>.</w:t>
            </w:r>
            <w:r w:rsidRPr="00800B07">
              <w:rPr>
                <w:rFonts w:cstheme="minorHAnsi"/>
                <w:sz w:val="18"/>
                <w:szCs w:val="18"/>
                <w:lang w:val="en-GB"/>
              </w:rPr>
              <w:t>0)</w:t>
            </w:r>
          </w:p>
          <w:p w14:paraId="4055D4E1" w14:textId="77777777" w:rsidR="0057187E" w:rsidRPr="00800B07" w:rsidRDefault="0057187E" w:rsidP="0057187E">
            <w:pPr>
              <w:rPr>
                <w:sz w:val="18"/>
                <w:szCs w:val="18"/>
                <w:lang w:val="en-GB"/>
              </w:rPr>
            </w:pPr>
            <w:r w:rsidRPr="00800B07">
              <w:rPr>
                <w:rFonts w:cstheme="minorHAnsi"/>
                <w:sz w:val="18"/>
                <w:szCs w:val="18"/>
                <w:lang w:val="en-GB"/>
              </w:rPr>
              <w:t>164</w:t>
            </w:r>
            <w:r>
              <w:rPr>
                <w:rFonts w:cstheme="minorHAnsi"/>
                <w:sz w:val="18"/>
                <w:szCs w:val="18"/>
                <w:lang w:val="en-GB"/>
              </w:rPr>
              <w:t>.</w:t>
            </w:r>
            <w:r w:rsidRPr="00800B07">
              <w:rPr>
                <w:rFonts w:cstheme="minorHAnsi"/>
                <w:sz w:val="18"/>
                <w:szCs w:val="18"/>
                <w:lang w:val="en-GB"/>
              </w:rPr>
              <w:t>0 (120</w:t>
            </w:r>
            <w:r>
              <w:rPr>
                <w:rFonts w:cstheme="minorHAnsi"/>
                <w:sz w:val="18"/>
                <w:szCs w:val="18"/>
                <w:lang w:val="en-GB"/>
              </w:rPr>
              <w:t>.</w:t>
            </w:r>
            <w:r w:rsidRPr="00800B07">
              <w:rPr>
                <w:rFonts w:cstheme="minorHAnsi"/>
                <w:sz w:val="18"/>
                <w:szCs w:val="18"/>
                <w:lang w:val="en-GB"/>
              </w:rPr>
              <w:t>0-215</w:t>
            </w:r>
            <w:r>
              <w:rPr>
                <w:rFonts w:cstheme="minorHAnsi"/>
                <w:sz w:val="18"/>
                <w:szCs w:val="18"/>
                <w:lang w:val="en-GB"/>
              </w:rPr>
              <w:t>.</w:t>
            </w:r>
            <w:r w:rsidRPr="00800B07">
              <w:rPr>
                <w:rFonts w:cstheme="minorHAnsi"/>
                <w:sz w:val="18"/>
                <w:szCs w:val="18"/>
                <w:lang w:val="en-GB"/>
              </w:rPr>
              <w:t>0)</w:t>
            </w:r>
          </w:p>
        </w:tc>
        <w:tc>
          <w:tcPr>
            <w:tcW w:w="1796" w:type="dxa"/>
          </w:tcPr>
          <w:p w14:paraId="37D48552" w14:textId="77777777" w:rsidR="0057187E" w:rsidRPr="00F75CD3" w:rsidRDefault="0057187E" w:rsidP="00F75CD3">
            <w:pPr>
              <w:jc w:val="center"/>
              <w:rPr>
                <w:rFonts w:cstheme="minorHAnsi"/>
                <w:sz w:val="18"/>
                <w:szCs w:val="18"/>
                <w:lang w:val="en-GB"/>
              </w:rPr>
            </w:pPr>
          </w:p>
          <w:p w14:paraId="6F0B5C80" w14:textId="5ECF51E0" w:rsidR="0057187E" w:rsidRPr="00F75CD3" w:rsidRDefault="00F75CD3" w:rsidP="00F75CD3">
            <w:pPr>
              <w:jc w:val="center"/>
              <w:rPr>
                <w:sz w:val="18"/>
                <w:szCs w:val="18"/>
              </w:rPr>
            </w:pPr>
            <w:r w:rsidRPr="00F75CD3">
              <w:rPr>
                <w:sz w:val="18"/>
                <w:szCs w:val="18"/>
              </w:rPr>
              <w:t>0.0276</w:t>
            </w:r>
          </w:p>
        </w:tc>
      </w:tr>
      <w:tr w:rsidR="0057187E" w:rsidRPr="00800B07" w14:paraId="41607C93" w14:textId="77777777" w:rsidTr="00311773">
        <w:trPr>
          <w:trHeight w:val="449"/>
        </w:trPr>
        <w:tc>
          <w:tcPr>
            <w:tcW w:w="3686" w:type="dxa"/>
            <w:tcBorders>
              <w:right w:val="single" w:sz="4" w:space="0" w:color="auto"/>
            </w:tcBorders>
            <w:shd w:val="clear" w:color="auto" w:fill="auto"/>
          </w:tcPr>
          <w:p w14:paraId="6F7BCB7D" w14:textId="77777777" w:rsidR="0057187E" w:rsidRPr="00800B07" w:rsidRDefault="0057187E" w:rsidP="0057187E">
            <w:pPr>
              <w:rPr>
                <w:b/>
                <w:bCs/>
                <w:sz w:val="18"/>
                <w:szCs w:val="18"/>
                <w:lang w:val="en-GB"/>
              </w:rPr>
            </w:pPr>
            <w:r w:rsidRPr="00800B07">
              <w:rPr>
                <w:b/>
                <w:bCs/>
                <w:sz w:val="18"/>
                <w:szCs w:val="18"/>
                <w:lang w:val="en-GB"/>
              </w:rPr>
              <w:t xml:space="preserve">Protein intake </w:t>
            </w:r>
          </w:p>
          <w:p w14:paraId="7B3A6973"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Pr="0002707F">
              <w:rPr>
                <w:sz w:val="18"/>
                <w:szCs w:val="18"/>
                <w:lang w:val="en-GB"/>
              </w:rPr>
              <w:t>g/kg ideal weight per 24h)</w:t>
            </w:r>
          </w:p>
          <w:p w14:paraId="0AEC687A" w14:textId="77777777" w:rsidR="0057187E" w:rsidRPr="00800B07" w:rsidRDefault="0057187E" w:rsidP="0057187E">
            <w:pPr>
              <w:rPr>
                <w:b/>
                <w:bCs/>
                <w:sz w:val="18"/>
                <w:szCs w:val="18"/>
                <w:lang w:val="en-GB"/>
              </w:rPr>
            </w:pPr>
            <w:r w:rsidRPr="00800B07">
              <w:rPr>
                <w:b/>
                <w:bCs/>
                <w:sz w:val="18"/>
                <w:szCs w:val="18"/>
                <w:lang w:val="en-GB"/>
              </w:rPr>
              <w:t xml:space="preserve">        </w:t>
            </w:r>
            <w:r w:rsidRPr="00800B07">
              <w:rPr>
                <w:sz w:val="18"/>
                <w:szCs w:val="18"/>
                <w:lang w:val="en-GB"/>
              </w:rPr>
              <w:t>Post-treatment</w:t>
            </w:r>
            <w:r>
              <w:rPr>
                <w:sz w:val="18"/>
                <w:szCs w:val="18"/>
                <w:lang w:val="en-GB"/>
              </w:rPr>
              <w:t xml:space="preserve"> (</w:t>
            </w:r>
            <w:r w:rsidRPr="0002707F">
              <w:rPr>
                <w:sz w:val="18"/>
                <w:szCs w:val="18"/>
                <w:lang w:val="en-GB"/>
              </w:rPr>
              <w:t>g/kg ideal weight per 24h)</w:t>
            </w:r>
          </w:p>
        </w:tc>
        <w:tc>
          <w:tcPr>
            <w:tcW w:w="1795" w:type="dxa"/>
            <w:tcBorders>
              <w:top w:val="single" w:sz="4" w:space="0" w:color="auto"/>
              <w:left w:val="single" w:sz="4" w:space="0" w:color="auto"/>
              <w:right w:val="single" w:sz="4" w:space="0" w:color="auto"/>
            </w:tcBorders>
            <w:shd w:val="clear" w:color="auto" w:fill="auto"/>
          </w:tcPr>
          <w:p w14:paraId="2A70C200" w14:textId="77777777" w:rsidR="0057187E" w:rsidRPr="00800B07" w:rsidRDefault="0057187E" w:rsidP="0057187E">
            <w:pPr>
              <w:rPr>
                <w:sz w:val="18"/>
                <w:szCs w:val="18"/>
                <w:lang w:val="en-GB"/>
              </w:rPr>
            </w:pPr>
          </w:p>
          <w:p w14:paraId="42CF3DE3" w14:textId="77777777" w:rsidR="0057187E" w:rsidRPr="00800B07" w:rsidRDefault="0057187E" w:rsidP="0057187E">
            <w:pPr>
              <w:rPr>
                <w:sz w:val="18"/>
                <w:szCs w:val="18"/>
              </w:rPr>
            </w:pPr>
            <w:r w:rsidRPr="00800B07">
              <w:rPr>
                <w:sz w:val="18"/>
                <w:szCs w:val="18"/>
              </w:rPr>
              <w:t>1</w:t>
            </w:r>
            <w:r>
              <w:rPr>
                <w:sz w:val="18"/>
                <w:szCs w:val="18"/>
              </w:rPr>
              <w:t>.</w:t>
            </w:r>
            <w:r w:rsidRPr="00800B07">
              <w:rPr>
                <w:sz w:val="18"/>
                <w:szCs w:val="18"/>
              </w:rPr>
              <w:t>4</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4</w:t>
            </w:r>
          </w:p>
          <w:p w14:paraId="2385F6AC" w14:textId="77777777" w:rsidR="0057187E" w:rsidRPr="00800B07" w:rsidRDefault="0057187E" w:rsidP="0057187E">
            <w:pPr>
              <w:rPr>
                <w:b/>
                <w:bCs/>
                <w:sz w:val="18"/>
                <w:szCs w:val="18"/>
                <w:lang w:val="en-GB"/>
              </w:rPr>
            </w:pPr>
            <w:r w:rsidRPr="00800B07">
              <w:rPr>
                <w:sz w:val="18"/>
                <w:szCs w:val="18"/>
                <w:lang w:val="en-GB"/>
              </w:rPr>
              <w:t>1</w:t>
            </w:r>
            <w:r>
              <w:rPr>
                <w:sz w:val="18"/>
                <w:szCs w:val="18"/>
                <w:lang w:val="en-GB"/>
              </w:rPr>
              <w:t>.</w:t>
            </w:r>
            <w:r w:rsidRPr="00800B07">
              <w:rPr>
                <w:sz w:val="18"/>
                <w:szCs w:val="18"/>
                <w:lang w:val="en-GB"/>
              </w:rPr>
              <w:t>4</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4</w:t>
            </w:r>
          </w:p>
        </w:tc>
        <w:tc>
          <w:tcPr>
            <w:tcW w:w="1795" w:type="dxa"/>
            <w:tcBorders>
              <w:left w:val="single" w:sz="4" w:space="0" w:color="auto"/>
            </w:tcBorders>
            <w:shd w:val="clear" w:color="auto" w:fill="auto"/>
          </w:tcPr>
          <w:p w14:paraId="6554E9B7" w14:textId="77777777" w:rsidR="0057187E" w:rsidRPr="00800B07" w:rsidRDefault="0057187E" w:rsidP="0057187E">
            <w:pPr>
              <w:rPr>
                <w:sz w:val="18"/>
                <w:szCs w:val="18"/>
                <w:lang w:val="en-GB"/>
              </w:rPr>
            </w:pPr>
          </w:p>
          <w:p w14:paraId="05970B65" w14:textId="77777777" w:rsidR="0057187E" w:rsidRPr="00800B07" w:rsidRDefault="0057187E" w:rsidP="0057187E">
            <w:pPr>
              <w:rPr>
                <w:sz w:val="18"/>
                <w:szCs w:val="18"/>
                <w:lang w:val="en-GB"/>
              </w:rPr>
            </w:pPr>
            <w:r w:rsidRPr="00800B07">
              <w:rPr>
                <w:sz w:val="18"/>
                <w:szCs w:val="18"/>
                <w:lang w:val="en-GB"/>
              </w:rPr>
              <w:t>1</w:t>
            </w:r>
            <w:r>
              <w:rPr>
                <w:sz w:val="18"/>
                <w:szCs w:val="18"/>
                <w:lang w:val="en-GB"/>
              </w:rPr>
              <w:t>.</w:t>
            </w:r>
            <w:r w:rsidRPr="00800B07">
              <w:rPr>
                <w:sz w:val="18"/>
                <w:szCs w:val="18"/>
                <w:lang w:val="en-GB"/>
              </w:rPr>
              <w:t>3 (1</w:t>
            </w:r>
            <w:r>
              <w:rPr>
                <w:sz w:val="18"/>
                <w:szCs w:val="18"/>
                <w:lang w:val="en-GB"/>
              </w:rPr>
              <w:t>.</w:t>
            </w:r>
            <w:r w:rsidRPr="00800B07">
              <w:rPr>
                <w:sz w:val="18"/>
                <w:szCs w:val="18"/>
                <w:lang w:val="en-GB"/>
              </w:rPr>
              <w:t>1-1</w:t>
            </w:r>
            <w:r>
              <w:rPr>
                <w:sz w:val="18"/>
                <w:szCs w:val="18"/>
                <w:lang w:val="en-GB"/>
              </w:rPr>
              <w:t>.</w:t>
            </w:r>
            <w:r w:rsidRPr="00800B07">
              <w:rPr>
                <w:sz w:val="18"/>
                <w:szCs w:val="18"/>
                <w:lang w:val="en-GB"/>
              </w:rPr>
              <w:t>6)</w:t>
            </w:r>
          </w:p>
          <w:p w14:paraId="0E9CC31D" w14:textId="77777777" w:rsidR="0057187E" w:rsidRPr="00800B07" w:rsidRDefault="0057187E" w:rsidP="0057187E">
            <w:pPr>
              <w:rPr>
                <w:sz w:val="18"/>
                <w:szCs w:val="18"/>
                <w:lang w:val="en-GB"/>
              </w:rPr>
            </w:pPr>
            <w:r w:rsidRPr="00800B07">
              <w:rPr>
                <w:sz w:val="18"/>
                <w:szCs w:val="18"/>
                <w:lang w:val="en-GB"/>
              </w:rPr>
              <w:t>1</w:t>
            </w:r>
            <w:r>
              <w:rPr>
                <w:sz w:val="18"/>
                <w:szCs w:val="18"/>
                <w:lang w:val="en-GB"/>
              </w:rPr>
              <w:t>.</w:t>
            </w:r>
            <w:r w:rsidRPr="00800B07">
              <w:rPr>
                <w:sz w:val="18"/>
                <w:szCs w:val="18"/>
                <w:lang w:val="en-GB"/>
              </w:rPr>
              <w:t>3 (1</w:t>
            </w:r>
            <w:r>
              <w:rPr>
                <w:sz w:val="18"/>
                <w:szCs w:val="18"/>
                <w:lang w:val="en-GB"/>
              </w:rPr>
              <w:t>.</w:t>
            </w:r>
            <w:r w:rsidRPr="00800B07">
              <w:rPr>
                <w:sz w:val="18"/>
                <w:szCs w:val="18"/>
                <w:lang w:val="en-GB"/>
              </w:rPr>
              <w:t>1-1</w:t>
            </w:r>
            <w:r>
              <w:rPr>
                <w:sz w:val="18"/>
                <w:szCs w:val="18"/>
                <w:lang w:val="en-GB"/>
              </w:rPr>
              <w:t>.</w:t>
            </w:r>
            <w:r w:rsidRPr="00800B07">
              <w:rPr>
                <w:sz w:val="18"/>
                <w:szCs w:val="18"/>
                <w:lang w:val="en-GB"/>
              </w:rPr>
              <w:t>6)</w:t>
            </w:r>
          </w:p>
        </w:tc>
        <w:tc>
          <w:tcPr>
            <w:tcW w:w="1796" w:type="dxa"/>
          </w:tcPr>
          <w:p w14:paraId="2EF5E376" w14:textId="77777777" w:rsidR="0057187E" w:rsidRPr="00F75CD3" w:rsidRDefault="0057187E" w:rsidP="00F75CD3">
            <w:pPr>
              <w:jc w:val="center"/>
              <w:rPr>
                <w:sz w:val="18"/>
                <w:szCs w:val="18"/>
                <w:lang w:val="en-GB"/>
              </w:rPr>
            </w:pPr>
          </w:p>
          <w:p w14:paraId="5336484E" w14:textId="77777777" w:rsidR="00F75CD3" w:rsidRPr="00F75CD3" w:rsidRDefault="00F75CD3" w:rsidP="00F75CD3">
            <w:pPr>
              <w:pStyle w:val="Tekstopmerking"/>
              <w:jc w:val="center"/>
              <w:rPr>
                <w:sz w:val="18"/>
                <w:szCs w:val="18"/>
              </w:rPr>
            </w:pPr>
            <w:r w:rsidRPr="00F75CD3">
              <w:rPr>
                <w:sz w:val="18"/>
                <w:szCs w:val="18"/>
              </w:rPr>
              <w:t>0.2262</w:t>
            </w:r>
          </w:p>
          <w:p w14:paraId="2A23FAFD" w14:textId="44643446" w:rsidR="0057187E" w:rsidRPr="00F75CD3" w:rsidRDefault="0057187E" w:rsidP="00F75CD3">
            <w:pPr>
              <w:jc w:val="center"/>
              <w:rPr>
                <w:sz w:val="18"/>
                <w:szCs w:val="18"/>
              </w:rPr>
            </w:pPr>
          </w:p>
        </w:tc>
      </w:tr>
      <w:tr w:rsidR="0057187E" w:rsidRPr="00800B07" w14:paraId="2F23E2A8" w14:textId="77777777" w:rsidTr="00311773">
        <w:trPr>
          <w:trHeight w:val="449"/>
        </w:trPr>
        <w:tc>
          <w:tcPr>
            <w:tcW w:w="3686" w:type="dxa"/>
            <w:tcBorders>
              <w:right w:val="single" w:sz="4" w:space="0" w:color="auto"/>
            </w:tcBorders>
            <w:shd w:val="clear" w:color="auto" w:fill="auto"/>
          </w:tcPr>
          <w:p w14:paraId="2D97E3E0" w14:textId="77777777" w:rsidR="0057187E" w:rsidRPr="00800B07" w:rsidRDefault="0057187E" w:rsidP="0057187E">
            <w:pPr>
              <w:rPr>
                <w:b/>
                <w:bCs/>
                <w:sz w:val="18"/>
                <w:szCs w:val="18"/>
                <w:lang w:val="en-GB"/>
              </w:rPr>
            </w:pPr>
            <w:r w:rsidRPr="00800B07">
              <w:rPr>
                <w:b/>
                <w:bCs/>
                <w:sz w:val="18"/>
                <w:szCs w:val="18"/>
                <w:lang w:val="en-GB"/>
              </w:rPr>
              <w:t xml:space="preserve">Urinary volume </w:t>
            </w:r>
          </w:p>
          <w:p w14:paraId="370DE55D"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Pr="0002707F">
              <w:rPr>
                <w:sz w:val="18"/>
                <w:szCs w:val="18"/>
                <w:lang w:val="en-GB"/>
              </w:rPr>
              <w:t>(mL/24h)</w:t>
            </w:r>
          </w:p>
          <w:p w14:paraId="2B24E439" w14:textId="77777777" w:rsidR="0057187E" w:rsidRPr="00800B07" w:rsidRDefault="0057187E" w:rsidP="0057187E">
            <w:pPr>
              <w:rPr>
                <w:b/>
                <w:bCs/>
                <w:sz w:val="18"/>
                <w:szCs w:val="18"/>
                <w:lang w:val="en-GB"/>
              </w:rPr>
            </w:pPr>
            <w:r w:rsidRPr="00800B07">
              <w:rPr>
                <w:b/>
                <w:bCs/>
                <w:sz w:val="18"/>
                <w:szCs w:val="18"/>
                <w:lang w:val="en-GB"/>
              </w:rPr>
              <w:t xml:space="preserve">        </w:t>
            </w:r>
            <w:r w:rsidRPr="00800B07">
              <w:rPr>
                <w:sz w:val="18"/>
                <w:szCs w:val="18"/>
                <w:lang w:val="en-GB"/>
              </w:rPr>
              <w:t>Post-treatment</w:t>
            </w:r>
            <w:r>
              <w:rPr>
                <w:sz w:val="18"/>
                <w:szCs w:val="18"/>
                <w:lang w:val="en-GB"/>
              </w:rPr>
              <w:t xml:space="preserve"> </w:t>
            </w:r>
            <w:r w:rsidRPr="0002707F">
              <w:rPr>
                <w:sz w:val="18"/>
                <w:szCs w:val="18"/>
                <w:lang w:val="en-GB"/>
              </w:rPr>
              <w:t>(mL/24h)</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41542477" w14:textId="77777777" w:rsidR="0057187E" w:rsidRPr="00800B07" w:rsidRDefault="0057187E" w:rsidP="0057187E">
            <w:pPr>
              <w:rPr>
                <w:sz w:val="18"/>
                <w:szCs w:val="18"/>
                <w:lang w:val="en-GB"/>
              </w:rPr>
            </w:pPr>
          </w:p>
          <w:p w14:paraId="5407C731" w14:textId="77777777" w:rsidR="0057187E" w:rsidRPr="00800B07" w:rsidRDefault="0057187E" w:rsidP="0057187E">
            <w:pPr>
              <w:rPr>
                <w:sz w:val="18"/>
                <w:szCs w:val="18"/>
              </w:rPr>
            </w:pPr>
            <w:r w:rsidRPr="00800B07">
              <w:rPr>
                <w:sz w:val="18"/>
                <w:szCs w:val="18"/>
              </w:rPr>
              <w:t>2094</w:t>
            </w:r>
            <w:r>
              <w:rPr>
                <w:sz w:val="18"/>
                <w:szCs w:val="18"/>
              </w:rPr>
              <w:t>.</w:t>
            </w:r>
            <w:r w:rsidRPr="00800B07">
              <w:rPr>
                <w:sz w:val="18"/>
                <w:szCs w:val="18"/>
              </w:rPr>
              <w:t>5</w:t>
            </w:r>
            <w:r w:rsidRPr="00800B07">
              <w:rPr>
                <w:rFonts w:ascii="Calibri" w:hAnsi="Calibri"/>
                <w:sz w:val="18"/>
                <w:szCs w:val="18"/>
                <w:lang w:val="en-GB"/>
              </w:rPr>
              <w:sym w:font="Symbol" w:char="F0B1"/>
            </w:r>
            <w:r w:rsidRPr="00800B07">
              <w:rPr>
                <w:rFonts w:ascii="Calibri" w:hAnsi="Calibri"/>
                <w:sz w:val="18"/>
                <w:szCs w:val="18"/>
                <w:lang w:val="en-GB"/>
              </w:rPr>
              <w:t>903</w:t>
            </w:r>
            <w:r>
              <w:rPr>
                <w:rFonts w:ascii="Calibri" w:hAnsi="Calibri"/>
                <w:sz w:val="18"/>
                <w:szCs w:val="18"/>
                <w:lang w:val="en-GB"/>
              </w:rPr>
              <w:t>.</w:t>
            </w:r>
            <w:r w:rsidRPr="00800B07">
              <w:rPr>
                <w:rFonts w:ascii="Calibri" w:hAnsi="Calibri"/>
                <w:sz w:val="18"/>
                <w:szCs w:val="18"/>
                <w:lang w:val="en-GB"/>
              </w:rPr>
              <w:t>4</w:t>
            </w:r>
          </w:p>
          <w:p w14:paraId="49717419" w14:textId="77777777" w:rsidR="0057187E" w:rsidRPr="00800B07" w:rsidRDefault="0057187E" w:rsidP="0057187E">
            <w:pPr>
              <w:rPr>
                <w:b/>
                <w:bCs/>
                <w:sz w:val="18"/>
                <w:szCs w:val="18"/>
                <w:lang w:val="en-GB"/>
              </w:rPr>
            </w:pPr>
            <w:r w:rsidRPr="00800B07">
              <w:rPr>
                <w:sz w:val="18"/>
                <w:szCs w:val="18"/>
                <w:lang w:val="en-GB"/>
              </w:rPr>
              <w:t>2382</w:t>
            </w:r>
            <w:r>
              <w:rPr>
                <w:sz w:val="18"/>
                <w:szCs w:val="18"/>
                <w:lang w:val="en-GB"/>
              </w:rPr>
              <w:t>.</w:t>
            </w:r>
            <w:r w:rsidRPr="00800B07">
              <w:rPr>
                <w:sz w:val="18"/>
                <w:szCs w:val="18"/>
                <w:lang w:val="en-GB"/>
              </w:rPr>
              <w:t>2</w:t>
            </w:r>
            <w:r w:rsidRPr="00800B07">
              <w:rPr>
                <w:rFonts w:ascii="Calibri" w:hAnsi="Calibri"/>
                <w:sz w:val="18"/>
                <w:szCs w:val="18"/>
                <w:lang w:val="en-GB"/>
              </w:rPr>
              <w:sym w:font="Symbol" w:char="F0B1"/>
            </w:r>
            <w:r w:rsidRPr="00800B07">
              <w:rPr>
                <w:sz w:val="18"/>
                <w:szCs w:val="18"/>
                <w:lang w:val="en-GB"/>
              </w:rPr>
              <w:t>869</w:t>
            </w:r>
            <w:r>
              <w:rPr>
                <w:sz w:val="18"/>
                <w:szCs w:val="18"/>
                <w:lang w:val="en-GB"/>
              </w:rPr>
              <w:t>.</w:t>
            </w:r>
            <w:r w:rsidRPr="00800B07">
              <w:rPr>
                <w:sz w:val="18"/>
                <w:szCs w:val="18"/>
                <w:lang w:val="en-GB"/>
              </w:rPr>
              <w:t>8</w:t>
            </w:r>
          </w:p>
        </w:tc>
        <w:tc>
          <w:tcPr>
            <w:tcW w:w="1795" w:type="dxa"/>
            <w:tcBorders>
              <w:left w:val="single" w:sz="4" w:space="0" w:color="auto"/>
            </w:tcBorders>
            <w:shd w:val="clear" w:color="auto" w:fill="auto"/>
          </w:tcPr>
          <w:p w14:paraId="207FBFFF" w14:textId="77777777" w:rsidR="0057187E" w:rsidRPr="00800B07" w:rsidRDefault="0057187E" w:rsidP="0057187E">
            <w:pPr>
              <w:rPr>
                <w:sz w:val="18"/>
                <w:szCs w:val="18"/>
                <w:lang w:val="en-GB"/>
              </w:rPr>
            </w:pPr>
          </w:p>
          <w:p w14:paraId="5FF5561A" w14:textId="77777777" w:rsidR="0057187E" w:rsidRPr="00800B07" w:rsidRDefault="0057187E" w:rsidP="0057187E">
            <w:pPr>
              <w:rPr>
                <w:sz w:val="18"/>
                <w:szCs w:val="18"/>
                <w:lang w:val="en-GB"/>
              </w:rPr>
            </w:pPr>
            <w:r w:rsidRPr="00800B07">
              <w:rPr>
                <w:sz w:val="18"/>
                <w:szCs w:val="18"/>
                <w:lang w:val="en-GB"/>
              </w:rPr>
              <w:t>1950</w:t>
            </w:r>
            <w:r>
              <w:rPr>
                <w:sz w:val="18"/>
                <w:szCs w:val="18"/>
                <w:lang w:val="en-GB"/>
              </w:rPr>
              <w:t>.</w:t>
            </w:r>
            <w:r w:rsidRPr="00800B07">
              <w:rPr>
                <w:sz w:val="18"/>
                <w:szCs w:val="18"/>
                <w:lang w:val="en-GB"/>
              </w:rPr>
              <w:t>0 (1400</w:t>
            </w:r>
            <w:r>
              <w:rPr>
                <w:sz w:val="18"/>
                <w:szCs w:val="18"/>
                <w:lang w:val="en-GB"/>
              </w:rPr>
              <w:t>.</w:t>
            </w:r>
            <w:r w:rsidRPr="00800B07">
              <w:rPr>
                <w:sz w:val="18"/>
                <w:szCs w:val="18"/>
                <w:lang w:val="en-GB"/>
              </w:rPr>
              <w:t>0-2600</w:t>
            </w:r>
            <w:r>
              <w:rPr>
                <w:sz w:val="18"/>
                <w:szCs w:val="18"/>
                <w:lang w:val="en-GB"/>
              </w:rPr>
              <w:t>.</w:t>
            </w:r>
            <w:r w:rsidRPr="00800B07">
              <w:rPr>
                <w:sz w:val="18"/>
                <w:szCs w:val="18"/>
                <w:lang w:val="en-GB"/>
              </w:rPr>
              <w:t>0)</w:t>
            </w:r>
          </w:p>
          <w:p w14:paraId="61F513B0" w14:textId="77777777" w:rsidR="0057187E" w:rsidRPr="00800B07" w:rsidRDefault="0057187E" w:rsidP="0057187E">
            <w:pPr>
              <w:rPr>
                <w:sz w:val="18"/>
                <w:szCs w:val="18"/>
                <w:lang w:val="en-GB"/>
              </w:rPr>
            </w:pPr>
            <w:r w:rsidRPr="00800B07">
              <w:rPr>
                <w:sz w:val="18"/>
                <w:szCs w:val="18"/>
                <w:lang w:val="en-GB"/>
              </w:rPr>
              <w:t>2300</w:t>
            </w:r>
            <w:r>
              <w:rPr>
                <w:sz w:val="18"/>
                <w:szCs w:val="18"/>
                <w:lang w:val="en-GB"/>
              </w:rPr>
              <w:t>.</w:t>
            </w:r>
            <w:r w:rsidRPr="00800B07">
              <w:rPr>
                <w:sz w:val="18"/>
                <w:szCs w:val="18"/>
                <w:lang w:val="en-GB"/>
              </w:rPr>
              <w:t>0 (1790</w:t>
            </w:r>
            <w:r>
              <w:rPr>
                <w:sz w:val="18"/>
                <w:szCs w:val="18"/>
                <w:lang w:val="en-GB"/>
              </w:rPr>
              <w:t>.</w:t>
            </w:r>
            <w:r w:rsidRPr="00800B07">
              <w:rPr>
                <w:sz w:val="18"/>
                <w:szCs w:val="18"/>
                <w:lang w:val="en-GB"/>
              </w:rPr>
              <w:t>0-2850</w:t>
            </w:r>
            <w:r>
              <w:rPr>
                <w:sz w:val="18"/>
                <w:szCs w:val="18"/>
                <w:lang w:val="en-GB"/>
              </w:rPr>
              <w:t>.</w:t>
            </w:r>
            <w:r w:rsidRPr="00800B07">
              <w:rPr>
                <w:sz w:val="18"/>
                <w:szCs w:val="18"/>
                <w:lang w:val="en-GB"/>
              </w:rPr>
              <w:t>0)</w:t>
            </w:r>
          </w:p>
        </w:tc>
        <w:tc>
          <w:tcPr>
            <w:tcW w:w="1796" w:type="dxa"/>
          </w:tcPr>
          <w:p w14:paraId="12012487" w14:textId="77777777" w:rsidR="0057187E" w:rsidRPr="00F75CD3" w:rsidRDefault="0057187E" w:rsidP="00F75CD3">
            <w:pPr>
              <w:jc w:val="center"/>
              <w:rPr>
                <w:sz w:val="18"/>
                <w:szCs w:val="18"/>
                <w:lang w:val="en-GB"/>
              </w:rPr>
            </w:pPr>
          </w:p>
          <w:p w14:paraId="50E2FD7F" w14:textId="77777777" w:rsidR="0057187E" w:rsidRPr="00F75CD3" w:rsidRDefault="0057187E" w:rsidP="00F75CD3">
            <w:pPr>
              <w:jc w:val="center"/>
              <w:rPr>
                <w:sz w:val="18"/>
                <w:szCs w:val="18"/>
              </w:rPr>
            </w:pPr>
            <w:r w:rsidRPr="00F75CD3">
              <w:rPr>
                <w:sz w:val="18"/>
                <w:szCs w:val="18"/>
                <w:lang w:val="en-GB"/>
              </w:rPr>
              <w:t>&lt;0.0001</w:t>
            </w:r>
          </w:p>
        </w:tc>
      </w:tr>
      <w:tr w:rsidR="0057187E" w:rsidRPr="00800B07" w14:paraId="48C4FA88" w14:textId="77777777" w:rsidTr="00311773">
        <w:trPr>
          <w:trHeight w:val="449"/>
        </w:trPr>
        <w:tc>
          <w:tcPr>
            <w:tcW w:w="3686" w:type="dxa"/>
            <w:tcBorders>
              <w:right w:val="single" w:sz="4" w:space="0" w:color="auto"/>
            </w:tcBorders>
            <w:shd w:val="clear" w:color="auto" w:fill="auto"/>
          </w:tcPr>
          <w:p w14:paraId="0EBB01A1" w14:textId="77777777" w:rsidR="0057187E" w:rsidRPr="00800B07" w:rsidRDefault="0057187E" w:rsidP="0057187E">
            <w:pPr>
              <w:rPr>
                <w:b/>
                <w:bCs/>
                <w:sz w:val="18"/>
                <w:szCs w:val="18"/>
                <w:lang w:val="en-GB"/>
              </w:rPr>
            </w:pPr>
            <w:r w:rsidRPr="00800B07">
              <w:rPr>
                <w:b/>
                <w:bCs/>
                <w:sz w:val="18"/>
                <w:szCs w:val="18"/>
                <w:lang w:val="en-GB"/>
              </w:rPr>
              <w:t xml:space="preserve">Urinary citrate excretion </w:t>
            </w:r>
          </w:p>
          <w:p w14:paraId="373A329D"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Pr="0002707F">
              <w:rPr>
                <w:sz w:val="18"/>
                <w:szCs w:val="18"/>
                <w:lang w:val="en-GB"/>
              </w:rPr>
              <w:t>(µmol /24h)</w:t>
            </w:r>
          </w:p>
          <w:p w14:paraId="4EB4828E" w14:textId="77777777" w:rsidR="0057187E" w:rsidRPr="00800B07" w:rsidRDefault="0057187E" w:rsidP="0057187E">
            <w:pPr>
              <w:rPr>
                <w:b/>
                <w:bCs/>
                <w:sz w:val="18"/>
                <w:szCs w:val="18"/>
                <w:lang w:val="en-GB"/>
              </w:rPr>
            </w:pPr>
            <w:r w:rsidRPr="00800B07">
              <w:rPr>
                <w:sz w:val="18"/>
                <w:szCs w:val="18"/>
                <w:lang w:val="en-GB"/>
              </w:rPr>
              <w:t xml:space="preserve">        Post-treatment</w:t>
            </w:r>
            <w:r>
              <w:rPr>
                <w:sz w:val="18"/>
                <w:szCs w:val="18"/>
                <w:lang w:val="en-GB"/>
              </w:rPr>
              <w:t xml:space="preserve"> </w:t>
            </w:r>
            <w:r w:rsidRPr="0002707F">
              <w:rPr>
                <w:sz w:val="18"/>
                <w:szCs w:val="18"/>
                <w:lang w:val="en-GB"/>
              </w:rPr>
              <w:t>(µmol /24h)</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7E017366" w14:textId="77777777" w:rsidR="0057187E" w:rsidRPr="00800B07" w:rsidRDefault="0057187E" w:rsidP="0057187E">
            <w:pPr>
              <w:rPr>
                <w:sz w:val="18"/>
                <w:szCs w:val="18"/>
                <w:lang w:val="en-GB"/>
              </w:rPr>
            </w:pPr>
          </w:p>
          <w:p w14:paraId="18B50CE3" w14:textId="77777777" w:rsidR="0057187E" w:rsidRPr="00800B07" w:rsidRDefault="0057187E" w:rsidP="0057187E">
            <w:pPr>
              <w:rPr>
                <w:sz w:val="18"/>
                <w:szCs w:val="18"/>
              </w:rPr>
            </w:pPr>
            <w:r w:rsidRPr="00800B07">
              <w:rPr>
                <w:sz w:val="18"/>
                <w:szCs w:val="18"/>
              </w:rPr>
              <w:t>2940</w:t>
            </w:r>
            <w:r>
              <w:rPr>
                <w:sz w:val="18"/>
                <w:szCs w:val="18"/>
              </w:rPr>
              <w:t>.</w:t>
            </w:r>
            <w:r w:rsidRPr="00800B07">
              <w:rPr>
                <w:sz w:val="18"/>
                <w:szCs w:val="18"/>
              </w:rPr>
              <w:t>4</w:t>
            </w:r>
            <w:r w:rsidRPr="00800B07">
              <w:rPr>
                <w:rFonts w:ascii="Calibri" w:hAnsi="Calibri"/>
                <w:sz w:val="18"/>
                <w:szCs w:val="18"/>
                <w:lang w:val="en-GB"/>
              </w:rPr>
              <w:sym w:font="Symbol" w:char="F0B1"/>
            </w:r>
            <w:r w:rsidRPr="00800B07">
              <w:rPr>
                <w:rFonts w:ascii="Calibri" w:hAnsi="Calibri"/>
                <w:sz w:val="18"/>
                <w:szCs w:val="18"/>
                <w:lang w:val="en-GB"/>
              </w:rPr>
              <w:t>1876</w:t>
            </w:r>
            <w:r>
              <w:rPr>
                <w:rFonts w:ascii="Calibri" w:hAnsi="Calibri"/>
                <w:sz w:val="18"/>
                <w:szCs w:val="18"/>
                <w:lang w:val="en-GB"/>
              </w:rPr>
              <w:t>.</w:t>
            </w:r>
            <w:r w:rsidRPr="00800B07">
              <w:rPr>
                <w:rFonts w:ascii="Calibri" w:hAnsi="Calibri"/>
                <w:sz w:val="18"/>
                <w:szCs w:val="18"/>
                <w:lang w:val="en-GB"/>
              </w:rPr>
              <w:t>6</w:t>
            </w:r>
          </w:p>
          <w:p w14:paraId="74BC2B9D" w14:textId="77777777" w:rsidR="0057187E" w:rsidRPr="00800B07" w:rsidRDefault="0057187E" w:rsidP="0057187E">
            <w:pPr>
              <w:rPr>
                <w:b/>
                <w:bCs/>
                <w:sz w:val="18"/>
                <w:szCs w:val="18"/>
                <w:lang w:val="en-GB"/>
              </w:rPr>
            </w:pPr>
            <w:r w:rsidRPr="00800B07">
              <w:rPr>
                <w:sz w:val="18"/>
                <w:szCs w:val="18"/>
                <w:lang w:val="en-GB"/>
              </w:rPr>
              <w:t>3231</w:t>
            </w:r>
            <w:r>
              <w:rPr>
                <w:sz w:val="18"/>
                <w:szCs w:val="18"/>
                <w:lang w:val="en-GB"/>
              </w:rPr>
              <w:t>.</w:t>
            </w:r>
            <w:r w:rsidRPr="00800B07">
              <w:rPr>
                <w:sz w:val="18"/>
                <w:szCs w:val="18"/>
                <w:lang w:val="en-GB"/>
              </w:rPr>
              <w:t>9</w:t>
            </w:r>
            <w:r w:rsidRPr="00800B07">
              <w:rPr>
                <w:rFonts w:ascii="Calibri" w:hAnsi="Calibri"/>
                <w:sz w:val="18"/>
                <w:szCs w:val="18"/>
                <w:lang w:val="en-GB"/>
              </w:rPr>
              <w:sym w:font="Symbol" w:char="F0B1"/>
            </w:r>
            <w:r w:rsidRPr="00800B07">
              <w:rPr>
                <w:sz w:val="18"/>
                <w:szCs w:val="18"/>
                <w:lang w:val="en-GB"/>
              </w:rPr>
              <w:t>2298</w:t>
            </w:r>
            <w:r>
              <w:rPr>
                <w:sz w:val="18"/>
                <w:szCs w:val="18"/>
                <w:lang w:val="en-GB"/>
              </w:rPr>
              <w:t>.</w:t>
            </w:r>
            <w:r w:rsidRPr="00800B07">
              <w:rPr>
                <w:sz w:val="18"/>
                <w:szCs w:val="18"/>
                <w:lang w:val="en-GB"/>
              </w:rPr>
              <w:t>8</w:t>
            </w:r>
          </w:p>
        </w:tc>
        <w:tc>
          <w:tcPr>
            <w:tcW w:w="1795" w:type="dxa"/>
            <w:tcBorders>
              <w:left w:val="single" w:sz="4" w:space="0" w:color="auto"/>
            </w:tcBorders>
            <w:shd w:val="clear" w:color="auto" w:fill="auto"/>
          </w:tcPr>
          <w:p w14:paraId="71E22D5A" w14:textId="77777777" w:rsidR="0057187E" w:rsidRPr="00800B07" w:rsidRDefault="0057187E" w:rsidP="0057187E">
            <w:pPr>
              <w:rPr>
                <w:sz w:val="18"/>
                <w:szCs w:val="18"/>
                <w:lang w:val="en-GB"/>
              </w:rPr>
            </w:pPr>
          </w:p>
          <w:p w14:paraId="0CF2D7B3" w14:textId="77777777" w:rsidR="0057187E" w:rsidRPr="00800B07" w:rsidRDefault="0057187E" w:rsidP="0057187E">
            <w:pPr>
              <w:rPr>
                <w:sz w:val="18"/>
                <w:szCs w:val="18"/>
                <w:lang w:val="en-GB"/>
              </w:rPr>
            </w:pPr>
            <w:r w:rsidRPr="00800B07">
              <w:rPr>
                <w:sz w:val="18"/>
                <w:szCs w:val="18"/>
                <w:lang w:val="en-GB"/>
              </w:rPr>
              <w:t>2687</w:t>
            </w:r>
            <w:r>
              <w:rPr>
                <w:sz w:val="18"/>
                <w:szCs w:val="18"/>
                <w:lang w:val="en-GB"/>
              </w:rPr>
              <w:t>.</w:t>
            </w:r>
            <w:r w:rsidRPr="00800B07">
              <w:rPr>
                <w:sz w:val="18"/>
                <w:szCs w:val="18"/>
                <w:lang w:val="en-GB"/>
              </w:rPr>
              <w:t>5 (1567</w:t>
            </w:r>
            <w:r>
              <w:rPr>
                <w:sz w:val="18"/>
                <w:szCs w:val="18"/>
                <w:lang w:val="en-GB"/>
              </w:rPr>
              <w:t>.</w:t>
            </w:r>
            <w:r w:rsidRPr="00800B07">
              <w:rPr>
                <w:sz w:val="18"/>
                <w:szCs w:val="18"/>
                <w:lang w:val="en-GB"/>
              </w:rPr>
              <w:t>0-4014</w:t>
            </w:r>
            <w:r>
              <w:rPr>
                <w:sz w:val="18"/>
                <w:szCs w:val="18"/>
                <w:lang w:val="en-GB"/>
              </w:rPr>
              <w:t>.</w:t>
            </w:r>
            <w:r w:rsidRPr="00800B07">
              <w:rPr>
                <w:sz w:val="18"/>
                <w:szCs w:val="18"/>
                <w:lang w:val="en-GB"/>
              </w:rPr>
              <w:t>0)</w:t>
            </w:r>
          </w:p>
          <w:p w14:paraId="5B49A732" w14:textId="77777777" w:rsidR="0057187E" w:rsidRPr="00800B07" w:rsidRDefault="0057187E" w:rsidP="0057187E">
            <w:pPr>
              <w:rPr>
                <w:sz w:val="18"/>
                <w:szCs w:val="18"/>
                <w:lang w:val="en-GB"/>
              </w:rPr>
            </w:pPr>
            <w:r w:rsidRPr="00800B07">
              <w:rPr>
                <w:sz w:val="18"/>
                <w:szCs w:val="18"/>
                <w:lang w:val="en-GB"/>
              </w:rPr>
              <w:t>2760</w:t>
            </w:r>
            <w:r>
              <w:rPr>
                <w:sz w:val="18"/>
                <w:szCs w:val="18"/>
                <w:lang w:val="en-GB"/>
              </w:rPr>
              <w:t>.</w:t>
            </w:r>
            <w:r w:rsidRPr="00800B07">
              <w:rPr>
                <w:sz w:val="18"/>
                <w:szCs w:val="18"/>
                <w:lang w:val="en-GB"/>
              </w:rPr>
              <w:t>0 (1710</w:t>
            </w:r>
            <w:r>
              <w:rPr>
                <w:sz w:val="18"/>
                <w:szCs w:val="18"/>
                <w:lang w:val="en-GB"/>
              </w:rPr>
              <w:t>.</w:t>
            </w:r>
            <w:r w:rsidRPr="00800B07">
              <w:rPr>
                <w:sz w:val="18"/>
                <w:szCs w:val="18"/>
                <w:lang w:val="en-GB"/>
              </w:rPr>
              <w:t>0-4290</w:t>
            </w:r>
            <w:r>
              <w:rPr>
                <w:sz w:val="18"/>
                <w:szCs w:val="18"/>
                <w:lang w:val="en-GB"/>
              </w:rPr>
              <w:t>.</w:t>
            </w:r>
            <w:r w:rsidRPr="00800B07">
              <w:rPr>
                <w:sz w:val="18"/>
                <w:szCs w:val="18"/>
                <w:lang w:val="en-GB"/>
              </w:rPr>
              <w:t>0)</w:t>
            </w:r>
          </w:p>
        </w:tc>
        <w:tc>
          <w:tcPr>
            <w:tcW w:w="1796" w:type="dxa"/>
          </w:tcPr>
          <w:p w14:paraId="33A019B5" w14:textId="77777777" w:rsidR="0057187E" w:rsidRPr="00F75CD3" w:rsidRDefault="0057187E" w:rsidP="00F75CD3">
            <w:pPr>
              <w:jc w:val="center"/>
              <w:rPr>
                <w:sz w:val="18"/>
                <w:szCs w:val="18"/>
                <w:lang w:val="en-GB"/>
              </w:rPr>
            </w:pPr>
          </w:p>
          <w:p w14:paraId="200707DA" w14:textId="65E5D73C" w:rsidR="0057187E" w:rsidRPr="00F75CD3" w:rsidRDefault="0057187E" w:rsidP="00F75CD3">
            <w:pPr>
              <w:jc w:val="center"/>
              <w:rPr>
                <w:sz w:val="18"/>
                <w:szCs w:val="18"/>
              </w:rPr>
            </w:pPr>
            <w:r w:rsidRPr="00F75CD3">
              <w:rPr>
                <w:sz w:val="18"/>
                <w:szCs w:val="18"/>
                <w:lang w:val="en-GB"/>
              </w:rPr>
              <w:t>0.05</w:t>
            </w:r>
            <w:r w:rsidR="00F75CD3" w:rsidRPr="00F75CD3">
              <w:rPr>
                <w:sz w:val="18"/>
                <w:szCs w:val="18"/>
                <w:lang w:val="en-GB"/>
              </w:rPr>
              <w:t>33</w:t>
            </w:r>
          </w:p>
        </w:tc>
      </w:tr>
      <w:tr w:rsidR="0057187E" w:rsidRPr="00800B07" w14:paraId="22FC1B78" w14:textId="77777777" w:rsidTr="00311773">
        <w:trPr>
          <w:trHeight w:val="449"/>
        </w:trPr>
        <w:tc>
          <w:tcPr>
            <w:tcW w:w="3686" w:type="dxa"/>
            <w:tcBorders>
              <w:right w:val="single" w:sz="4" w:space="0" w:color="auto"/>
            </w:tcBorders>
            <w:shd w:val="clear" w:color="auto" w:fill="auto"/>
          </w:tcPr>
          <w:p w14:paraId="47CC000F" w14:textId="4C5635E4" w:rsidR="0057187E" w:rsidRPr="00800B07" w:rsidRDefault="0057187E" w:rsidP="0057187E">
            <w:pPr>
              <w:rPr>
                <w:b/>
                <w:bCs/>
                <w:sz w:val="18"/>
                <w:szCs w:val="18"/>
                <w:lang w:val="en-GB"/>
              </w:rPr>
            </w:pPr>
            <w:r w:rsidRPr="00800B07">
              <w:rPr>
                <w:b/>
                <w:bCs/>
                <w:sz w:val="18"/>
                <w:szCs w:val="18"/>
                <w:lang w:val="en-GB"/>
              </w:rPr>
              <w:t xml:space="preserve">Urinary pH </w:t>
            </w:r>
          </w:p>
          <w:p w14:paraId="782B1251" w14:textId="77777777" w:rsidR="0057187E" w:rsidRPr="00800B07" w:rsidRDefault="0057187E" w:rsidP="0057187E">
            <w:pPr>
              <w:rPr>
                <w:sz w:val="18"/>
                <w:szCs w:val="18"/>
                <w:lang w:val="en-GB"/>
              </w:rPr>
            </w:pPr>
            <w:r w:rsidRPr="00800B07">
              <w:rPr>
                <w:sz w:val="18"/>
                <w:szCs w:val="18"/>
                <w:lang w:val="en-GB"/>
              </w:rPr>
              <w:t xml:space="preserve">        Pre-treatment </w:t>
            </w:r>
          </w:p>
          <w:p w14:paraId="276AA995" w14:textId="77777777" w:rsidR="0057187E" w:rsidRPr="00800B07" w:rsidRDefault="0057187E" w:rsidP="0057187E">
            <w:pPr>
              <w:rPr>
                <w:sz w:val="18"/>
                <w:szCs w:val="18"/>
                <w:lang w:val="en-GB"/>
              </w:rPr>
            </w:pPr>
            <w:r w:rsidRPr="00800B07">
              <w:rPr>
                <w:sz w:val="18"/>
                <w:szCs w:val="18"/>
                <w:lang w:val="en-GB"/>
              </w:rPr>
              <w:t xml:space="preserve">        Post-treatment</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41F89238" w14:textId="77777777" w:rsidR="0057187E" w:rsidRPr="00800B07" w:rsidRDefault="0057187E" w:rsidP="0057187E">
            <w:pPr>
              <w:rPr>
                <w:sz w:val="18"/>
                <w:szCs w:val="18"/>
                <w:lang w:val="en-GB"/>
              </w:rPr>
            </w:pPr>
          </w:p>
          <w:p w14:paraId="780E470E" w14:textId="77777777" w:rsidR="0057187E" w:rsidRPr="00800B07" w:rsidRDefault="0057187E" w:rsidP="0057187E">
            <w:pPr>
              <w:rPr>
                <w:sz w:val="18"/>
                <w:szCs w:val="18"/>
              </w:rPr>
            </w:pPr>
            <w:r w:rsidRPr="00800B07">
              <w:rPr>
                <w:sz w:val="18"/>
                <w:szCs w:val="18"/>
              </w:rPr>
              <w:t>6</w:t>
            </w:r>
            <w:r>
              <w:rPr>
                <w:sz w:val="18"/>
                <w:szCs w:val="18"/>
              </w:rPr>
              <w:t>.</w:t>
            </w:r>
            <w:r w:rsidRPr="00800B07">
              <w:rPr>
                <w:sz w:val="18"/>
                <w:szCs w:val="18"/>
              </w:rPr>
              <w:t>2</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9</w:t>
            </w:r>
          </w:p>
          <w:p w14:paraId="56C8E6AF" w14:textId="77777777" w:rsidR="0057187E" w:rsidRPr="00800B07" w:rsidRDefault="0057187E" w:rsidP="0057187E">
            <w:pPr>
              <w:rPr>
                <w:b/>
                <w:bCs/>
                <w:sz w:val="18"/>
                <w:szCs w:val="18"/>
              </w:rPr>
            </w:pPr>
            <w:r w:rsidRPr="00800B07">
              <w:rPr>
                <w:sz w:val="18"/>
                <w:szCs w:val="18"/>
              </w:rPr>
              <w:t>6</w:t>
            </w:r>
            <w:r>
              <w:rPr>
                <w:sz w:val="18"/>
                <w:szCs w:val="18"/>
              </w:rPr>
              <w:t>.</w:t>
            </w:r>
            <w:r w:rsidRPr="00800B07">
              <w:rPr>
                <w:sz w:val="18"/>
                <w:szCs w:val="18"/>
              </w:rPr>
              <w:t>2</w:t>
            </w:r>
            <w:r w:rsidRPr="00800B07">
              <w:rPr>
                <w:rFonts w:ascii="Calibri" w:hAnsi="Calibri"/>
                <w:sz w:val="18"/>
                <w:szCs w:val="18"/>
                <w:lang w:val="en-GB"/>
              </w:rPr>
              <w:sym w:font="Symbol" w:char="F0B1"/>
            </w:r>
            <w:r w:rsidRPr="00800B07">
              <w:rPr>
                <w:rFonts w:ascii="Calibri" w:hAnsi="Calibri"/>
                <w:sz w:val="18"/>
                <w:szCs w:val="18"/>
                <w:lang w:val="en-GB"/>
              </w:rPr>
              <w:t>0</w:t>
            </w:r>
            <w:r>
              <w:rPr>
                <w:rFonts w:ascii="Calibri" w:hAnsi="Calibri"/>
                <w:sz w:val="18"/>
                <w:szCs w:val="18"/>
                <w:lang w:val="en-GB"/>
              </w:rPr>
              <w:t>.</w:t>
            </w:r>
            <w:r w:rsidRPr="00800B07">
              <w:rPr>
                <w:rFonts w:ascii="Calibri" w:hAnsi="Calibri"/>
                <w:sz w:val="18"/>
                <w:szCs w:val="18"/>
                <w:lang w:val="en-GB"/>
              </w:rPr>
              <w:t>9</w:t>
            </w:r>
          </w:p>
        </w:tc>
        <w:tc>
          <w:tcPr>
            <w:tcW w:w="1795" w:type="dxa"/>
            <w:tcBorders>
              <w:left w:val="single" w:sz="4" w:space="0" w:color="auto"/>
            </w:tcBorders>
            <w:shd w:val="clear" w:color="auto" w:fill="auto"/>
          </w:tcPr>
          <w:p w14:paraId="7446B87D" w14:textId="77777777" w:rsidR="0057187E" w:rsidRPr="00800B07" w:rsidRDefault="0057187E" w:rsidP="0057187E">
            <w:pPr>
              <w:rPr>
                <w:sz w:val="18"/>
                <w:szCs w:val="18"/>
                <w:lang w:val="fr-BE"/>
              </w:rPr>
            </w:pPr>
          </w:p>
          <w:p w14:paraId="58208959" w14:textId="77777777" w:rsidR="0057187E" w:rsidRPr="00800B07" w:rsidRDefault="0057187E" w:rsidP="0057187E">
            <w:pPr>
              <w:rPr>
                <w:sz w:val="18"/>
                <w:szCs w:val="18"/>
                <w:lang w:val="fr-BE"/>
              </w:rPr>
            </w:pPr>
            <w:r w:rsidRPr="00800B07">
              <w:rPr>
                <w:sz w:val="18"/>
                <w:szCs w:val="18"/>
                <w:lang w:val="fr-BE"/>
              </w:rPr>
              <w:t>6</w:t>
            </w:r>
            <w:r>
              <w:rPr>
                <w:sz w:val="18"/>
                <w:szCs w:val="18"/>
                <w:lang w:val="fr-BE"/>
              </w:rPr>
              <w:t>.</w:t>
            </w:r>
            <w:r w:rsidRPr="00800B07">
              <w:rPr>
                <w:sz w:val="18"/>
                <w:szCs w:val="18"/>
                <w:lang w:val="fr-BE"/>
              </w:rPr>
              <w:t>0 (5</w:t>
            </w:r>
            <w:r>
              <w:rPr>
                <w:sz w:val="18"/>
                <w:szCs w:val="18"/>
                <w:lang w:val="fr-BE"/>
              </w:rPr>
              <w:t>.</w:t>
            </w:r>
            <w:r w:rsidRPr="00800B07">
              <w:rPr>
                <w:sz w:val="18"/>
                <w:szCs w:val="18"/>
                <w:lang w:val="fr-BE"/>
              </w:rPr>
              <w:t>2-7</w:t>
            </w:r>
            <w:r>
              <w:rPr>
                <w:sz w:val="18"/>
                <w:szCs w:val="18"/>
                <w:lang w:val="fr-BE"/>
              </w:rPr>
              <w:t>.</w:t>
            </w:r>
            <w:r w:rsidRPr="00800B07">
              <w:rPr>
                <w:sz w:val="18"/>
                <w:szCs w:val="18"/>
                <w:lang w:val="fr-BE"/>
              </w:rPr>
              <w:t>0)</w:t>
            </w:r>
          </w:p>
          <w:p w14:paraId="7341F192" w14:textId="77777777" w:rsidR="0057187E" w:rsidRPr="00800B07" w:rsidRDefault="0057187E" w:rsidP="0057187E">
            <w:pPr>
              <w:rPr>
                <w:sz w:val="18"/>
                <w:szCs w:val="18"/>
                <w:lang w:val="fr-BE"/>
              </w:rPr>
            </w:pPr>
            <w:r w:rsidRPr="00800B07">
              <w:rPr>
                <w:sz w:val="18"/>
                <w:szCs w:val="18"/>
                <w:lang w:val="fr-BE"/>
              </w:rPr>
              <w:t>6</w:t>
            </w:r>
            <w:r>
              <w:rPr>
                <w:sz w:val="18"/>
                <w:szCs w:val="18"/>
                <w:lang w:val="fr-BE"/>
              </w:rPr>
              <w:t>.</w:t>
            </w:r>
            <w:r w:rsidRPr="00800B07">
              <w:rPr>
                <w:sz w:val="18"/>
                <w:szCs w:val="18"/>
                <w:lang w:val="fr-BE"/>
              </w:rPr>
              <w:t>1 (5</w:t>
            </w:r>
            <w:r>
              <w:rPr>
                <w:sz w:val="18"/>
                <w:szCs w:val="18"/>
                <w:lang w:val="fr-BE"/>
              </w:rPr>
              <w:t>.</w:t>
            </w:r>
            <w:r w:rsidRPr="00800B07">
              <w:rPr>
                <w:sz w:val="18"/>
                <w:szCs w:val="18"/>
                <w:lang w:val="fr-BE"/>
              </w:rPr>
              <w:t>4-7</w:t>
            </w:r>
            <w:r>
              <w:rPr>
                <w:sz w:val="18"/>
                <w:szCs w:val="18"/>
                <w:lang w:val="fr-BE"/>
              </w:rPr>
              <w:t>.</w:t>
            </w:r>
            <w:r w:rsidRPr="00800B07">
              <w:rPr>
                <w:sz w:val="18"/>
                <w:szCs w:val="18"/>
                <w:lang w:val="fr-BE"/>
              </w:rPr>
              <w:t>0)</w:t>
            </w:r>
          </w:p>
        </w:tc>
        <w:tc>
          <w:tcPr>
            <w:tcW w:w="1796" w:type="dxa"/>
          </w:tcPr>
          <w:p w14:paraId="43DD70DD" w14:textId="77777777" w:rsidR="0057187E" w:rsidRPr="00F75CD3" w:rsidRDefault="0057187E" w:rsidP="00F75CD3">
            <w:pPr>
              <w:jc w:val="center"/>
              <w:rPr>
                <w:rFonts w:cstheme="minorHAnsi"/>
                <w:sz w:val="18"/>
                <w:szCs w:val="18"/>
                <w:lang w:val="en-GB"/>
              </w:rPr>
            </w:pPr>
          </w:p>
          <w:p w14:paraId="213FADD2" w14:textId="4B3A7CDC" w:rsidR="0057187E" w:rsidRPr="00F75CD3" w:rsidRDefault="0057187E" w:rsidP="00F75CD3">
            <w:pPr>
              <w:jc w:val="center"/>
              <w:rPr>
                <w:rFonts w:ascii="Calibri" w:hAnsi="Calibri"/>
                <w:sz w:val="18"/>
                <w:szCs w:val="18"/>
              </w:rPr>
            </w:pPr>
            <w:r w:rsidRPr="00F75CD3">
              <w:rPr>
                <w:rFonts w:cstheme="minorHAnsi"/>
                <w:sz w:val="18"/>
                <w:szCs w:val="18"/>
                <w:lang w:val="en-GB"/>
              </w:rPr>
              <w:t>0.4</w:t>
            </w:r>
            <w:r w:rsidR="00F75CD3" w:rsidRPr="00F75CD3">
              <w:rPr>
                <w:rFonts w:cstheme="minorHAnsi"/>
                <w:sz w:val="18"/>
                <w:szCs w:val="18"/>
                <w:lang w:val="en-GB"/>
              </w:rPr>
              <w:t>338</w:t>
            </w:r>
          </w:p>
        </w:tc>
      </w:tr>
    </w:tbl>
    <w:p w14:paraId="3660582D" w14:textId="77777777" w:rsidR="00310678" w:rsidRDefault="00310678" w:rsidP="00310678">
      <w:pPr>
        <w:spacing w:before="240"/>
        <w:rPr>
          <w:u w:val="single"/>
          <w:lang w:val="en-GB"/>
        </w:rPr>
      </w:pPr>
    </w:p>
    <w:p w14:paraId="50E15B54" w14:textId="77777777" w:rsidR="00310678" w:rsidRDefault="00310678" w:rsidP="00310678">
      <w:pPr>
        <w:spacing w:before="240"/>
        <w:rPr>
          <w:u w:val="single"/>
          <w:lang w:val="en-GB"/>
        </w:rPr>
      </w:pPr>
    </w:p>
    <w:p w14:paraId="025F1D7B" w14:textId="77777777" w:rsidR="00310678" w:rsidRDefault="00310678" w:rsidP="00310678">
      <w:pPr>
        <w:spacing w:before="240"/>
        <w:rPr>
          <w:u w:val="single"/>
          <w:lang w:val="en-GB"/>
        </w:rPr>
      </w:pPr>
    </w:p>
    <w:p w14:paraId="4D934969" w14:textId="77777777" w:rsidR="00310678" w:rsidRDefault="00310678" w:rsidP="00310678">
      <w:pPr>
        <w:spacing w:before="240"/>
        <w:rPr>
          <w:u w:val="single"/>
          <w:lang w:val="en-GB"/>
        </w:rPr>
      </w:pPr>
    </w:p>
    <w:p w14:paraId="520D86C2" w14:textId="77777777" w:rsidR="00310678" w:rsidRDefault="00310678" w:rsidP="00310678">
      <w:pPr>
        <w:spacing w:before="240"/>
        <w:rPr>
          <w:u w:val="single"/>
          <w:lang w:val="en-GB"/>
        </w:rPr>
      </w:pPr>
    </w:p>
    <w:p w14:paraId="150D456B" w14:textId="77777777" w:rsidR="00310678" w:rsidRDefault="00310678" w:rsidP="00310678">
      <w:pPr>
        <w:spacing w:before="240"/>
        <w:rPr>
          <w:u w:val="single"/>
          <w:lang w:val="en-GB"/>
        </w:rPr>
      </w:pPr>
    </w:p>
    <w:p w14:paraId="0A3879B1" w14:textId="77777777" w:rsidR="00310678" w:rsidRDefault="00310678" w:rsidP="00310678">
      <w:pPr>
        <w:spacing w:before="240"/>
        <w:rPr>
          <w:u w:val="single"/>
          <w:lang w:val="en-GB"/>
        </w:rPr>
      </w:pPr>
    </w:p>
    <w:p w14:paraId="4B7503FB" w14:textId="77777777" w:rsidR="00310678" w:rsidRDefault="00310678" w:rsidP="00310678">
      <w:pPr>
        <w:spacing w:before="240"/>
        <w:rPr>
          <w:u w:val="single"/>
          <w:lang w:val="en-GB"/>
        </w:rPr>
      </w:pPr>
    </w:p>
    <w:p w14:paraId="5790DFF5" w14:textId="77777777" w:rsidR="00310678" w:rsidRDefault="00310678" w:rsidP="00310678">
      <w:pPr>
        <w:spacing w:before="240"/>
        <w:rPr>
          <w:u w:val="single"/>
          <w:lang w:val="en-GB"/>
        </w:rPr>
      </w:pPr>
    </w:p>
    <w:p w14:paraId="6E18D554" w14:textId="77777777" w:rsidR="00310678" w:rsidRDefault="00310678" w:rsidP="00310678">
      <w:pPr>
        <w:spacing w:before="240"/>
        <w:rPr>
          <w:u w:val="single"/>
          <w:lang w:val="en-GB"/>
        </w:rPr>
      </w:pPr>
    </w:p>
    <w:p w14:paraId="6E8141BB" w14:textId="77777777" w:rsidR="00310678" w:rsidRDefault="00310678" w:rsidP="00310678">
      <w:pPr>
        <w:spacing w:before="240"/>
        <w:rPr>
          <w:u w:val="single"/>
          <w:lang w:val="en-GB"/>
        </w:rPr>
      </w:pPr>
    </w:p>
    <w:p w14:paraId="3CA186B4" w14:textId="77777777" w:rsidR="00310678" w:rsidRDefault="00310678" w:rsidP="00310678">
      <w:pPr>
        <w:spacing w:before="240"/>
        <w:rPr>
          <w:u w:val="single"/>
          <w:lang w:val="en-GB"/>
        </w:rPr>
      </w:pPr>
    </w:p>
    <w:p w14:paraId="70D0F169" w14:textId="31D0DB23" w:rsidR="0057187E" w:rsidRPr="00800B07" w:rsidRDefault="0057187E" w:rsidP="00310678">
      <w:pPr>
        <w:spacing w:before="240"/>
        <w:rPr>
          <w:lang w:val="en-GB"/>
        </w:rPr>
      </w:pPr>
      <w:r w:rsidRPr="00800B07">
        <w:rPr>
          <w:u w:val="single"/>
          <w:lang w:val="en-GB"/>
        </w:rPr>
        <w:lastRenderedPageBreak/>
        <w:t xml:space="preserve">Table 11: </w:t>
      </w:r>
      <w:r w:rsidRPr="00800B07">
        <w:rPr>
          <w:lang w:val="en-GB"/>
        </w:rPr>
        <w:t xml:space="preserve">urinary parameters pre- and posttreatment in patients with &gt;6 months follow-up with urinary risk factors at baseline  </w:t>
      </w:r>
    </w:p>
    <w:tbl>
      <w:tblPr>
        <w:tblStyle w:val="Tabelraster"/>
        <w:tblW w:w="5000" w:type="pct"/>
        <w:tblLayout w:type="fixed"/>
        <w:tblCellMar>
          <w:left w:w="28" w:type="dxa"/>
          <w:right w:w="28" w:type="dxa"/>
        </w:tblCellMar>
        <w:tblLook w:val="04A0" w:firstRow="1" w:lastRow="0" w:firstColumn="1" w:lastColumn="0" w:noHBand="0" w:noVBand="1"/>
      </w:tblPr>
      <w:tblGrid>
        <w:gridCol w:w="3682"/>
        <w:gridCol w:w="1795"/>
        <w:gridCol w:w="1795"/>
        <w:gridCol w:w="1793"/>
      </w:tblGrid>
      <w:tr w:rsidR="0057187E" w:rsidRPr="00800B07" w14:paraId="7A845B5A" w14:textId="77777777" w:rsidTr="00311773">
        <w:trPr>
          <w:trHeight w:val="331"/>
        </w:trPr>
        <w:tc>
          <w:tcPr>
            <w:tcW w:w="2031" w:type="pct"/>
            <w:tcBorders>
              <w:top w:val="nil"/>
              <w:left w:val="nil"/>
            </w:tcBorders>
            <w:shd w:val="clear" w:color="auto" w:fill="auto"/>
          </w:tcPr>
          <w:p w14:paraId="1ACA405C" w14:textId="77777777" w:rsidR="0057187E" w:rsidRPr="00800B07" w:rsidRDefault="0057187E" w:rsidP="0057187E">
            <w:pPr>
              <w:rPr>
                <w:sz w:val="18"/>
                <w:szCs w:val="18"/>
                <w:lang w:val="en-GB"/>
              </w:rPr>
            </w:pPr>
          </w:p>
        </w:tc>
        <w:tc>
          <w:tcPr>
            <w:tcW w:w="990" w:type="pct"/>
            <w:shd w:val="clear" w:color="auto" w:fill="000000" w:themeFill="text1"/>
          </w:tcPr>
          <w:p w14:paraId="5C13BC99" w14:textId="77777777" w:rsidR="0057187E" w:rsidRPr="00800B07" w:rsidRDefault="0057187E" w:rsidP="0057187E">
            <w:pPr>
              <w:rPr>
                <w:sz w:val="18"/>
                <w:szCs w:val="18"/>
                <w:lang w:val="fr-BE"/>
              </w:rPr>
            </w:pPr>
            <w:r w:rsidRPr="00800B07">
              <w:rPr>
                <w:sz w:val="18"/>
                <w:szCs w:val="18"/>
                <w:lang w:val="en-GB"/>
              </w:rPr>
              <w:t>Mean</w:t>
            </w:r>
            <w:r w:rsidRPr="00800B07">
              <w:rPr>
                <w:rFonts w:ascii="Calibri" w:hAnsi="Calibri"/>
                <w:sz w:val="18"/>
                <w:szCs w:val="18"/>
                <w:lang w:val="en-GB"/>
              </w:rPr>
              <w:sym w:font="Symbol" w:char="F0B1"/>
            </w:r>
            <w:r w:rsidRPr="00800B07">
              <w:rPr>
                <w:sz w:val="18"/>
                <w:szCs w:val="18"/>
                <w:lang w:val="en-GB"/>
              </w:rPr>
              <w:t>SD</w:t>
            </w:r>
          </w:p>
        </w:tc>
        <w:tc>
          <w:tcPr>
            <w:tcW w:w="990" w:type="pct"/>
            <w:shd w:val="clear" w:color="auto" w:fill="000000" w:themeFill="text1"/>
          </w:tcPr>
          <w:p w14:paraId="7C3715BE" w14:textId="77777777" w:rsidR="0057187E" w:rsidRPr="00800B07" w:rsidRDefault="0057187E" w:rsidP="0057187E">
            <w:pPr>
              <w:rPr>
                <w:sz w:val="18"/>
                <w:szCs w:val="18"/>
                <w:lang w:val="fr-BE"/>
              </w:rPr>
            </w:pPr>
            <w:proofErr w:type="spellStart"/>
            <w:r w:rsidRPr="00800B07">
              <w:rPr>
                <w:sz w:val="18"/>
                <w:szCs w:val="18"/>
                <w:lang w:val="fr-BE"/>
              </w:rPr>
              <w:t>Median</w:t>
            </w:r>
            <w:proofErr w:type="spellEnd"/>
            <w:r w:rsidRPr="00800B07">
              <w:rPr>
                <w:sz w:val="18"/>
                <w:szCs w:val="18"/>
                <w:lang w:val="fr-BE"/>
              </w:rPr>
              <w:t xml:space="preserve"> (IQR)</w:t>
            </w:r>
          </w:p>
        </w:tc>
        <w:tc>
          <w:tcPr>
            <w:tcW w:w="990" w:type="pct"/>
            <w:shd w:val="clear" w:color="auto" w:fill="000000" w:themeFill="text1"/>
          </w:tcPr>
          <w:p w14:paraId="684A03E5" w14:textId="1A7AEAB8" w:rsidR="0057187E" w:rsidRPr="00800B07" w:rsidRDefault="00B4566E" w:rsidP="0057187E">
            <w:pPr>
              <w:rPr>
                <w:sz w:val="18"/>
                <w:szCs w:val="18"/>
                <w:lang w:val="fr-BE"/>
              </w:rPr>
            </w:pPr>
            <w:r w:rsidRPr="00B4566E">
              <w:rPr>
                <w:i/>
                <w:iCs/>
                <w:sz w:val="18"/>
                <w:szCs w:val="18"/>
                <w:lang w:val="fr-BE"/>
              </w:rPr>
              <w:t>P-</w:t>
            </w:r>
            <w:r w:rsidR="0057187E" w:rsidRPr="00800B07">
              <w:rPr>
                <w:sz w:val="18"/>
                <w:szCs w:val="18"/>
                <w:lang w:val="fr-BE"/>
              </w:rPr>
              <w:t xml:space="preserve">value </w:t>
            </w:r>
          </w:p>
        </w:tc>
      </w:tr>
      <w:tr w:rsidR="0057187E" w:rsidRPr="00800B07" w14:paraId="5E318819" w14:textId="77777777" w:rsidTr="00311773">
        <w:trPr>
          <w:trHeight w:val="663"/>
        </w:trPr>
        <w:tc>
          <w:tcPr>
            <w:tcW w:w="2031" w:type="pct"/>
            <w:tcBorders>
              <w:right w:val="single" w:sz="4" w:space="0" w:color="auto"/>
            </w:tcBorders>
            <w:shd w:val="clear" w:color="auto" w:fill="auto"/>
          </w:tcPr>
          <w:p w14:paraId="42B192DE" w14:textId="77777777" w:rsidR="0057187E" w:rsidRPr="00800B07" w:rsidRDefault="0057187E" w:rsidP="0057187E">
            <w:pPr>
              <w:rPr>
                <w:b/>
                <w:bCs/>
                <w:sz w:val="18"/>
                <w:szCs w:val="18"/>
                <w:lang w:val="en-GB"/>
              </w:rPr>
            </w:pPr>
            <w:r w:rsidRPr="00800B07">
              <w:rPr>
                <w:b/>
                <w:bCs/>
                <w:sz w:val="18"/>
                <w:szCs w:val="18"/>
                <w:lang w:val="en-GB"/>
              </w:rPr>
              <w:t xml:space="preserve">Urinary oxalate excretion (n= 136) </w:t>
            </w:r>
          </w:p>
          <w:p w14:paraId="315C1C33" w14:textId="77777777" w:rsidR="0057187E" w:rsidRPr="00800B07" w:rsidRDefault="0057187E" w:rsidP="0057187E">
            <w:pPr>
              <w:rPr>
                <w:sz w:val="18"/>
                <w:szCs w:val="18"/>
                <w:lang w:val="en-GB"/>
              </w:rPr>
            </w:pPr>
            <w:r w:rsidRPr="00800B07">
              <w:rPr>
                <w:sz w:val="18"/>
                <w:szCs w:val="18"/>
                <w:lang w:val="en-GB"/>
              </w:rPr>
              <w:t xml:space="preserve">        Pre-treatment </w:t>
            </w:r>
            <w:r w:rsidRPr="00820C9D">
              <w:rPr>
                <w:sz w:val="18"/>
                <w:szCs w:val="18"/>
                <w:lang w:val="en-GB"/>
              </w:rPr>
              <w:t>(mg/24h)</w:t>
            </w:r>
          </w:p>
          <w:p w14:paraId="35B2AA4B" w14:textId="77777777" w:rsidR="0057187E" w:rsidRPr="00800B07" w:rsidRDefault="0057187E" w:rsidP="0057187E">
            <w:pPr>
              <w:rPr>
                <w:b/>
                <w:bCs/>
                <w:sz w:val="18"/>
                <w:szCs w:val="18"/>
                <w:lang w:val="en-GB"/>
              </w:rPr>
            </w:pPr>
            <w:r w:rsidRPr="00800B07">
              <w:rPr>
                <w:sz w:val="18"/>
                <w:szCs w:val="18"/>
                <w:lang w:val="en-GB"/>
              </w:rPr>
              <w:t xml:space="preserve">        Post-treatment</w:t>
            </w:r>
            <w:r>
              <w:rPr>
                <w:sz w:val="18"/>
                <w:szCs w:val="18"/>
                <w:lang w:val="en-GB"/>
              </w:rPr>
              <w:t xml:space="preserve"> </w:t>
            </w:r>
            <w:r w:rsidRPr="00820C9D">
              <w:rPr>
                <w:sz w:val="18"/>
                <w:szCs w:val="18"/>
                <w:lang w:val="en-GB"/>
              </w:rPr>
              <w:t>(mg/24h)</w:t>
            </w:r>
          </w:p>
        </w:tc>
        <w:tc>
          <w:tcPr>
            <w:tcW w:w="990" w:type="pct"/>
            <w:tcBorders>
              <w:left w:val="single" w:sz="4" w:space="0" w:color="auto"/>
              <w:bottom w:val="single" w:sz="4" w:space="0" w:color="auto"/>
              <w:right w:val="single" w:sz="4" w:space="0" w:color="auto"/>
            </w:tcBorders>
            <w:shd w:val="clear" w:color="auto" w:fill="auto"/>
          </w:tcPr>
          <w:p w14:paraId="223BC9F4" w14:textId="77777777" w:rsidR="0057187E" w:rsidRPr="00800B07" w:rsidRDefault="0057187E" w:rsidP="0057187E">
            <w:pPr>
              <w:rPr>
                <w:sz w:val="18"/>
                <w:szCs w:val="18"/>
                <w:lang w:val="en-GB"/>
              </w:rPr>
            </w:pPr>
          </w:p>
          <w:p w14:paraId="6ABF4CC9" w14:textId="77777777" w:rsidR="0057187E" w:rsidRPr="00800B07" w:rsidRDefault="0057187E" w:rsidP="0057187E">
            <w:pPr>
              <w:rPr>
                <w:sz w:val="18"/>
                <w:szCs w:val="18"/>
                <w:lang w:val="en-GB"/>
              </w:rPr>
            </w:pPr>
            <w:r w:rsidRPr="00800B07">
              <w:rPr>
                <w:sz w:val="18"/>
                <w:szCs w:val="18"/>
                <w:lang w:val="en-GB"/>
              </w:rPr>
              <w:t>60</w:t>
            </w:r>
            <w:r>
              <w:rPr>
                <w:sz w:val="18"/>
                <w:szCs w:val="18"/>
                <w:lang w:val="en-GB"/>
              </w:rPr>
              <w:t>.</w:t>
            </w:r>
            <w:r w:rsidRPr="00800B07">
              <w:rPr>
                <w:sz w:val="18"/>
                <w:szCs w:val="18"/>
                <w:lang w:val="en-GB"/>
              </w:rPr>
              <w:t>1</w:t>
            </w:r>
            <w:r w:rsidRPr="00800B07">
              <w:rPr>
                <w:rFonts w:ascii="Calibri" w:hAnsi="Calibri"/>
                <w:sz w:val="18"/>
                <w:szCs w:val="18"/>
                <w:lang w:val="en-GB"/>
              </w:rPr>
              <w:sym w:font="Symbol" w:char="F0B1"/>
            </w:r>
            <w:r w:rsidRPr="00800B07">
              <w:rPr>
                <w:sz w:val="18"/>
                <w:szCs w:val="18"/>
                <w:lang w:val="en-GB"/>
              </w:rPr>
              <w:t>13</w:t>
            </w:r>
            <w:r>
              <w:rPr>
                <w:sz w:val="18"/>
                <w:szCs w:val="18"/>
                <w:lang w:val="en-GB"/>
              </w:rPr>
              <w:t>.</w:t>
            </w:r>
            <w:r w:rsidRPr="00800B07">
              <w:rPr>
                <w:sz w:val="18"/>
                <w:szCs w:val="18"/>
                <w:lang w:val="en-GB"/>
              </w:rPr>
              <w:t>7</w:t>
            </w:r>
          </w:p>
          <w:p w14:paraId="47F1AF3C" w14:textId="77777777" w:rsidR="0057187E" w:rsidRPr="00800B07" w:rsidRDefault="0057187E" w:rsidP="0057187E">
            <w:pPr>
              <w:rPr>
                <w:b/>
                <w:bCs/>
                <w:sz w:val="18"/>
                <w:szCs w:val="18"/>
                <w:lang w:val="en-GB"/>
              </w:rPr>
            </w:pPr>
            <w:r w:rsidRPr="00800B07">
              <w:rPr>
                <w:sz w:val="18"/>
                <w:szCs w:val="18"/>
                <w:lang w:val="en-GB"/>
              </w:rPr>
              <w:t>49</w:t>
            </w:r>
            <w:r>
              <w:rPr>
                <w:sz w:val="18"/>
                <w:szCs w:val="18"/>
                <w:lang w:val="en-GB"/>
              </w:rPr>
              <w:t>.</w:t>
            </w:r>
            <w:r w:rsidRPr="00800B07">
              <w:rPr>
                <w:sz w:val="18"/>
                <w:szCs w:val="18"/>
                <w:lang w:val="en-GB"/>
              </w:rPr>
              <w:t>2</w:t>
            </w:r>
            <w:r w:rsidRPr="00800B07">
              <w:rPr>
                <w:rFonts w:ascii="Calibri" w:hAnsi="Calibri"/>
                <w:sz w:val="18"/>
                <w:szCs w:val="18"/>
                <w:lang w:val="en-GB"/>
              </w:rPr>
              <w:sym w:font="Symbol" w:char="F0B1"/>
            </w:r>
            <w:r w:rsidRPr="00800B07">
              <w:rPr>
                <w:sz w:val="18"/>
                <w:szCs w:val="18"/>
                <w:lang w:val="en-GB"/>
              </w:rPr>
              <w:t>20</w:t>
            </w:r>
            <w:r>
              <w:rPr>
                <w:sz w:val="18"/>
                <w:szCs w:val="18"/>
                <w:lang w:val="en-GB"/>
              </w:rPr>
              <w:t>.</w:t>
            </w:r>
            <w:r w:rsidRPr="00800B07">
              <w:rPr>
                <w:sz w:val="18"/>
                <w:szCs w:val="18"/>
                <w:lang w:val="en-GB"/>
              </w:rPr>
              <w:t>8</w:t>
            </w:r>
          </w:p>
        </w:tc>
        <w:tc>
          <w:tcPr>
            <w:tcW w:w="990" w:type="pct"/>
            <w:tcBorders>
              <w:left w:val="single" w:sz="4" w:space="0" w:color="auto"/>
            </w:tcBorders>
            <w:shd w:val="clear" w:color="auto" w:fill="auto"/>
          </w:tcPr>
          <w:p w14:paraId="1DDC6013" w14:textId="77777777" w:rsidR="0057187E" w:rsidRPr="00800B07" w:rsidRDefault="0057187E" w:rsidP="0057187E">
            <w:pPr>
              <w:rPr>
                <w:sz w:val="18"/>
                <w:szCs w:val="18"/>
                <w:lang w:val="en-GB"/>
              </w:rPr>
            </w:pPr>
          </w:p>
          <w:p w14:paraId="2A5E7320" w14:textId="77777777" w:rsidR="0057187E" w:rsidRPr="00800B07" w:rsidRDefault="0057187E" w:rsidP="0057187E">
            <w:pPr>
              <w:rPr>
                <w:sz w:val="18"/>
                <w:szCs w:val="18"/>
                <w:lang w:val="en-GB"/>
              </w:rPr>
            </w:pPr>
            <w:r w:rsidRPr="00800B07">
              <w:rPr>
                <w:sz w:val="18"/>
                <w:szCs w:val="18"/>
                <w:lang w:val="en-GB"/>
              </w:rPr>
              <w:t>65</w:t>
            </w:r>
            <w:r>
              <w:rPr>
                <w:sz w:val="18"/>
                <w:szCs w:val="18"/>
                <w:lang w:val="en-GB"/>
              </w:rPr>
              <w:t>.</w:t>
            </w:r>
            <w:r w:rsidRPr="00800B07">
              <w:rPr>
                <w:sz w:val="18"/>
                <w:szCs w:val="18"/>
                <w:lang w:val="en-GB"/>
              </w:rPr>
              <w:t>0 (59</w:t>
            </w:r>
            <w:r>
              <w:rPr>
                <w:sz w:val="18"/>
                <w:szCs w:val="18"/>
                <w:lang w:val="en-GB"/>
              </w:rPr>
              <w:t>.</w:t>
            </w:r>
            <w:r w:rsidRPr="00800B07">
              <w:rPr>
                <w:sz w:val="18"/>
                <w:szCs w:val="18"/>
                <w:lang w:val="en-GB"/>
              </w:rPr>
              <w:t>0-73</w:t>
            </w:r>
            <w:r>
              <w:rPr>
                <w:sz w:val="18"/>
                <w:szCs w:val="18"/>
                <w:lang w:val="en-GB"/>
              </w:rPr>
              <w:t>.</w:t>
            </w:r>
            <w:r w:rsidRPr="00800B07">
              <w:rPr>
                <w:sz w:val="18"/>
                <w:szCs w:val="18"/>
                <w:lang w:val="en-GB"/>
              </w:rPr>
              <w:t>0)</w:t>
            </w:r>
          </w:p>
          <w:p w14:paraId="04734B46" w14:textId="77777777" w:rsidR="0057187E" w:rsidRPr="00800B07" w:rsidRDefault="0057187E" w:rsidP="0057187E">
            <w:pPr>
              <w:rPr>
                <w:sz w:val="18"/>
                <w:szCs w:val="18"/>
                <w:lang w:val="en-GB"/>
              </w:rPr>
            </w:pPr>
            <w:r w:rsidRPr="00800B07">
              <w:rPr>
                <w:sz w:val="18"/>
                <w:szCs w:val="18"/>
                <w:lang w:val="en-GB"/>
              </w:rPr>
              <w:t>46</w:t>
            </w:r>
            <w:r>
              <w:rPr>
                <w:sz w:val="18"/>
                <w:szCs w:val="18"/>
                <w:lang w:val="en-GB"/>
              </w:rPr>
              <w:t>.</w:t>
            </w:r>
            <w:r w:rsidRPr="00800B07">
              <w:rPr>
                <w:sz w:val="18"/>
                <w:szCs w:val="18"/>
                <w:lang w:val="en-GB"/>
              </w:rPr>
              <w:t>0 (36</w:t>
            </w:r>
            <w:r>
              <w:rPr>
                <w:sz w:val="18"/>
                <w:szCs w:val="18"/>
                <w:lang w:val="en-GB"/>
              </w:rPr>
              <w:t>.</w:t>
            </w:r>
            <w:r w:rsidRPr="00800B07">
              <w:rPr>
                <w:sz w:val="18"/>
                <w:szCs w:val="18"/>
                <w:lang w:val="en-GB"/>
              </w:rPr>
              <w:t>0-57</w:t>
            </w:r>
            <w:r>
              <w:rPr>
                <w:sz w:val="18"/>
                <w:szCs w:val="18"/>
                <w:lang w:val="en-GB"/>
              </w:rPr>
              <w:t>.</w:t>
            </w:r>
            <w:r w:rsidRPr="00800B07">
              <w:rPr>
                <w:sz w:val="18"/>
                <w:szCs w:val="18"/>
                <w:lang w:val="en-GB"/>
              </w:rPr>
              <w:t>0)</w:t>
            </w:r>
          </w:p>
        </w:tc>
        <w:tc>
          <w:tcPr>
            <w:tcW w:w="990" w:type="pct"/>
            <w:shd w:val="clear" w:color="auto" w:fill="auto"/>
          </w:tcPr>
          <w:p w14:paraId="561B7C31" w14:textId="77777777" w:rsidR="0057187E" w:rsidRPr="00800B07" w:rsidRDefault="0057187E" w:rsidP="0057187E">
            <w:pPr>
              <w:jc w:val="center"/>
              <w:rPr>
                <w:sz w:val="18"/>
                <w:szCs w:val="18"/>
                <w:lang w:val="en-GB"/>
              </w:rPr>
            </w:pPr>
          </w:p>
          <w:p w14:paraId="777853BE" w14:textId="77777777" w:rsidR="0057187E" w:rsidRPr="00800B07" w:rsidRDefault="0057187E" w:rsidP="0057187E">
            <w:pPr>
              <w:jc w:val="center"/>
              <w:rPr>
                <w:sz w:val="18"/>
                <w:szCs w:val="18"/>
                <w:lang w:val="en-GB"/>
              </w:rPr>
            </w:pPr>
            <w:r w:rsidRPr="00800B07">
              <w:rPr>
                <w:sz w:val="18"/>
                <w:szCs w:val="18"/>
                <w:lang w:val="en-GB"/>
              </w:rPr>
              <w:t>&lt;</w:t>
            </w:r>
            <w:r>
              <w:rPr>
                <w:sz w:val="18"/>
                <w:szCs w:val="18"/>
                <w:lang w:val="en-GB"/>
              </w:rPr>
              <w:t>0.0001</w:t>
            </w:r>
          </w:p>
        </w:tc>
      </w:tr>
      <w:tr w:rsidR="0057187E" w:rsidRPr="00800B07" w14:paraId="69DC93E3" w14:textId="77777777" w:rsidTr="00311773">
        <w:trPr>
          <w:trHeight w:val="676"/>
        </w:trPr>
        <w:tc>
          <w:tcPr>
            <w:tcW w:w="2031" w:type="pct"/>
            <w:tcBorders>
              <w:right w:val="single" w:sz="4" w:space="0" w:color="auto"/>
            </w:tcBorders>
            <w:shd w:val="clear" w:color="auto" w:fill="auto"/>
          </w:tcPr>
          <w:p w14:paraId="2D3F0C76" w14:textId="77777777" w:rsidR="0057187E" w:rsidRPr="00800B07" w:rsidRDefault="0057187E" w:rsidP="0057187E">
            <w:pPr>
              <w:rPr>
                <w:b/>
                <w:bCs/>
                <w:sz w:val="18"/>
                <w:szCs w:val="18"/>
                <w:lang w:val="en-GB"/>
              </w:rPr>
            </w:pPr>
            <w:r w:rsidRPr="00800B07">
              <w:rPr>
                <w:b/>
                <w:bCs/>
                <w:sz w:val="18"/>
                <w:szCs w:val="18"/>
                <w:lang w:val="en-GB"/>
              </w:rPr>
              <w:t xml:space="preserve">Urinary calcium excretion (n=114) </w:t>
            </w:r>
          </w:p>
          <w:p w14:paraId="66CDDB7D" w14:textId="1DBB0FFD"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00FC6DBB">
              <w:rPr>
                <w:sz w:val="18"/>
                <w:szCs w:val="18"/>
                <w:lang w:val="en-GB"/>
              </w:rPr>
              <w:t>(</w:t>
            </w:r>
            <w:r w:rsidR="00FC6DBB" w:rsidRPr="00310678">
              <w:rPr>
                <w:sz w:val="18"/>
                <w:szCs w:val="18"/>
                <w:lang w:val="en-GB"/>
              </w:rPr>
              <w:t>mmol/24h</w:t>
            </w:r>
            <w:r w:rsidR="00FC6DBB">
              <w:rPr>
                <w:sz w:val="18"/>
                <w:szCs w:val="18"/>
                <w:lang w:val="en-GB"/>
              </w:rPr>
              <w:t>)</w:t>
            </w:r>
          </w:p>
          <w:p w14:paraId="026A3556" w14:textId="66C8036D" w:rsidR="0057187E" w:rsidRPr="00800B07" w:rsidRDefault="0057187E" w:rsidP="0057187E">
            <w:pPr>
              <w:rPr>
                <w:sz w:val="18"/>
                <w:szCs w:val="18"/>
                <w:lang w:val="en-GB"/>
              </w:rPr>
            </w:pPr>
            <w:r w:rsidRPr="00800B07">
              <w:rPr>
                <w:sz w:val="18"/>
                <w:szCs w:val="18"/>
                <w:lang w:val="en-GB"/>
              </w:rPr>
              <w:t xml:space="preserve">        Post-treatment</w:t>
            </w:r>
            <w:r>
              <w:rPr>
                <w:sz w:val="18"/>
                <w:szCs w:val="18"/>
                <w:lang w:val="en-GB"/>
              </w:rPr>
              <w:t xml:space="preserve"> </w:t>
            </w:r>
            <w:r w:rsidR="00FC6DBB">
              <w:rPr>
                <w:sz w:val="18"/>
                <w:szCs w:val="18"/>
                <w:lang w:val="en-GB"/>
              </w:rPr>
              <w:t xml:space="preserve"> (</w:t>
            </w:r>
            <w:r w:rsidR="00FC6DBB" w:rsidRPr="00310678">
              <w:rPr>
                <w:sz w:val="18"/>
                <w:szCs w:val="18"/>
                <w:lang w:val="en-GB"/>
              </w:rPr>
              <w:t>mmol/24h</w:t>
            </w:r>
            <w:r w:rsidR="00FC6DBB">
              <w:rPr>
                <w:sz w:val="18"/>
                <w:szCs w:val="18"/>
                <w:lang w:val="en-GB"/>
              </w:rPr>
              <w:t>)</w:t>
            </w: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3F8CDF70" w14:textId="77777777" w:rsidR="0057187E" w:rsidRPr="00800B07" w:rsidRDefault="0057187E" w:rsidP="0057187E">
            <w:pPr>
              <w:rPr>
                <w:sz w:val="18"/>
                <w:szCs w:val="18"/>
                <w:lang w:val="en-GB"/>
              </w:rPr>
            </w:pPr>
          </w:p>
          <w:p w14:paraId="1A649233" w14:textId="4FF32167" w:rsidR="0057187E" w:rsidRPr="00800B07" w:rsidRDefault="00EB2264" w:rsidP="0057187E">
            <w:pPr>
              <w:rPr>
                <w:sz w:val="18"/>
                <w:szCs w:val="18"/>
                <w:lang w:val="en-GB"/>
              </w:rPr>
            </w:pPr>
            <w:r>
              <w:rPr>
                <w:sz w:val="18"/>
                <w:szCs w:val="18"/>
                <w:lang w:val="en-GB"/>
              </w:rPr>
              <w:t>1</w:t>
            </w:r>
            <w:r w:rsidR="0057187E">
              <w:rPr>
                <w:sz w:val="18"/>
                <w:szCs w:val="18"/>
                <w:lang w:val="en-GB"/>
              </w:rPr>
              <w:t>0.</w:t>
            </w:r>
            <w:r>
              <w:rPr>
                <w:sz w:val="18"/>
                <w:szCs w:val="18"/>
                <w:lang w:val="en-GB"/>
              </w:rPr>
              <w:t>1</w:t>
            </w:r>
            <w:r w:rsidR="0057187E" w:rsidRPr="00800B07">
              <w:rPr>
                <w:rFonts w:ascii="Calibri" w:hAnsi="Calibri"/>
                <w:sz w:val="18"/>
                <w:szCs w:val="18"/>
                <w:lang w:val="en-GB"/>
              </w:rPr>
              <w:sym w:font="Symbol" w:char="F0B1"/>
            </w:r>
            <w:r>
              <w:rPr>
                <w:rFonts w:ascii="Calibri" w:hAnsi="Calibri"/>
                <w:sz w:val="18"/>
                <w:szCs w:val="18"/>
                <w:lang w:val="en-GB"/>
              </w:rPr>
              <w:t>7.7</w:t>
            </w:r>
          </w:p>
          <w:p w14:paraId="1F497616" w14:textId="1C7971FC" w:rsidR="0057187E" w:rsidRPr="00800B07" w:rsidRDefault="00EB2264" w:rsidP="0057187E">
            <w:pPr>
              <w:rPr>
                <w:b/>
                <w:bCs/>
                <w:sz w:val="18"/>
                <w:szCs w:val="18"/>
                <w:lang w:val="en-GB"/>
              </w:rPr>
            </w:pPr>
            <w:r>
              <w:rPr>
                <w:sz w:val="18"/>
                <w:szCs w:val="18"/>
                <w:lang w:val="en-GB"/>
              </w:rPr>
              <w:t>6</w:t>
            </w:r>
            <w:r w:rsidR="0057187E">
              <w:rPr>
                <w:sz w:val="18"/>
                <w:szCs w:val="18"/>
                <w:lang w:val="en-GB"/>
              </w:rPr>
              <w:t>.</w:t>
            </w:r>
            <w:r>
              <w:rPr>
                <w:sz w:val="18"/>
                <w:szCs w:val="18"/>
                <w:lang w:val="en-GB"/>
              </w:rPr>
              <w:t>0</w:t>
            </w:r>
            <w:r w:rsidR="0057187E" w:rsidRPr="00800B07">
              <w:rPr>
                <w:rFonts w:ascii="Calibri" w:hAnsi="Calibri"/>
                <w:sz w:val="18"/>
                <w:szCs w:val="18"/>
                <w:lang w:val="en-GB"/>
              </w:rPr>
              <w:sym w:font="Symbol" w:char="F0B1"/>
            </w:r>
            <w:r>
              <w:rPr>
                <w:rFonts w:ascii="Calibri" w:hAnsi="Calibri"/>
                <w:sz w:val="18"/>
                <w:szCs w:val="18"/>
                <w:lang w:val="en-GB"/>
              </w:rPr>
              <w:t>2</w:t>
            </w:r>
            <w:r w:rsidR="0057187E">
              <w:rPr>
                <w:sz w:val="18"/>
                <w:szCs w:val="18"/>
                <w:lang w:val="en-GB"/>
              </w:rPr>
              <w:t>.</w:t>
            </w:r>
            <w:r>
              <w:rPr>
                <w:sz w:val="18"/>
                <w:szCs w:val="18"/>
                <w:lang w:val="en-GB"/>
              </w:rPr>
              <w:t>8</w:t>
            </w:r>
          </w:p>
        </w:tc>
        <w:tc>
          <w:tcPr>
            <w:tcW w:w="990" w:type="pct"/>
            <w:tcBorders>
              <w:left w:val="single" w:sz="4" w:space="0" w:color="auto"/>
            </w:tcBorders>
            <w:shd w:val="clear" w:color="auto" w:fill="auto"/>
          </w:tcPr>
          <w:p w14:paraId="6043EF60" w14:textId="77777777" w:rsidR="0057187E" w:rsidRPr="00800B07" w:rsidRDefault="0057187E" w:rsidP="0057187E">
            <w:pPr>
              <w:rPr>
                <w:sz w:val="18"/>
                <w:szCs w:val="18"/>
                <w:lang w:val="en-GB"/>
              </w:rPr>
            </w:pPr>
          </w:p>
          <w:p w14:paraId="2943175C" w14:textId="488B22AC" w:rsidR="0057187E" w:rsidRPr="00800B07" w:rsidRDefault="00EB2264" w:rsidP="0057187E">
            <w:pPr>
              <w:rPr>
                <w:sz w:val="18"/>
                <w:szCs w:val="18"/>
                <w:lang w:val="en-GB"/>
              </w:rPr>
            </w:pPr>
            <w:r>
              <w:rPr>
                <w:sz w:val="18"/>
                <w:szCs w:val="18"/>
                <w:lang w:val="en-GB"/>
              </w:rPr>
              <w:t>8.7</w:t>
            </w:r>
            <w:r w:rsidR="0057187E" w:rsidRPr="00800B07">
              <w:rPr>
                <w:sz w:val="18"/>
                <w:szCs w:val="18"/>
                <w:lang w:val="en-GB"/>
              </w:rPr>
              <w:t xml:space="preserve"> (</w:t>
            </w:r>
            <w:r>
              <w:rPr>
                <w:sz w:val="18"/>
                <w:szCs w:val="18"/>
                <w:lang w:val="en-GB"/>
              </w:rPr>
              <w:t>7.0</w:t>
            </w:r>
            <w:r w:rsidR="0057187E" w:rsidRPr="00800B07">
              <w:rPr>
                <w:sz w:val="18"/>
                <w:szCs w:val="18"/>
                <w:lang w:val="en-GB"/>
              </w:rPr>
              <w:t>-</w:t>
            </w:r>
            <w:r>
              <w:rPr>
                <w:sz w:val="18"/>
                <w:szCs w:val="18"/>
                <w:lang w:val="en-GB"/>
              </w:rPr>
              <w:t>2.5</w:t>
            </w:r>
            <w:r w:rsidR="0057187E" w:rsidRPr="00800B07">
              <w:rPr>
                <w:sz w:val="18"/>
                <w:szCs w:val="18"/>
                <w:lang w:val="en-GB"/>
              </w:rPr>
              <w:t>)</w:t>
            </w:r>
          </w:p>
          <w:p w14:paraId="0DE3E3F7" w14:textId="72E930B0" w:rsidR="0057187E" w:rsidRPr="00800B07" w:rsidRDefault="00EB2264" w:rsidP="0057187E">
            <w:pPr>
              <w:rPr>
                <w:sz w:val="18"/>
                <w:szCs w:val="18"/>
                <w:lang w:val="en-GB"/>
              </w:rPr>
            </w:pPr>
            <w:r>
              <w:rPr>
                <w:sz w:val="18"/>
                <w:szCs w:val="18"/>
                <w:lang w:val="en-GB"/>
              </w:rPr>
              <w:t>7</w:t>
            </w:r>
            <w:r w:rsidR="0057187E">
              <w:rPr>
                <w:sz w:val="18"/>
                <w:szCs w:val="18"/>
                <w:lang w:val="en-GB"/>
              </w:rPr>
              <w:t>.</w:t>
            </w:r>
            <w:r>
              <w:rPr>
                <w:sz w:val="18"/>
                <w:szCs w:val="18"/>
                <w:lang w:val="en-GB"/>
              </w:rPr>
              <w:t>8</w:t>
            </w:r>
            <w:r w:rsidR="0057187E" w:rsidRPr="00800B07">
              <w:rPr>
                <w:sz w:val="18"/>
                <w:szCs w:val="18"/>
                <w:lang w:val="en-GB"/>
              </w:rPr>
              <w:t xml:space="preserve"> (</w:t>
            </w:r>
            <w:r>
              <w:rPr>
                <w:sz w:val="18"/>
                <w:szCs w:val="18"/>
                <w:lang w:val="en-GB"/>
              </w:rPr>
              <w:t>5</w:t>
            </w:r>
            <w:r w:rsidR="0057187E">
              <w:rPr>
                <w:sz w:val="18"/>
                <w:szCs w:val="18"/>
                <w:lang w:val="en-GB"/>
              </w:rPr>
              <w:t>.</w:t>
            </w:r>
            <w:r>
              <w:rPr>
                <w:sz w:val="18"/>
                <w:szCs w:val="18"/>
                <w:lang w:val="en-GB"/>
              </w:rPr>
              <w:t>7</w:t>
            </w:r>
            <w:r w:rsidR="0057187E" w:rsidRPr="00800B07">
              <w:rPr>
                <w:sz w:val="18"/>
                <w:szCs w:val="18"/>
                <w:lang w:val="en-GB"/>
              </w:rPr>
              <w:t>-</w:t>
            </w:r>
            <w:r>
              <w:rPr>
                <w:sz w:val="18"/>
                <w:szCs w:val="18"/>
                <w:lang w:val="en-GB"/>
              </w:rPr>
              <w:t>6</w:t>
            </w:r>
            <w:r w:rsidR="0057187E">
              <w:rPr>
                <w:sz w:val="18"/>
                <w:szCs w:val="18"/>
                <w:lang w:val="en-GB"/>
              </w:rPr>
              <w:t>.</w:t>
            </w:r>
            <w:r>
              <w:rPr>
                <w:sz w:val="18"/>
                <w:szCs w:val="18"/>
                <w:lang w:val="en-GB"/>
              </w:rPr>
              <w:t>0</w:t>
            </w:r>
            <w:r w:rsidR="0057187E" w:rsidRPr="00800B07">
              <w:rPr>
                <w:sz w:val="18"/>
                <w:szCs w:val="18"/>
                <w:lang w:val="en-GB"/>
              </w:rPr>
              <w:t>)</w:t>
            </w:r>
          </w:p>
        </w:tc>
        <w:tc>
          <w:tcPr>
            <w:tcW w:w="990" w:type="pct"/>
            <w:shd w:val="clear" w:color="auto" w:fill="auto"/>
          </w:tcPr>
          <w:p w14:paraId="7AAD2F67" w14:textId="77777777" w:rsidR="0057187E" w:rsidRPr="00800B07" w:rsidRDefault="0057187E" w:rsidP="0057187E">
            <w:pPr>
              <w:jc w:val="center"/>
              <w:rPr>
                <w:sz w:val="18"/>
                <w:szCs w:val="18"/>
                <w:lang w:val="en-GB"/>
              </w:rPr>
            </w:pPr>
          </w:p>
          <w:p w14:paraId="610076DB" w14:textId="77777777" w:rsidR="0057187E" w:rsidRPr="00800B07" w:rsidRDefault="0057187E" w:rsidP="0057187E">
            <w:pPr>
              <w:jc w:val="center"/>
              <w:rPr>
                <w:sz w:val="18"/>
                <w:szCs w:val="18"/>
                <w:lang w:val="en-GB"/>
              </w:rPr>
            </w:pPr>
            <w:r w:rsidRPr="00800B07">
              <w:rPr>
                <w:sz w:val="18"/>
                <w:szCs w:val="18"/>
                <w:lang w:val="en-GB"/>
              </w:rPr>
              <w:t>&lt;</w:t>
            </w:r>
            <w:r>
              <w:rPr>
                <w:sz w:val="18"/>
                <w:szCs w:val="18"/>
                <w:lang w:val="en-GB"/>
              </w:rPr>
              <w:t>0.0001</w:t>
            </w:r>
          </w:p>
        </w:tc>
      </w:tr>
      <w:tr w:rsidR="0057187E" w:rsidRPr="00800B07" w14:paraId="398CC3D7" w14:textId="77777777" w:rsidTr="00311773">
        <w:trPr>
          <w:trHeight w:val="676"/>
        </w:trPr>
        <w:tc>
          <w:tcPr>
            <w:tcW w:w="2031" w:type="pct"/>
            <w:tcBorders>
              <w:right w:val="single" w:sz="4" w:space="0" w:color="auto"/>
            </w:tcBorders>
            <w:shd w:val="clear" w:color="auto" w:fill="auto"/>
          </w:tcPr>
          <w:p w14:paraId="4E224D9F" w14:textId="77777777" w:rsidR="0057187E" w:rsidRPr="00800B07" w:rsidRDefault="0057187E" w:rsidP="0057187E">
            <w:pPr>
              <w:rPr>
                <w:b/>
                <w:bCs/>
                <w:sz w:val="18"/>
                <w:szCs w:val="18"/>
                <w:lang w:val="en-GB"/>
              </w:rPr>
            </w:pPr>
            <w:r w:rsidRPr="00800B07">
              <w:rPr>
                <w:b/>
                <w:bCs/>
                <w:sz w:val="18"/>
                <w:szCs w:val="18"/>
                <w:lang w:val="en-GB"/>
              </w:rPr>
              <w:t xml:space="preserve">Urinary phosphate excretion (n=54) </w:t>
            </w:r>
          </w:p>
          <w:p w14:paraId="1508A4A8"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Pr="00820C9D">
              <w:rPr>
                <w:sz w:val="18"/>
                <w:szCs w:val="18"/>
                <w:lang w:val="en-GB"/>
              </w:rPr>
              <w:t>(mmol/24h)</w:t>
            </w:r>
          </w:p>
          <w:p w14:paraId="07A176FC" w14:textId="77777777" w:rsidR="0057187E" w:rsidRPr="00800B07" w:rsidRDefault="0057187E" w:rsidP="0057187E">
            <w:pPr>
              <w:rPr>
                <w:b/>
                <w:bCs/>
                <w:sz w:val="18"/>
                <w:szCs w:val="18"/>
                <w:lang w:val="en-GB"/>
              </w:rPr>
            </w:pPr>
            <w:r w:rsidRPr="00800B07">
              <w:rPr>
                <w:sz w:val="18"/>
                <w:szCs w:val="18"/>
                <w:lang w:val="en-GB"/>
              </w:rPr>
              <w:t xml:space="preserve">        Post-treatment</w:t>
            </w:r>
            <w:r>
              <w:rPr>
                <w:sz w:val="18"/>
                <w:szCs w:val="18"/>
                <w:lang w:val="en-GB"/>
              </w:rPr>
              <w:t xml:space="preserve"> </w:t>
            </w:r>
            <w:r w:rsidRPr="00820C9D">
              <w:rPr>
                <w:sz w:val="18"/>
                <w:szCs w:val="18"/>
                <w:lang w:val="en-GB"/>
              </w:rPr>
              <w:t>(mmol/24h)</w:t>
            </w: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585E4CA1" w14:textId="77777777" w:rsidR="0057187E" w:rsidRPr="00800B07" w:rsidRDefault="0057187E" w:rsidP="0057187E">
            <w:pPr>
              <w:rPr>
                <w:sz w:val="18"/>
                <w:szCs w:val="18"/>
                <w:lang w:val="en-GB"/>
              </w:rPr>
            </w:pPr>
          </w:p>
          <w:p w14:paraId="34AEA756" w14:textId="77777777" w:rsidR="0057187E" w:rsidRPr="00800B07" w:rsidRDefault="0057187E" w:rsidP="0057187E">
            <w:pPr>
              <w:rPr>
                <w:sz w:val="18"/>
                <w:szCs w:val="18"/>
                <w:lang w:val="en-GB"/>
              </w:rPr>
            </w:pPr>
            <w:r w:rsidRPr="00800B07">
              <w:rPr>
                <w:sz w:val="18"/>
                <w:szCs w:val="18"/>
                <w:lang w:val="en-GB"/>
              </w:rPr>
              <w:t>54</w:t>
            </w:r>
            <w:r>
              <w:rPr>
                <w:sz w:val="18"/>
                <w:szCs w:val="18"/>
                <w:lang w:val="en-GB"/>
              </w:rPr>
              <w:t>.</w:t>
            </w:r>
            <w:r w:rsidRPr="00800B07">
              <w:rPr>
                <w:sz w:val="18"/>
                <w:szCs w:val="18"/>
                <w:lang w:val="en-GB"/>
              </w:rPr>
              <w:t>6</w:t>
            </w:r>
            <w:r w:rsidRPr="00800B07">
              <w:rPr>
                <w:rFonts w:ascii="Calibri" w:hAnsi="Calibri"/>
                <w:sz w:val="18"/>
                <w:szCs w:val="18"/>
                <w:lang w:val="en-GB"/>
              </w:rPr>
              <w:sym w:font="Symbol" w:char="F0B1"/>
            </w:r>
            <w:r w:rsidRPr="00800B07">
              <w:rPr>
                <w:sz w:val="18"/>
                <w:szCs w:val="18"/>
                <w:lang w:val="en-GB"/>
              </w:rPr>
              <w:t>13</w:t>
            </w:r>
            <w:r>
              <w:rPr>
                <w:sz w:val="18"/>
                <w:szCs w:val="18"/>
                <w:lang w:val="en-GB"/>
              </w:rPr>
              <w:t>.</w:t>
            </w:r>
            <w:r w:rsidRPr="00800B07">
              <w:rPr>
                <w:sz w:val="18"/>
                <w:szCs w:val="18"/>
                <w:lang w:val="en-GB"/>
              </w:rPr>
              <w:t>0</w:t>
            </w:r>
          </w:p>
          <w:p w14:paraId="2B5668D5" w14:textId="77777777" w:rsidR="0057187E" w:rsidRPr="00800B07" w:rsidRDefault="0057187E" w:rsidP="0057187E">
            <w:pPr>
              <w:rPr>
                <w:b/>
                <w:bCs/>
                <w:sz w:val="18"/>
                <w:szCs w:val="18"/>
                <w:lang w:val="en-GB"/>
              </w:rPr>
            </w:pPr>
            <w:r w:rsidRPr="00800B07">
              <w:rPr>
                <w:sz w:val="18"/>
                <w:szCs w:val="18"/>
                <w:lang w:val="en-GB"/>
              </w:rPr>
              <w:t>37</w:t>
            </w:r>
            <w:r>
              <w:rPr>
                <w:sz w:val="18"/>
                <w:szCs w:val="18"/>
                <w:lang w:val="en-GB"/>
              </w:rPr>
              <w:t>.</w:t>
            </w:r>
            <w:r w:rsidRPr="00800B07">
              <w:rPr>
                <w:sz w:val="18"/>
                <w:szCs w:val="18"/>
                <w:lang w:val="en-GB"/>
              </w:rPr>
              <w:t>6</w:t>
            </w:r>
            <w:r w:rsidRPr="00800B07">
              <w:rPr>
                <w:rFonts w:ascii="Calibri" w:hAnsi="Calibri"/>
                <w:sz w:val="18"/>
                <w:szCs w:val="18"/>
                <w:lang w:val="en-GB"/>
              </w:rPr>
              <w:sym w:font="Symbol" w:char="F0B1"/>
            </w:r>
            <w:r w:rsidRPr="00800B07">
              <w:rPr>
                <w:sz w:val="18"/>
                <w:szCs w:val="18"/>
                <w:lang w:val="en-GB"/>
              </w:rPr>
              <w:t>13</w:t>
            </w:r>
            <w:r>
              <w:rPr>
                <w:sz w:val="18"/>
                <w:szCs w:val="18"/>
                <w:lang w:val="en-GB"/>
              </w:rPr>
              <w:t>.</w:t>
            </w:r>
            <w:r w:rsidRPr="00800B07">
              <w:rPr>
                <w:sz w:val="18"/>
                <w:szCs w:val="18"/>
                <w:lang w:val="en-GB"/>
              </w:rPr>
              <w:t>5</w:t>
            </w:r>
          </w:p>
        </w:tc>
        <w:tc>
          <w:tcPr>
            <w:tcW w:w="990" w:type="pct"/>
            <w:tcBorders>
              <w:left w:val="single" w:sz="4" w:space="0" w:color="auto"/>
            </w:tcBorders>
            <w:shd w:val="clear" w:color="auto" w:fill="auto"/>
          </w:tcPr>
          <w:p w14:paraId="2D007E02" w14:textId="77777777" w:rsidR="0057187E" w:rsidRPr="00800B07" w:rsidRDefault="0057187E" w:rsidP="0057187E">
            <w:pPr>
              <w:rPr>
                <w:sz w:val="18"/>
                <w:szCs w:val="18"/>
                <w:lang w:val="en-GB"/>
              </w:rPr>
            </w:pPr>
          </w:p>
          <w:p w14:paraId="06EEE946" w14:textId="77777777" w:rsidR="0057187E" w:rsidRPr="00800B07" w:rsidRDefault="0057187E" w:rsidP="0057187E">
            <w:pPr>
              <w:rPr>
                <w:sz w:val="18"/>
                <w:szCs w:val="18"/>
                <w:lang w:val="en-GB"/>
              </w:rPr>
            </w:pPr>
            <w:r w:rsidRPr="00800B07">
              <w:rPr>
                <w:sz w:val="18"/>
                <w:szCs w:val="18"/>
                <w:lang w:val="en-GB"/>
              </w:rPr>
              <w:t>51</w:t>
            </w:r>
            <w:r>
              <w:rPr>
                <w:sz w:val="18"/>
                <w:szCs w:val="18"/>
                <w:lang w:val="en-GB"/>
              </w:rPr>
              <w:t>.</w:t>
            </w:r>
            <w:r w:rsidRPr="00800B07">
              <w:rPr>
                <w:sz w:val="18"/>
                <w:szCs w:val="18"/>
                <w:lang w:val="en-GB"/>
              </w:rPr>
              <w:t>3 (45</w:t>
            </w:r>
            <w:r>
              <w:rPr>
                <w:sz w:val="18"/>
                <w:szCs w:val="18"/>
                <w:lang w:val="en-GB"/>
              </w:rPr>
              <w:t>.</w:t>
            </w:r>
            <w:r w:rsidRPr="00800B07">
              <w:rPr>
                <w:sz w:val="18"/>
                <w:szCs w:val="18"/>
                <w:lang w:val="en-GB"/>
              </w:rPr>
              <w:t>4-59</w:t>
            </w:r>
            <w:r>
              <w:rPr>
                <w:sz w:val="18"/>
                <w:szCs w:val="18"/>
                <w:lang w:val="en-GB"/>
              </w:rPr>
              <w:t>.</w:t>
            </w:r>
            <w:r w:rsidRPr="00800B07">
              <w:rPr>
                <w:sz w:val="18"/>
                <w:szCs w:val="18"/>
                <w:lang w:val="en-GB"/>
              </w:rPr>
              <w:t>2)</w:t>
            </w:r>
          </w:p>
          <w:p w14:paraId="1677CE0A" w14:textId="77777777" w:rsidR="0057187E" w:rsidRPr="00800B07" w:rsidRDefault="0057187E" w:rsidP="0057187E">
            <w:pPr>
              <w:rPr>
                <w:sz w:val="18"/>
                <w:szCs w:val="18"/>
                <w:lang w:val="en-GB"/>
              </w:rPr>
            </w:pPr>
            <w:r w:rsidRPr="00800B07">
              <w:rPr>
                <w:sz w:val="18"/>
                <w:szCs w:val="18"/>
                <w:lang w:val="en-GB"/>
              </w:rPr>
              <w:t>36</w:t>
            </w:r>
            <w:r>
              <w:rPr>
                <w:sz w:val="18"/>
                <w:szCs w:val="18"/>
                <w:lang w:val="en-GB"/>
              </w:rPr>
              <w:t>.</w:t>
            </w:r>
            <w:r w:rsidRPr="00800B07">
              <w:rPr>
                <w:sz w:val="18"/>
                <w:szCs w:val="18"/>
                <w:lang w:val="en-GB"/>
              </w:rPr>
              <w:t>8 (28</w:t>
            </w:r>
            <w:r>
              <w:rPr>
                <w:sz w:val="18"/>
                <w:szCs w:val="18"/>
                <w:lang w:val="en-GB"/>
              </w:rPr>
              <w:t>.</w:t>
            </w:r>
            <w:r w:rsidRPr="00800B07">
              <w:rPr>
                <w:sz w:val="18"/>
                <w:szCs w:val="18"/>
                <w:lang w:val="en-GB"/>
              </w:rPr>
              <w:t>6-43</w:t>
            </w:r>
            <w:r>
              <w:rPr>
                <w:sz w:val="18"/>
                <w:szCs w:val="18"/>
                <w:lang w:val="en-GB"/>
              </w:rPr>
              <w:t>.</w:t>
            </w:r>
            <w:r w:rsidRPr="00800B07">
              <w:rPr>
                <w:sz w:val="18"/>
                <w:szCs w:val="18"/>
                <w:lang w:val="en-GB"/>
              </w:rPr>
              <w:t>6)</w:t>
            </w:r>
          </w:p>
        </w:tc>
        <w:tc>
          <w:tcPr>
            <w:tcW w:w="990" w:type="pct"/>
            <w:shd w:val="clear" w:color="auto" w:fill="auto"/>
          </w:tcPr>
          <w:p w14:paraId="0D282489" w14:textId="77777777" w:rsidR="0057187E" w:rsidRPr="00800B07" w:rsidRDefault="0057187E" w:rsidP="0057187E">
            <w:pPr>
              <w:jc w:val="center"/>
              <w:rPr>
                <w:sz w:val="18"/>
                <w:szCs w:val="18"/>
                <w:lang w:val="en-GB"/>
              </w:rPr>
            </w:pPr>
          </w:p>
          <w:p w14:paraId="580E5982" w14:textId="77777777" w:rsidR="0057187E" w:rsidRPr="00800B07" w:rsidRDefault="0057187E" w:rsidP="0057187E">
            <w:pPr>
              <w:jc w:val="center"/>
              <w:rPr>
                <w:sz w:val="18"/>
                <w:szCs w:val="18"/>
                <w:lang w:val="en-GB"/>
              </w:rPr>
            </w:pPr>
            <w:r w:rsidRPr="00800B07">
              <w:rPr>
                <w:sz w:val="18"/>
                <w:szCs w:val="18"/>
                <w:lang w:val="en-GB"/>
              </w:rPr>
              <w:t>&lt;</w:t>
            </w:r>
            <w:r>
              <w:rPr>
                <w:sz w:val="18"/>
                <w:szCs w:val="18"/>
                <w:lang w:val="en-GB"/>
              </w:rPr>
              <w:t>0.0001</w:t>
            </w:r>
          </w:p>
        </w:tc>
      </w:tr>
      <w:tr w:rsidR="0057187E" w:rsidRPr="00800B07" w14:paraId="1D77BBBD" w14:textId="77777777" w:rsidTr="00311773">
        <w:trPr>
          <w:trHeight w:val="676"/>
        </w:trPr>
        <w:tc>
          <w:tcPr>
            <w:tcW w:w="2031" w:type="pct"/>
            <w:tcBorders>
              <w:right w:val="single" w:sz="4" w:space="0" w:color="auto"/>
            </w:tcBorders>
            <w:shd w:val="clear" w:color="auto" w:fill="auto"/>
          </w:tcPr>
          <w:p w14:paraId="6841F35B" w14:textId="77777777" w:rsidR="0057187E" w:rsidRPr="00800B07" w:rsidRDefault="0057187E" w:rsidP="0057187E">
            <w:pPr>
              <w:rPr>
                <w:b/>
                <w:bCs/>
                <w:sz w:val="18"/>
                <w:szCs w:val="18"/>
                <w:lang w:val="en-GB"/>
              </w:rPr>
            </w:pPr>
            <w:r w:rsidRPr="00800B07">
              <w:rPr>
                <w:b/>
                <w:bCs/>
                <w:sz w:val="18"/>
                <w:szCs w:val="18"/>
                <w:lang w:val="en-GB"/>
              </w:rPr>
              <w:t xml:space="preserve">Urinary uric acid excretion (n=95) </w:t>
            </w:r>
          </w:p>
          <w:p w14:paraId="4521EB9C"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Pr="00820C9D">
              <w:rPr>
                <w:sz w:val="18"/>
                <w:szCs w:val="18"/>
                <w:lang w:val="en-GB"/>
              </w:rPr>
              <w:t>(mg/24h)</w:t>
            </w:r>
          </w:p>
          <w:p w14:paraId="41589BAF" w14:textId="77777777" w:rsidR="0057187E" w:rsidRPr="00800B07" w:rsidRDefault="0057187E" w:rsidP="0057187E">
            <w:pPr>
              <w:rPr>
                <w:b/>
                <w:bCs/>
                <w:sz w:val="18"/>
                <w:szCs w:val="18"/>
                <w:lang w:val="en-GB"/>
              </w:rPr>
            </w:pPr>
            <w:r w:rsidRPr="00800B07">
              <w:rPr>
                <w:sz w:val="18"/>
                <w:szCs w:val="18"/>
                <w:lang w:val="en-GB"/>
              </w:rPr>
              <w:t xml:space="preserve">        Post-treatment</w:t>
            </w:r>
            <w:r>
              <w:rPr>
                <w:sz w:val="18"/>
                <w:szCs w:val="18"/>
                <w:lang w:val="en-GB"/>
              </w:rPr>
              <w:t xml:space="preserve"> </w:t>
            </w:r>
            <w:r w:rsidRPr="00820C9D">
              <w:rPr>
                <w:sz w:val="18"/>
                <w:szCs w:val="18"/>
                <w:lang w:val="en-GB"/>
              </w:rPr>
              <w:t>(mg/24h)</w:t>
            </w: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7F596482" w14:textId="77777777" w:rsidR="0057187E" w:rsidRPr="00800B07" w:rsidRDefault="0057187E" w:rsidP="0057187E">
            <w:pPr>
              <w:rPr>
                <w:sz w:val="18"/>
                <w:szCs w:val="18"/>
                <w:lang w:val="en-GB"/>
              </w:rPr>
            </w:pPr>
          </w:p>
          <w:p w14:paraId="2371CA90" w14:textId="77777777" w:rsidR="0057187E" w:rsidRPr="00800B07" w:rsidRDefault="0057187E" w:rsidP="0057187E">
            <w:pPr>
              <w:rPr>
                <w:sz w:val="18"/>
                <w:szCs w:val="18"/>
                <w:lang w:val="en-GB"/>
              </w:rPr>
            </w:pPr>
            <w:r w:rsidRPr="00800B07">
              <w:rPr>
                <w:sz w:val="18"/>
                <w:szCs w:val="18"/>
                <w:lang w:val="en-GB"/>
              </w:rPr>
              <w:t>995</w:t>
            </w:r>
            <w:r>
              <w:rPr>
                <w:sz w:val="18"/>
                <w:szCs w:val="18"/>
                <w:lang w:val="en-GB"/>
              </w:rPr>
              <w:t>.</w:t>
            </w:r>
            <w:r w:rsidRPr="00800B07">
              <w:rPr>
                <w:sz w:val="18"/>
                <w:szCs w:val="18"/>
                <w:lang w:val="en-GB"/>
              </w:rPr>
              <w:t>0</w:t>
            </w:r>
            <w:r w:rsidRPr="00800B07">
              <w:rPr>
                <w:rFonts w:ascii="Calibri" w:hAnsi="Calibri"/>
                <w:sz w:val="18"/>
                <w:szCs w:val="18"/>
                <w:lang w:val="en-GB"/>
              </w:rPr>
              <w:sym w:font="Symbol" w:char="F0B1"/>
            </w:r>
            <w:r w:rsidRPr="00800B07">
              <w:rPr>
                <w:sz w:val="18"/>
                <w:szCs w:val="18"/>
                <w:lang w:val="en-GB"/>
              </w:rPr>
              <w:t>240</w:t>
            </w:r>
            <w:r>
              <w:rPr>
                <w:sz w:val="18"/>
                <w:szCs w:val="18"/>
                <w:lang w:val="en-GB"/>
              </w:rPr>
              <w:t>.</w:t>
            </w:r>
            <w:r w:rsidRPr="00800B07">
              <w:rPr>
                <w:sz w:val="18"/>
                <w:szCs w:val="18"/>
                <w:lang w:val="en-GB"/>
              </w:rPr>
              <w:t>5</w:t>
            </w:r>
          </w:p>
          <w:p w14:paraId="5F74A930" w14:textId="77777777" w:rsidR="0057187E" w:rsidRPr="00800B07" w:rsidRDefault="0057187E" w:rsidP="0057187E">
            <w:pPr>
              <w:rPr>
                <w:b/>
                <w:bCs/>
                <w:sz w:val="18"/>
                <w:szCs w:val="18"/>
                <w:lang w:val="en-GB"/>
              </w:rPr>
            </w:pPr>
            <w:r w:rsidRPr="00800B07">
              <w:rPr>
                <w:sz w:val="18"/>
                <w:szCs w:val="18"/>
                <w:lang w:val="en-GB"/>
              </w:rPr>
              <w:t>709</w:t>
            </w:r>
            <w:r>
              <w:rPr>
                <w:sz w:val="18"/>
                <w:szCs w:val="18"/>
                <w:lang w:val="en-GB"/>
              </w:rPr>
              <w:t>.</w:t>
            </w:r>
            <w:r w:rsidRPr="00800B07">
              <w:rPr>
                <w:sz w:val="18"/>
                <w:szCs w:val="18"/>
                <w:lang w:val="en-GB"/>
              </w:rPr>
              <w:t>3</w:t>
            </w:r>
            <w:r w:rsidRPr="00800B07">
              <w:rPr>
                <w:rFonts w:ascii="Calibri" w:hAnsi="Calibri"/>
                <w:sz w:val="18"/>
                <w:szCs w:val="18"/>
                <w:lang w:val="en-GB"/>
              </w:rPr>
              <w:sym w:font="Symbol" w:char="F0B1"/>
            </w:r>
            <w:r w:rsidRPr="00800B07">
              <w:rPr>
                <w:sz w:val="18"/>
                <w:szCs w:val="18"/>
                <w:lang w:val="en-GB"/>
              </w:rPr>
              <w:t>254</w:t>
            </w:r>
            <w:r>
              <w:rPr>
                <w:sz w:val="18"/>
                <w:szCs w:val="18"/>
                <w:lang w:val="en-GB"/>
              </w:rPr>
              <w:t>.</w:t>
            </w:r>
            <w:r w:rsidRPr="00800B07">
              <w:rPr>
                <w:sz w:val="18"/>
                <w:szCs w:val="18"/>
                <w:lang w:val="en-GB"/>
              </w:rPr>
              <w:t>6</w:t>
            </w:r>
          </w:p>
        </w:tc>
        <w:tc>
          <w:tcPr>
            <w:tcW w:w="990" w:type="pct"/>
            <w:tcBorders>
              <w:left w:val="single" w:sz="4" w:space="0" w:color="auto"/>
            </w:tcBorders>
            <w:shd w:val="clear" w:color="auto" w:fill="auto"/>
          </w:tcPr>
          <w:p w14:paraId="198B7D18" w14:textId="77777777" w:rsidR="0057187E" w:rsidRPr="00800B07" w:rsidRDefault="0057187E" w:rsidP="0057187E">
            <w:pPr>
              <w:rPr>
                <w:sz w:val="18"/>
                <w:szCs w:val="18"/>
                <w:lang w:val="en-GB"/>
              </w:rPr>
            </w:pPr>
          </w:p>
          <w:p w14:paraId="174AAF5A" w14:textId="77777777" w:rsidR="0057187E" w:rsidRPr="00800B07" w:rsidRDefault="0057187E" w:rsidP="0057187E">
            <w:pPr>
              <w:rPr>
                <w:sz w:val="18"/>
                <w:szCs w:val="18"/>
                <w:lang w:val="en-GB"/>
              </w:rPr>
            </w:pPr>
            <w:r w:rsidRPr="00800B07">
              <w:rPr>
                <w:sz w:val="18"/>
                <w:szCs w:val="18"/>
                <w:lang w:val="en-GB"/>
              </w:rPr>
              <w:t>981</w:t>
            </w:r>
            <w:r>
              <w:rPr>
                <w:sz w:val="18"/>
                <w:szCs w:val="18"/>
                <w:lang w:val="en-GB"/>
              </w:rPr>
              <w:t>.</w:t>
            </w:r>
            <w:r w:rsidRPr="00800B07">
              <w:rPr>
                <w:sz w:val="18"/>
                <w:szCs w:val="18"/>
                <w:lang w:val="en-GB"/>
              </w:rPr>
              <w:t>5 (823-1133)</w:t>
            </w:r>
          </w:p>
          <w:p w14:paraId="2735DAED" w14:textId="77777777" w:rsidR="0057187E" w:rsidRPr="00800B07" w:rsidRDefault="0057187E" w:rsidP="0057187E">
            <w:pPr>
              <w:rPr>
                <w:sz w:val="18"/>
                <w:szCs w:val="18"/>
                <w:lang w:val="en-GB"/>
              </w:rPr>
            </w:pPr>
            <w:r w:rsidRPr="00800B07">
              <w:rPr>
                <w:sz w:val="18"/>
                <w:szCs w:val="18"/>
                <w:lang w:val="en-GB"/>
              </w:rPr>
              <w:t>662</w:t>
            </w:r>
            <w:r>
              <w:rPr>
                <w:sz w:val="18"/>
                <w:szCs w:val="18"/>
                <w:lang w:val="en-GB"/>
              </w:rPr>
              <w:t>.</w:t>
            </w:r>
            <w:r w:rsidRPr="00800B07">
              <w:rPr>
                <w:sz w:val="18"/>
                <w:szCs w:val="18"/>
                <w:lang w:val="en-GB"/>
              </w:rPr>
              <w:t>0 (525</w:t>
            </w:r>
            <w:r>
              <w:rPr>
                <w:sz w:val="18"/>
                <w:szCs w:val="18"/>
                <w:lang w:val="en-GB"/>
              </w:rPr>
              <w:t>.</w:t>
            </w:r>
            <w:r w:rsidRPr="00800B07">
              <w:rPr>
                <w:sz w:val="18"/>
                <w:szCs w:val="18"/>
                <w:lang w:val="en-GB"/>
              </w:rPr>
              <w:t>0-774</w:t>
            </w:r>
            <w:r>
              <w:rPr>
                <w:sz w:val="18"/>
                <w:szCs w:val="18"/>
                <w:lang w:val="en-GB"/>
              </w:rPr>
              <w:t>.</w:t>
            </w:r>
            <w:r w:rsidRPr="00800B07">
              <w:rPr>
                <w:sz w:val="18"/>
                <w:szCs w:val="18"/>
                <w:lang w:val="en-GB"/>
              </w:rPr>
              <w:t>0)</w:t>
            </w:r>
          </w:p>
        </w:tc>
        <w:tc>
          <w:tcPr>
            <w:tcW w:w="990" w:type="pct"/>
            <w:shd w:val="clear" w:color="auto" w:fill="auto"/>
          </w:tcPr>
          <w:p w14:paraId="581C77A9" w14:textId="77777777" w:rsidR="0057187E" w:rsidRPr="00800B07" w:rsidRDefault="0057187E" w:rsidP="0057187E">
            <w:pPr>
              <w:jc w:val="center"/>
              <w:rPr>
                <w:sz w:val="18"/>
                <w:szCs w:val="18"/>
                <w:lang w:val="en-GB"/>
              </w:rPr>
            </w:pPr>
          </w:p>
          <w:p w14:paraId="572765C3" w14:textId="77777777" w:rsidR="0057187E" w:rsidRPr="00800B07" w:rsidRDefault="0057187E" w:rsidP="0057187E">
            <w:pPr>
              <w:jc w:val="center"/>
              <w:rPr>
                <w:sz w:val="18"/>
                <w:szCs w:val="18"/>
                <w:lang w:val="en-GB"/>
              </w:rPr>
            </w:pPr>
            <w:r w:rsidRPr="00800B07">
              <w:rPr>
                <w:sz w:val="18"/>
                <w:szCs w:val="18"/>
                <w:lang w:val="en-GB"/>
              </w:rPr>
              <w:t>&lt;</w:t>
            </w:r>
            <w:r>
              <w:rPr>
                <w:sz w:val="18"/>
                <w:szCs w:val="18"/>
                <w:lang w:val="en-GB"/>
              </w:rPr>
              <w:t>0.0001</w:t>
            </w:r>
          </w:p>
        </w:tc>
      </w:tr>
      <w:tr w:rsidR="0057187E" w:rsidRPr="00800B07" w14:paraId="4248A22C" w14:textId="77777777" w:rsidTr="00311773">
        <w:trPr>
          <w:trHeight w:val="676"/>
        </w:trPr>
        <w:tc>
          <w:tcPr>
            <w:tcW w:w="2031" w:type="pct"/>
            <w:tcBorders>
              <w:right w:val="single" w:sz="4" w:space="0" w:color="auto"/>
            </w:tcBorders>
            <w:shd w:val="clear" w:color="auto" w:fill="auto"/>
          </w:tcPr>
          <w:p w14:paraId="156A0998" w14:textId="77777777" w:rsidR="0057187E" w:rsidRPr="00800B07" w:rsidRDefault="0057187E" w:rsidP="0057187E">
            <w:pPr>
              <w:rPr>
                <w:b/>
                <w:bCs/>
                <w:sz w:val="18"/>
                <w:szCs w:val="18"/>
                <w:lang w:val="en-GB"/>
              </w:rPr>
            </w:pPr>
            <w:r w:rsidRPr="00800B07">
              <w:rPr>
                <w:b/>
                <w:bCs/>
                <w:sz w:val="18"/>
                <w:szCs w:val="18"/>
                <w:lang w:val="en-GB"/>
              </w:rPr>
              <w:t xml:space="preserve">Urinary sodium excretion (n=228) </w:t>
            </w:r>
          </w:p>
          <w:p w14:paraId="1FFECE15"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Pr="00820C9D">
              <w:rPr>
                <w:sz w:val="18"/>
                <w:szCs w:val="18"/>
                <w:lang w:val="en-GB"/>
              </w:rPr>
              <w:t>(mmol/24h)</w:t>
            </w:r>
          </w:p>
          <w:p w14:paraId="0D34C882" w14:textId="77777777" w:rsidR="0057187E" w:rsidRPr="00800B07" w:rsidRDefault="0057187E" w:rsidP="0057187E">
            <w:pPr>
              <w:rPr>
                <w:b/>
                <w:bCs/>
                <w:sz w:val="18"/>
                <w:szCs w:val="18"/>
                <w:lang w:val="en-GB"/>
              </w:rPr>
            </w:pPr>
            <w:r w:rsidRPr="00800B07">
              <w:rPr>
                <w:b/>
                <w:bCs/>
                <w:sz w:val="18"/>
                <w:szCs w:val="18"/>
                <w:lang w:val="en-GB"/>
              </w:rPr>
              <w:t xml:space="preserve">        </w:t>
            </w:r>
            <w:r w:rsidRPr="00800B07">
              <w:rPr>
                <w:sz w:val="18"/>
                <w:szCs w:val="18"/>
                <w:lang w:val="en-GB"/>
              </w:rPr>
              <w:t>Post-treatment</w:t>
            </w:r>
            <w:r>
              <w:rPr>
                <w:sz w:val="18"/>
                <w:szCs w:val="18"/>
                <w:lang w:val="en-GB"/>
              </w:rPr>
              <w:t xml:space="preserve"> </w:t>
            </w:r>
            <w:r w:rsidRPr="00820C9D">
              <w:rPr>
                <w:sz w:val="18"/>
                <w:szCs w:val="18"/>
                <w:lang w:val="en-GB"/>
              </w:rPr>
              <w:t>(mmol/24h)</w:t>
            </w: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3CFCE4A4" w14:textId="77777777" w:rsidR="0057187E" w:rsidRPr="00800B07" w:rsidRDefault="0057187E" w:rsidP="0057187E">
            <w:pPr>
              <w:rPr>
                <w:sz w:val="18"/>
                <w:szCs w:val="18"/>
                <w:lang w:val="en-GB"/>
              </w:rPr>
            </w:pPr>
          </w:p>
          <w:p w14:paraId="4CDC3102" w14:textId="77777777" w:rsidR="0057187E" w:rsidRPr="00800B07" w:rsidRDefault="0057187E" w:rsidP="0057187E">
            <w:pPr>
              <w:rPr>
                <w:sz w:val="18"/>
                <w:szCs w:val="18"/>
                <w:lang w:val="en-GB"/>
              </w:rPr>
            </w:pPr>
            <w:r w:rsidRPr="00800B07">
              <w:rPr>
                <w:sz w:val="18"/>
                <w:szCs w:val="18"/>
                <w:lang w:val="en-GB"/>
              </w:rPr>
              <w:t>228</w:t>
            </w:r>
            <w:r>
              <w:rPr>
                <w:sz w:val="18"/>
                <w:szCs w:val="18"/>
                <w:lang w:val="en-GB"/>
              </w:rPr>
              <w:t>.</w:t>
            </w:r>
            <w:r w:rsidRPr="00800B07">
              <w:rPr>
                <w:sz w:val="18"/>
                <w:szCs w:val="18"/>
                <w:lang w:val="en-GB"/>
              </w:rPr>
              <w:t>0</w:t>
            </w:r>
            <w:r w:rsidRPr="00800B07">
              <w:rPr>
                <w:rFonts w:ascii="Calibri" w:hAnsi="Calibri"/>
                <w:sz w:val="18"/>
                <w:szCs w:val="18"/>
                <w:lang w:val="en-GB"/>
              </w:rPr>
              <w:sym w:font="Symbol" w:char="F0B1"/>
            </w:r>
            <w:r w:rsidRPr="00800B07">
              <w:rPr>
                <w:sz w:val="18"/>
                <w:szCs w:val="18"/>
                <w:lang w:val="en-GB"/>
              </w:rPr>
              <w:t>70</w:t>
            </w:r>
            <w:r>
              <w:rPr>
                <w:sz w:val="18"/>
                <w:szCs w:val="18"/>
                <w:lang w:val="en-GB"/>
              </w:rPr>
              <w:t>.</w:t>
            </w:r>
            <w:r w:rsidRPr="00800B07">
              <w:rPr>
                <w:sz w:val="18"/>
                <w:szCs w:val="18"/>
                <w:lang w:val="en-GB"/>
              </w:rPr>
              <w:t>3</w:t>
            </w:r>
          </w:p>
          <w:p w14:paraId="3650F3DE" w14:textId="77777777" w:rsidR="0057187E" w:rsidRPr="00800B07" w:rsidRDefault="0057187E" w:rsidP="0057187E">
            <w:pPr>
              <w:rPr>
                <w:b/>
                <w:bCs/>
                <w:sz w:val="18"/>
                <w:szCs w:val="18"/>
                <w:lang w:val="en-GB"/>
              </w:rPr>
            </w:pPr>
            <w:r w:rsidRPr="00800B07">
              <w:rPr>
                <w:sz w:val="18"/>
                <w:szCs w:val="18"/>
                <w:lang w:val="en-GB"/>
              </w:rPr>
              <w:t>192</w:t>
            </w:r>
            <w:r>
              <w:rPr>
                <w:sz w:val="18"/>
                <w:szCs w:val="18"/>
                <w:lang w:val="en-GB"/>
              </w:rPr>
              <w:t>.</w:t>
            </w:r>
            <w:r w:rsidRPr="00800B07">
              <w:rPr>
                <w:sz w:val="18"/>
                <w:szCs w:val="18"/>
                <w:lang w:val="en-GB"/>
              </w:rPr>
              <w:t>2</w:t>
            </w:r>
            <w:r w:rsidRPr="00800B07">
              <w:rPr>
                <w:rFonts w:ascii="Calibri" w:hAnsi="Calibri"/>
                <w:sz w:val="18"/>
                <w:szCs w:val="18"/>
                <w:lang w:val="en-GB"/>
              </w:rPr>
              <w:sym w:font="Symbol" w:char="F0B1"/>
            </w:r>
            <w:r w:rsidRPr="00800B07">
              <w:rPr>
                <w:sz w:val="18"/>
                <w:szCs w:val="18"/>
                <w:lang w:val="en-GB"/>
              </w:rPr>
              <w:t>77</w:t>
            </w:r>
            <w:r>
              <w:rPr>
                <w:sz w:val="18"/>
                <w:szCs w:val="18"/>
                <w:lang w:val="en-GB"/>
              </w:rPr>
              <w:t>.</w:t>
            </w:r>
            <w:r w:rsidRPr="00800B07">
              <w:rPr>
                <w:sz w:val="18"/>
                <w:szCs w:val="18"/>
                <w:lang w:val="en-GB"/>
              </w:rPr>
              <w:t>1</w:t>
            </w:r>
          </w:p>
        </w:tc>
        <w:tc>
          <w:tcPr>
            <w:tcW w:w="990" w:type="pct"/>
            <w:tcBorders>
              <w:left w:val="single" w:sz="4" w:space="0" w:color="auto"/>
            </w:tcBorders>
            <w:shd w:val="clear" w:color="auto" w:fill="auto"/>
          </w:tcPr>
          <w:p w14:paraId="5AA852D4" w14:textId="77777777" w:rsidR="0057187E" w:rsidRPr="00800B07" w:rsidRDefault="0057187E" w:rsidP="0057187E">
            <w:pPr>
              <w:rPr>
                <w:sz w:val="18"/>
                <w:szCs w:val="18"/>
                <w:lang w:val="en-GB"/>
              </w:rPr>
            </w:pPr>
          </w:p>
          <w:p w14:paraId="067E7E4A" w14:textId="77777777" w:rsidR="0057187E" w:rsidRPr="00800B07" w:rsidRDefault="0057187E" w:rsidP="0057187E">
            <w:pPr>
              <w:rPr>
                <w:sz w:val="18"/>
                <w:szCs w:val="18"/>
                <w:lang w:val="en-GB"/>
              </w:rPr>
            </w:pPr>
            <w:r w:rsidRPr="00800B07">
              <w:rPr>
                <w:sz w:val="18"/>
                <w:szCs w:val="18"/>
                <w:lang w:val="en-GB"/>
              </w:rPr>
              <w:t>206</w:t>
            </w:r>
            <w:r>
              <w:rPr>
                <w:sz w:val="18"/>
                <w:szCs w:val="18"/>
                <w:lang w:val="en-GB"/>
              </w:rPr>
              <w:t>.</w:t>
            </w:r>
            <w:r w:rsidRPr="00800B07">
              <w:rPr>
                <w:sz w:val="18"/>
                <w:szCs w:val="18"/>
                <w:lang w:val="en-GB"/>
              </w:rPr>
              <w:t>0 (180</w:t>
            </w:r>
            <w:r>
              <w:rPr>
                <w:sz w:val="18"/>
                <w:szCs w:val="18"/>
                <w:lang w:val="en-GB"/>
              </w:rPr>
              <w:t>.</w:t>
            </w:r>
            <w:r w:rsidRPr="00800B07">
              <w:rPr>
                <w:sz w:val="18"/>
                <w:szCs w:val="18"/>
                <w:lang w:val="en-GB"/>
              </w:rPr>
              <w:t>0-259</w:t>
            </w:r>
            <w:r>
              <w:rPr>
                <w:sz w:val="18"/>
                <w:szCs w:val="18"/>
                <w:lang w:val="en-GB"/>
              </w:rPr>
              <w:t>.</w:t>
            </w:r>
            <w:r w:rsidRPr="00800B07">
              <w:rPr>
                <w:sz w:val="18"/>
                <w:szCs w:val="18"/>
                <w:lang w:val="en-GB"/>
              </w:rPr>
              <w:t>0)</w:t>
            </w:r>
          </w:p>
          <w:p w14:paraId="3DBF863E" w14:textId="77777777" w:rsidR="0057187E" w:rsidRPr="00800B07" w:rsidRDefault="0057187E" w:rsidP="0057187E">
            <w:pPr>
              <w:rPr>
                <w:sz w:val="18"/>
                <w:szCs w:val="18"/>
                <w:lang w:val="en-GB"/>
              </w:rPr>
            </w:pPr>
            <w:r w:rsidRPr="00800B07">
              <w:rPr>
                <w:sz w:val="18"/>
                <w:szCs w:val="18"/>
                <w:lang w:val="en-GB"/>
              </w:rPr>
              <w:t>180</w:t>
            </w:r>
            <w:r>
              <w:rPr>
                <w:sz w:val="18"/>
                <w:szCs w:val="18"/>
                <w:lang w:val="en-GB"/>
              </w:rPr>
              <w:t>.</w:t>
            </w:r>
            <w:r w:rsidRPr="00800B07">
              <w:rPr>
                <w:sz w:val="18"/>
                <w:szCs w:val="18"/>
                <w:lang w:val="en-GB"/>
              </w:rPr>
              <w:t>5 (133</w:t>
            </w:r>
            <w:r>
              <w:rPr>
                <w:sz w:val="18"/>
                <w:szCs w:val="18"/>
                <w:lang w:val="en-GB"/>
              </w:rPr>
              <w:t>.</w:t>
            </w:r>
            <w:r w:rsidRPr="00800B07">
              <w:rPr>
                <w:sz w:val="18"/>
                <w:szCs w:val="18"/>
                <w:lang w:val="en-GB"/>
              </w:rPr>
              <w:t>0-230</w:t>
            </w:r>
            <w:r>
              <w:rPr>
                <w:sz w:val="18"/>
                <w:szCs w:val="18"/>
                <w:lang w:val="en-GB"/>
              </w:rPr>
              <w:t>.</w:t>
            </w:r>
            <w:r w:rsidRPr="00800B07">
              <w:rPr>
                <w:sz w:val="18"/>
                <w:szCs w:val="18"/>
                <w:lang w:val="en-GB"/>
              </w:rPr>
              <w:t>5)</w:t>
            </w:r>
          </w:p>
        </w:tc>
        <w:tc>
          <w:tcPr>
            <w:tcW w:w="990" w:type="pct"/>
            <w:shd w:val="clear" w:color="auto" w:fill="auto"/>
          </w:tcPr>
          <w:p w14:paraId="778DDC8D" w14:textId="77777777" w:rsidR="0057187E" w:rsidRPr="00800B07" w:rsidRDefault="0057187E" w:rsidP="0057187E">
            <w:pPr>
              <w:jc w:val="center"/>
              <w:rPr>
                <w:sz w:val="18"/>
                <w:szCs w:val="18"/>
                <w:lang w:val="en-GB"/>
              </w:rPr>
            </w:pPr>
          </w:p>
          <w:p w14:paraId="1852F9DF" w14:textId="77777777" w:rsidR="0057187E" w:rsidRPr="00800B07" w:rsidRDefault="0057187E" w:rsidP="0057187E">
            <w:pPr>
              <w:jc w:val="center"/>
              <w:rPr>
                <w:sz w:val="18"/>
                <w:szCs w:val="18"/>
                <w:lang w:val="en-GB"/>
              </w:rPr>
            </w:pPr>
            <w:r w:rsidRPr="00800B07">
              <w:rPr>
                <w:sz w:val="18"/>
                <w:szCs w:val="18"/>
                <w:lang w:val="en-GB"/>
              </w:rPr>
              <w:t>&lt;</w:t>
            </w:r>
            <w:r>
              <w:rPr>
                <w:sz w:val="18"/>
                <w:szCs w:val="18"/>
                <w:lang w:val="en-GB"/>
              </w:rPr>
              <w:t>0.0001</w:t>
            </w:r>
          </w:p>
        </w:tc>
      </w:tr>
      <w:tr w:rsidR="0057187E" w:rsidRPr="00800B07" w14:paraId="6B010475" w14:textId="77777777" w:rsidTr="00311773">
        <w:trPr>
          <w:trHeight w:val="676"/>
        </w:trPr>
        <w:tc>
          <w:tcPr>
            <w:tcW w:w="2031" w:type="pct"/>
            <w:tcBorders>
              <w:right w:val="single" w:sz="4" w:space="0" w:color="auto"/>
            </w:tcBorders>
            <w:shd w:val="clear" w:color="auto" w:fill="auto"/>
          </w:tcPr>
          <w:p w14:paraId="77825ABB" w14:textId="77777777" w:rsidR="0057187E" w:rsidRPr="00800B07" w:rsidRDefault="0057187E" w:rsidP="0057187E">
            <w:pPr>
              <w:rPr>
                <w:b/>
                <w:bCs/>
                <w:sz w:val="18"/>
                <w:szCs w:val="18"/>
                <w:lang w:val="en-GB"/>
              </w:rPr>
            </w:pPr>
            <w:r w:rsidRPr="00800B07">
              <w:rPr>
                <w:b/>
                <w:bCs/>
                <w:sz w:val="18"/>
                <w:szCs w:val="18"/>
                <w:lang w:val="en-GB"/>
              </w:rPr>
              <w:t xml:space="preserve">Protein intake (n=288) </w:t>
            </w:r>
          </w:p>
          <w:p w14:paraId="5EDFB596"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Pr="00820C9D">
              <w:rPr>
                <w:sz w:val="18"/>
                <w:szCs w:val="18"/>
                <w:lang w:val="en-GB"/>
              </w:rPr>
              <w:t>(g/kg ideal weight per 24h)</w:t>
            </w:r>
          </w:p>
          <w:p w14:paraId="47462CDC" w14:textId="77777777" w:rsidR="0057187E" w:rsidRPr="00800B07" w:rsidRDefault="0057187E" w:rsidP="0057187E">
            <w:pPr>
              <w:rPr>
                <w:b/>
                <w:bCs/>
                <w:sz w:val="18"/>
                <w:szCs w:val="18"/>
                <w:lang w:val="en-GB"/>
              </w:rPr>
            </w:pPr>
            <w:r w:rsidRPr="00800B07">
              <w:rPr>
                <w:b/>
                <w:bCs/>
                <w:sz w:val="18"/>
                <w:szCs w:val="18"/>
                <w:lang w:val="en-GB"/>
              </w:rPr>
              <w:t xml:space="preserve">        </w:t>
            </w:r>
            <w:r w:rsidRPr="00800B07">
              <w:rPr>
                <w:sz w:val="18"/>
                <w:szCs w:val="18"/>
                <w:lang w:val="en-GB"/>
              </w:rPr>
              <w:t>Post-treatment</w:t>
            </w:r>
            <w:r>
              <w:rPr>
                <w:sz w:val="18"/>
                <w:szCs w:val="18"/>
                <w:lang w:val="en-GB"/>
              </w:rPr>
              <w:t xml:space="preserve"> </w:t>
            </w:r>
            <w:r w:rsidRPr="00820C9D">
              <w:rPr>
                <w:sz w:val="18"/>
                <w:szCs w:val="18"/>
                <w:lang w:val="en-GB"/>
              </w:rPr>
              <w:t>(g/kg ideal weight per 24h)</w:t>
            </w:r>
          </w:p>
        </w:tc>
        <w:tc>
          <w:tcPr>
            <w:tcW w:w="990" w:type="pct"/>
            <w:tcBorders>
              <w:top w:val="single" w:sz="4" w:space="0" w:color="auto"/>
              <w:left w:val="single" w:sz="4" w:space="0" w:color="auto"/>
              <w:right w:val="single" w:sz="4" w:space="0" w:color="auto"/>
            </w:tcBorders>
            <w:shd w:val="clear" w:color="auto" w:fill="auto"/>
          </w:tcPr>
          <w:p w14:paraId="6A33C6F1" w14:textId="77777777" w:rsidR="0057187E" w:rsidRPr="00800B07" w:rsidRDefault="0057187E" w:rsidP="0057187E">
            <w:pPr>
              <w:rPr>
                <w:sz w:val="18"/>
                <w:szCs w:val="18"/>
                <w:lang w:val="en-GB"/>
              </w:rPr>
            </w:pPr>
          </w:p>
          <w:p w14:paraId="5F63EF47" w14:textId="77777777" w:rsidR="0057187E" w:rsidRPr="00800B07" w:rsidRDefault="0057187E" w:rsidP="0057187E">
            <w:pPr>
              <w:rPr>
                <w:sz w:val="18"/>
                <w:szCs w:val="18"/>
                <w:lang w:val="en-GB"/>
              </w:rPr>
            </w:pPr>
            <w:r w:rsidRPr="00800B07">
              <w:rPr>
                <w:sz w:val="18"/>
                <w:szCs w:val="18"/>
                <w:lang w:val="en-GB"/>
              </w:rPr>
              <w:t>1</w:t>
            </w:r>
            <w:r>
              <w:rPr>
                <w:sz w:val="18"/>
                <w:szCs w:val="18"/>
                <w:lang w:val="en-GB"/>
              </w:rPr>
              <w:t>.</w:t>
            </w:r>
            <w:r w:rsidRPr="00800B07">
              <w:rPr>
                <w:sz w:val="18"/>
                <w:szCs w:val="18"/>
                <w:lang w:val="en-GB"/>
              </w:rPr>
              <w:t>5</w:t>
            </w:r>
            <w:r w:rsidRPr="00800B07">
              <w:rPr>
                <w:rFonts w:ascii="Calibri" w:hAnsi="Calibri"/>
                <w:sz w:val="18"/>
                <w:szCs w:val="18"/>
                <w:lang w:val="en-GB"/>
              </w:rPr>
              <w:sym w:font="Symbol" w:char="F0B1"/>
            </w:r>
            <w:r w:rsidRPr="00800B07">
              <w:rPr>
                <w:sz w:val="18"/>
                <w:szCs w:val="18"/>
                <w:lang w:val="en-GB"/>
              </w:rPr>
              <w:t>0</w:t>
            </w:r>
            <w:r>
              <w:rPr>
                <w:sz w:val="18"/>
                <w:szCs w:val="18"/>
                <w:lang w:val="en-GB"/>
              </w:rPr>
              <w:t>.</w:t>
            </w:r>
            <w:r w:rsidRPr="00800B07">
              <w:rPr>
                <w:sz w:val="18"/>
                <w:szCs w:val="18"/>
                <w:lang w:val="en-GB"/>
              </w:rPr>
              <w:t>4</w:t>
            </w:r>
            <w:r w:rsidRPr="00800B07">
              <w:rPr>
                <w:sz w:val="18"/>
                <w:szCs w:val="18"/>
                <w:lang w:val="en-GB"/>
              </w:rPr>
              <w:tab/>
            </w:r>
          </w:p>
          <w:p w14:paraId="17DF6DEF" w14:textId="77777777" w:rsidR="0057187E" w:rsidRPr="00800B07" w:rsidRDefault="0057187E" w:rsidP="0057187E">
            <w:pPr>
              <w:rPr>
                <w:b/>
                <w:bCs/>
                <w:sz w:val="18"/>
                <w:szCs w:val="18"/>
                <w:lang w:val="en-GB"/>
              </w:rPr>
            </w:pPr>
            <w:r w:rsidRPr="00800B07">
              <w:rPr>
                <w:sz w:val="18"/>
                <w:szCs w:val="18"/>
                <w:lang w:val="en-GB"/>
              </w:rPr>
              <w:t>1</w:t>
            </w:r>
            <w:r>
              <w:rPr>
                <w:sz w:val="18"/>
                <w:szCs w:val="18"/>
                <w:lang w:val="en-GB"/>
              </w:rPr>
              <w:t>.</w:t>
            </w:r>
            <w:r w:rsidRPr="00800B07">
              <w:rPr>
                <w:sz w:val="18"/>
                <w:szCs w:val="18"/>
                <w:lang w:val="en-GB"/>
              </w:rPr>
              <w:t>4</w:t>
            </w:r>
            <w:r w:rsidRPr="00800B07">
              <w:rPr>
                <w:rFonts w:ascii="Calibri" w:hAnsi="Calibri"/>
                <w:sz w:val="18"/>
                <w:szCs w:val="18"/>
                <w:lang w:val="en-GB"/>
              </w:rPr>
              <w:sym w:font="Symbol" w:char="F0B1"/>
            </w:r>
            <w:r w:rsidRPr="00800B07">
              <w:rPr>
                <w:sz w:val="18"/>
                <w:szCs w:val="18"/>
                <w:lang w:val="en-GB"/>
              </w:rPr>
              <w:t>0</w:t>
            </w:r>
            <w:r>
              <w:rPr>
                <w:sz w:val="18"/>
                <w:szCs w:val="18"/>
                <w:lang w:val="en-GB"/>
              </w:rPr>
              <w:t>.</w:t>
            </w:r>
            <w:r w:rsidRPr="00800B07">
              <w:rPr>
                <w:sz w:val="18"/>
                <w:szCs w:val="18"/>
                <w:lang w:val="en-GB"/>
              </w:rPr>
              <w:t>4</w:t>
            </w:r>
          </w:p>
        </w:tc>
        <w:tc>
          <w:tcPr>
            <w:tcW w:w="990" w:type="pct"/>
            <w:tcBorders>
              <w:left w:val="single" w:sz="4" w:space="0" w:color="auto"/>
            </w:tcBorders>
            <w:shd w:val="clear" w:color="auto" w:fill="auto"/>
          </w:tcPr>
          <w:p w14:paraId="718915F4" w14:textId="77777777" w:rsidR="0057187E" w:rsidRPr="00800B07" w:rsidRDefault="0057187E" w:rsidP="0057187E">
            <w:pPr>
              <w:rPr>
                <w:sz w:val="18"/>
                <w:szCs w:val="18"/>
                <w:lang w:val="en-GB"/>
              </w:rPr>
            </w:pPr>
          </w:p>
          <w:p w14:paraId="331C3152" w14:textId="77777777" w:rsidR="0057187E" w:rsidRPr="00800B07" w:rsidRDefault="0057187E" w:rsidP="0057187E">
            <w:pPr>
              <w:rPr>
                <w:sz w:val="18"/>
                <w:szCs w:val="18"/>
                <w:lang w:val="en-GB"/>
              </w:rPr>
            </w:pPr>
            <w:r w:rsidRPr="00800B07">
              <w:rPr>
                <w:sz w:val="18"/>
                <w:szCs w:val="18"/>
                <w:lang w:val="en-GB"/>
              </w:rPr>
              <w:t>1</w:t>
            </w:r>
            <w:r>
              <w:rPr>
                <w:sz w:val="18"/>
                <w:szCs w:val="18"/>
                <w:lang w:val="en-GB"/>
              </w:rPr>
              <w:t>.</w:t>
            </w:r>
            <w:r w:rsidRPr="00800B07">
              <w:rPr>
                <w:sz w:val="18"/>
                <w:szCs w:val="18"/>
                <w:lang w:val="en-GB"/>
              </w:rPr>
              <w:t>4 (1</w:t>
            </w:r>
            <w:r>
              <w:rPr>
                <w:sz w:val="18"/>
                <w:szCs w:val="18"/>
                <w:lang w:val="en-GB"/>
              </w:rPr>
              <w:t>.</w:t>
            </w:r>
            <w:r w:rsidRPr="00800B07">
              <w:rPr>
                <w:sz w:val="18"/>
                <w:szCs w:val="18"/>
                <w:lang w:val="en-GB"/>
              </w:rPr>
              <w:t>2-1</w:t>
            </w:r>
            <w:r>
              <w:rPr>
                <w:sz w:val="18"/>
                <w:szCs w:val="18"/>
                <w:lang w:val="en-GB"/>
              </w:rPr>
              <w:t>.</w:t>
            </w:r>
            <w:r w:rsidRPr="00800B07">
              <w:rPr>
                <w:sz w:val="18"/>
                <w:szCs w:val="18"/>
                <w:lang w:val="en-GB"/>
              </w:rPr>
              <w:t>7)</w:t>
            </w:r>
          </w:p>
          <w:p w14:paraId="5B9CDE0B" w14:textId="77777777" w:rsidR="0057187E" w:rsidRPr="00800B07" w:rsidRDefault="0057187E" w:rsidP="0057187E">
            <w:pPr>
              <w:rPr>
                <w:sz w:val="18"/>
                <w:szCs w:val="18"/>
                <w:lang w:val="en-GB"/>
              </w:rPr>
            </w:pPr>
            <w:r w:rsidRPr="00800B07">
              <w:rPr>
                <w:sz w:val="18"/>
                <w:szCs w:val="18"/>
                <w:lang w:val="en-GB"/>
              </w:rPr>
              <w:t>1</w:t>
            </w:r>
            <w:r>
              <w:rPr>
                <w:sz w:val="18"/>
                <w:szCs w:val="18"/>
                <w:lang w:val="en-GB"/>
              </w:rPr>
              <w:t>.</w:t>
            </w:r>
            <w:r w:rsidRPr="00800B07">
              <w:rPr>
                <w:sz w:val="18"/>
                <w:szCs w:val="18"/>
                <w:lang w:val="en-GB"/>
              </w:rPr>
              <w:t>3 (1</w:t>
            </w:r>
            <w:r>
              <w:rPr>
                <w:sz w:val="18"/>
                <w:szCs w:val="18"/>
                <w:lang w:val="en-GB"/>
              </w:rPr>
              <w:t>.</w:t>
            </w:r>
            <w:r w:rsidRPr="00800B07">
              <w:rPr>
                <w:sz w:val="18"/>
                <w:szCs w:val="18"/>
                <w:lang w:val="en-GB"/>
              </w:rPr>
              <w:t>1-1</w:t>
            </w:r>
            <w:r>
              <w:rPr>
                <w:sz w:val="18"/>
                <w:szCs w:val="18"/>
                <w:lang w:val="en-GB"/>
              </w:rPr>
              <w:t>.</w:t>
            </w:r>
            <w:r w:rsidRPr="00800B07">
              <w:rPr>
                <w:sz w:val="18"/>
                <w:szCs w:val="18"/>
                <w:lang w:val="en-GB"/>
              </w:rPr>
              <w:t>6)</w:t>
            </w:r>
          </w:p>
        </w:tc>
        <w:tc>
          <w:tcPr>
            <w:tcW w:w="990" w:type="pct"/>
            <w:shd w:val="clear" w:color="auto" w:fill="auto"/>
          </w:tcPr>
          <w:p w14:paraId="2BFF423C" w14:textId="77777777" w:rsidR="0057187E" w:rsidRPr="00800B07" w:rsidRDefault="0057187E" w:rsidP="0057187E">
            <w:pPr>
              <w:jc w:val="center"/>
              <w:rPr>
                <w:sz w:val="18"/>
                <w:szCs w:val="18"/>
                <w:lang w:val="en-GB"/>
              </w:rPr>
            </w:pPr>
          </w:p>
          <w:p w14:paraId="7A9CC365" w14:textId="77777777" w:rsidR="0057187E" w:rsidRPr="00800B07" w:rsidRDefault="0057187E" w:rsidP="0057187E">
            <w:pPr>
              <w:jc w:val="center"/>
              <w:rPr>
                <w:sz w:val="18"/>
                <w:szCs w:val="18"/>
                <w:lang w:val="en-GB"/>
              </w:rPr>
            </w:pPr>
            <w:r>
              <w:rPr>
                <w:sz w:val="18"/>
                <w:szCs w:val="18"/>
                <w:lang w:val="en-GB"/>
              </w:rPr>
              <w:t>0.0005</w:t>
            </w:r>
          </w:p>
        </w:tc>
      </w:tr>
      <w:tr w:rsidR="0057187E" w:rsidRPr="00800B07" w14:paraId="46F3FBF3" w14:textId="77777777" w:rsidTr="00311773">
        <w:trPr>
          <w:trHeight w:val="676"/>
        </w:trPr>
        <w:tc>
          <w:tcPr>
            <w:tcW w:w="2031" w:type="pct"/>
            <w:tcBorders>
              <w:right w:val="single" w:sz="4" w:space="0" w:color="auto"/>
            </w:tcBorders>
            <w:shd w:val="clear" w:color="auto" w:fill="auto"/>
          </w:tcPr>
          <w:p w14:paraId="2114E5A1" w14:textId="77777777" w:rsidR="0057187E" w:rsidRPr="00800B07" w:rsidRDefault="0057187E" w:rsidP="0057187E">
            <w:pPr>
              <w:rPr>
                <w:b/>
                <w:bCs/>
                <w:sz w:val="18"/>
                <w:szCs w:val="18"/>
                <w:lang w:val="en-GB"/>
              </w:rPr>
            </w:pPr>
            <w:r w:rsidRPr="00800B07">
              <w:rPr>
                <w:b/>
                <w:bCs/>
                <w:sz w:val="18"/>
                <w:szCs w:val="18"/>
                <w:lang w:val="en-GB"/>
              </w:rPr>
              <w:t xml:space="preserve">Urinary volume (n=182) </w:t>
            </w:r>
          </w:p>
          <w:p w14:paraId="39BA2555"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Pr="00820C9D">
              <w:rPr>
                <w:sz w:val="18"/>
                <w:szCs w:val="18"/>
                <w:lang w:val="en-GB"/>
              </w:rPr>
              <w:t>(mL/24h)</w:t>
            </w:r>
          </w:p>
          <w:p w14:paraId="35371189" w14:textId="77777777" w:rsidR="0057187E" w:rsidRPr="00800B07" w:rsidRDefault="0057187E" w:rsidP="0057187E">
            <w:pPr>
              <w:rPr>
                <w:b/>
                <w:bCs/>
                <w:sz w:val="18"/>
                <w:szCs w:val="18"/>
                <w:lang w:val="en-GB"/>
              </w:rPr>
            </w:pPr>
            <w:r w:rsidRPr="00800B07">
              <w:rPr>
                <w:b/>
                <w:bCs/>
                <w:sz w:val="18"/>
                <w:szCs w:val="18"/>
                <w:lang w:val="en-GB"/>
              </w:rPr>
              <w:t xml:space="preserve">        </w:t>
            </w:r>
            <w:r w:rsidRPr="00800B07">
              <w:rPr>
                <w:sz w:val="18"/>
                <w:szCs w:val="18"/>
                <w:lang w:val="en-GB"/>
              </w:rPr>
              <w:t>Post-treatment</w:t>
            </w:r>
            <w:r>
              <w:rPr>
                <w:sz w:val="18"/>
                <w:szCs w:val="18"/>
                <w:lang w:val="en-GB"/>
              </w:rPr>
              <w:t xml:space="preserve"> </w:t>
            </w:r>
            <w:r w:rsidRPr="00820C9D">
              <w:rPr>
                <w:sz w:val="18"/>
                <w:szCs w:val="18"/>
                <w:lang w:val="en-GB"/>
              </w:rPr>
              <w:t>(mL/24h)</w:t>
            </w: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1CA87E94" w14:textId="77777777" w:rsidR="0057187E" w:rsidRPr="00800B07" w:rsidRDefault="0057187E" w:rsidP="0057187E">
            <w:pPr>
              <w:rPr>
                <w:sz w:val="18"/>
                <w:szCs w:val="18"/>
                <w:lang w:val="en-GB"/>
              </w:rPr>
            </w:pPr>
          </w:p>
          <w:p w14:paraId="070CA406" w14:textId="77777777" w:rsidR="0057187E" w:rsidRPr="00800B07" w:rsidRDefault="0057187E" w:rsidP="0057187E">
            <w:pPr>
              <w:rPr>
                <w:sz w:val="18"/>
                <w:szCs w:val="18"/>
                <w:lang w:val="en-GB"/>
              </w:rPr>
            </w:pPr>
            <w:r w:rsidRPr="00800B07">
              <w:rPr>
                <w:sz w:val="18"/>
                <w:szCs w:val="18"/>
                <w:lang w:val="en-GB"/>
              </w:rPr>
              <w:t>1422</w:t>
            </w:r>
            <w:r>
              <w:rPr>
                <w:sz w:val="18"/>
                <w:szCs w:val="18"/>
                <w:lang w:val="en-GB"/>
              </w:rPr>
              <w:t>.</w:t>
            </w:r>
            <w:r w:rsidRPr="00800B07">
              <w:rPr>
                <w:sz w:val="18"/>
                <w:szCs w:val="18"/>
                <w:lang w:val="en-GB"/>
              </w:rPr>
              <w:t>8</w:t>
            </w:r>
            <w:r w:rsidRPr="00800B07">
              <w:rPr>
                <w:rFonts w:ascii="Calibri" w:hAnsi="Calibri"/>
                <w:sz w:val="18"/>
                <w:szCs w:val="18"/>
                <w:lang w:val="en-GB"/>
              </w:rPr>
              <w:sym w:font="Symbol" w:char="F0B1"/>
            </w:r>
            <w:r w:rsidRPr="00800B07">
              <w:rPr>
                <w:sz w:val="18"/>
                <w:szCs w:val="18"/>
                <w:lang w:val="en-GB"/>
              </w:rPr>
              <w:t>352</w:t>
            </w:r>
            <w:r>
              <w:rPr>
                <w:sz w:val="18"/>
                <w:szCs w:val="18"/>
                <w:lang w:val="en-GB"/>
              </w:rPr>
              <w:t>.</w:t>
            </w:r>
            <w:r w:rsidRPr="00800B07">
              <w:rPr>
                <w:sz w:val="18"/>
                <w:szCs w:val="18"/>
                <w:lang w:val="en-GB"/>
              </w:rPr>
              <w:t>6</w:t>
            </w:r>
          </w:p>
          <w:p w14:paraId="0AFD2CC3" w14:textId="77777777" w:rsidR="0057187E" w:rsidRPr="00800B07" w:rsidRDefault="0057187E" w:rsidP="0057187E">
            <w:pPr>
              <w:rPr>
                <w:b/>
                <w:bCs/>
                <w:sz w:val="18"/>
                <w:szCs w:val="18"/>
                <w:lang w:val="en-GB"/>
              </w:rPr>
            </w:pPr>
            <w:r w:rsidRPr="00800B07">
              <w:rPr>
                <w:sz w:val="18"/>
                <w:szCs w:val="18"/>
                <w:lang w:val="en-GB"/>
              </w:rPr>
              <w:t>2045</w:t>
            </w:r>
            <w:r>
              <w:rPr>
                <w:sz w:val="18"/>
                <w:szCs w:val="18"/>
                <w:lang w:val="en-GB"/>
              </w:rPr>
              <w:t>.</w:t>
            </w:r>
            <w:r w:rsidRPr="00800B07">
              <w:rPr>
                <w:sz w:val="18"/>
                <w:szCs w:val="18"/>
                <w:lang w:val="en-GB"/>
              </w:rPr>
              <w:t>0</w:t>
            </w:r>
            <w:r w:rsidRPr="00800B07">
              <w:rPr>
                <w:rFonts w:ascii="Calibri" w:hAnsi="Calibri"/>
                <w:sz w:val="18"/>
                <w:szCs w:val="18"/>
                <w:lang w:val="en-GB"/>
              </w:rPr>
              <w:sym w:font="Symbol" w:char="F0B1"/>
            </w:r>
            <w:r w:rsidRPr="00800B07">
              <w:rPr>
                <w:sz w:val="18"/>
                <w:szCs w:val="18"/>
                <w:lang w:val="en-GB"/>
              </w:rPr>
              <w:t>788</w:t>
            </w:r>
            <w:r>
              <w:rPr>
                <w:sz w:val="18"/>
                <w:szCs w:val="18"/>
                <w:lang w:val="en-GB"/>
              </w:rPr>
              <w:t>.</w:t>
            </w:r>
            <w:r w:rsidRPr="00800B07">
              <w:rPr>
                <w:sz w:val="18"/>
                <w:szCs w:val="18"/>
                <w:lang w:val="en-GB"/>
              </w:rPr>
              <w:t>5</w:t>
            </w:r>
          </w:p>
        </w:tc>
        <w:tc>
          <w:tcPr>
            <w:tcW w:w="990" w:type="pct"/>
            <w:tcBorders>
              <w:left w:val="single" w:sz="4" w:space="0" w:color="auto"/>
            </w:tcBorders>
            <w:shd w:val="clear" w:color="auto" w:fill="auto"/>
          </w:tcPr>
          <w:p w14:paraId="2DAAD942" w14:textId="77777777" w:rsidR="0057187E" w:rsidRPr="00800B07" w:rsidRDefault="0057187E" w:rsidP="0057187E">
            <w:pPr>
              <w:rPr>
                <w:sz w:val="18"/>
                <w:szCs w:val="18"/>
                <w:lang w:val="en-GB"/>
              </w:rPr>
            </w:pPr>
          </w:p>
          <w:p w14:paraId="0E5D7718" w14:textId="77777777" w:rsidR="0057187E" w:rsidRPr="00800B07" w:rsidRDefault="0057187E" w:rsidP="0057187E">
            <w:pPr>
              <w:rPr>
                <w:sz w:val="18"/>
                <w:szCs w:val="18"/>
                <w:lang w:val="en-GB"/>
              </w:rPr>
            </w:pPr>
            <w:r w:rsidRPr="00800B07">
              <w:rPr>
                <w:sz w:val="18"/>
                <w:szCs w:val="18"/>
                <w:lang w:val="en-GB"/>
              </w:rPr>
              <w:t>1400</w:t>
            </w:r>
            <w:r>
              <w:rPr>
                <w:sz w:val="18"/>
                <w:szCs w:val="18"/>
                <w:lang w:val="en-GB"/>
              </w:rPr>
              <w:t>.</w:t>
            </w:r>
            <w:r w:rsidRPr="00800B07">
              <w:rPr>
                <w:sz w:val="18"/>
                <w:szCs w:val="18"/>
                <w:lang w:val="en-GB"/>
              </w:rPr>
              <w:t>0 (1200</w:t>
            </w:r>
            <w:r>
              <w:rPr>
                <w:sz w:val="18"/>
                <w:szCs w:val="18"/>
                <w:lang w:val="en-GB"/>
              </w:rPr>
              <w:t>.</w:t>
            </w:r>
            <w:r w:rsidRPr="00800B07">
              <w:rPr>
                <w:sz w:val="18"/>
                <w:szCs w:val="18"/>
                <w:lang w:val="en-GB"/>
              </w:rPr>
              <w:t>0-1730</w:t>
            </w:r>
            <w:r>
              <w:rPr>
                <w:sz w:val="18"/>
                <w:szCs w:val="18"/>
                <w:lang w:val="en-GB"/>
              </w:rPr>
              <w:t>.</w:t>
            </w:r>
            <w:r w:rsidRPr="00800B07">
              <w:rPr>
                <w:sz w:val="18"/>
                <w:szCs w:val="18"/>
                <w:lang w:val="en-GB"/>
              </w:rPr>
              <w:t>0)</w:t>
            </w:r>
          </w:p>
          <w:p w14:paraId="32AE9D73" w14:textId="77777777" w:rsidR="0057187E" w:rsidRPr="00800B07" w:rsidRDefault="0057187E" w:rsidP="0057187E">
            <w:pPr>
              <w:rPr>
                <w:sz w:val="18"/>
                <w:szCs w:val="18"/>
                <w:lang w:val="en-GB"/>
              </w:rPr>
            </w:pPr>
            <w:r w:rsidRPr="00800B07">
              <w:rPr>
                <w:sz w:val="18"/>
                <w:szCs w:val="18"/>
                <w:lang w:val="en-GB"/>
              </w:rPr>
              <w:t>1962</w:t>
            </w:r>
            <w:r>
              <w:rPr>
                <w:sz w:val="18"/>
                <w:szCs w:val="18"/>
                <w:lang w:val="en-GB"/>
              </w:rPr>
              <w:t>.</w:t>
            </w:r>
            <w:r w:rsidRPr="00800B07">
              <w:rPr>
                <w:sz w:val="18"/>
                <w:szCs w:val="18"/>
                <w:lang w:val="en-GB"/>
              </w:rPr>
              <w:t>5 (1540</w:t>
            </w:r>
            <w:r>
              <w:rPr>
                <w:sz w:val="18"/>
                <w:szCs w:val="18"/>
                <w:lang w:val="en-GB"/>
              </w:rPr>
              <w:t>.</w:t>
            </w:r>
            <w:r w:rsidRPr="00800B07">
              <w:rPr>
                <w:sz w:val="18"/>
                <w:szCs w:val="18"/>
                <w:lang w:val="en-GB"/>
              </w:rPr>
              <w:t>0-2550</w:t>
            </w:r>
            <w:r>
              <w:rPr>
                <w:sz w:val="18"/>
                <w:szCs w:val="18"/>
                <w:lang w:val="en-GB"/>
              </w:rPr>
              <w:t>.</w:t>
            </w:r>
            <w:r w:rsidRPr="00800B07">
              <w:rPr>
                <w:sz w:val="18"/>
                <w:szCs w:val="18"/>
                <w:lang w:val="en-GB"/>
              </w:rPr>
              <w:t>0)</w:t>
            </w:r>
          </w:p>
        </w:tc>
        <w:tc>
          <w:tcPr>
            <w:tcW w:w="990" w:type="pct"/>
            <w:shd w:val="clear" w:color="auto" w:fill="auto"/>
          </w:tcPr>
          <w:p w14:paraId="6FDB146C" w14:textId="77777777" w:rsidR="0057187E" w:rsidRPr="00800B07" w:rsidRDefault="0057187E" w:rsidP="0057187E">
            <w:pPr>
              <w:jc w:val="center"/>
              <w:rPr>
                <w:sz w:val="18"/>
                <w:szCs w:val="18"/>
                <w:lang w:val="en-GB"/>
              </w:rPr>
            </w:pPr>
          </w:p>
          <w:p w14:paraId="42AB76A9" w14:textId="77777777" w:rsidR="0057187E" w:rsidRPr="00800B07" w:rsidRDefault="0057187E" w:rsidP="0057187E">
            <w:pPr>
              <w:jc w:val="center"/>
              <w:rPr>
                <w:sz w:val="18"/>
                <w:szCs w:val="18"/>
                <w:lang w:val="en-GB"/>
              </w:rPr>
            </w:pPr>
            <w:r w:rsidRPr="00800B07">
              <w:rPr>
                <w:sz w:val="18"/>
                <w:szCs w:val="18"/>
                <w:lang w:val="en-GB"/>
              </w:rPr>
              <w:t>&lt;</w:t>
            </w:r>
            <w:r>
              <w:rPr>
                <w:sz w:val="18"/>
                <w:szCs w:val="18"/>
                <w:lang w:val="en-GB"/>
              </w:rPr>
              <w:t>0.0001</w:t>
            </w:r>
          </w:p>
        </w:tc>
      </w:tr>
      <w:tr w:rsidR="0057187E" w:rsidRPr="00800B07" w14:paraId="7B3E267E" w14:textId="77777777" w:rsidTr="00311773">
        <w:trPr>
          <w:trHeight w:val="676"/>
        </w:trPr>
        <w:tc>
          <w:tcPr>
            <w:tcW w:w="2031" w:type="pct"/>
            <w:tcBorders>
              <w:right w:val="single" w:sz="4" w:space="0" w:color="auto"/>
            </w:tcBorders>
            <w:shd w:val="clear" w:color="auto" w:fill="auto"/>
          </w:tcPr>
          <w:p w14:paraId="191568DB" w14:textId="77777777" w:rsidR="0057187E" w:rsidRPr="00800B07" w:rsidRDefault="0057187E" w:rsidP="0057187E">
            <w:pPr>
              <w:rPr>
                <w:b/>
                <w:bCs/>
                <w:sz w:val="18"/>
                <w:szCs w:val="18"/>
                <w:lang w:val="en-GB"/>
              </w:rPr>
            </w:pPr>
            <w:r w:rsidRPr="00800B07">
              <w:rPr>
                <w:b/>
                <w:bCs/>
                <w:sz w:val="18"/>
                <w:szCs w:val="18"/>
                <w:lang w:val="en-GB"/>
              </w:rPr>
              <w:t xml:space="preserve">Urinary citrate excretion (n=92) </w:t>
            </w:r>
          </w:p>
          <w:p w14:paraId="65644949" w14:textId="77777777" w:rsidR="0057187E" w:rsidRPr="00800B07" w:rsidRDefault="0057187E" w:rsidP="0057187E">
            <w:pPr>
              <w:rPr>
                <w:sz w:val="18"/>
                <w:szCs w:val="18"/>
                <w:lang w:val="en-GB"/>
              </w:rPr>
            </w:pPr>
            <w:r w:rsidRPr="00800B07">
              <w:rPr>
                <w:sz w:val="18"/>
                <w:szCs w:val="18"/>
                <w:lang w:val="en-GB"/>
              </w:rPr>
              <w:t xml:space="preserve">        Pre-treatment</w:t>
            </w:r>
            <w:r>
              <w:rPr>
                <w:sz w:val="18"/>
                <w:szCs w:val="18"/>
                <w:lang w:val="en-GB"/>
              </w:rPr>
              <w:t xml:space="preserve"> </w:t>
            </w:r>
            <w:r w:rsidRPr="00820C9D">
              <w:rPr>
                <w:sz w:val="18"/>
                <w:szCs w:val="18"/>
                <w:lang w:val="en-GB"/>
              </w:rPr>
              <w:t xml:space="preserve"> (µmol/24h)</w:t>
            </w:r>
          </w:p>
          <w:p w14:paraId="535C6A68" w14:textId="77777777" w:rsidR="0057187E" w:rsidRPr="00800B07" w:rsidRDefault="0057187E" w:rsidP="0057187E">
            <w:pPr>
              <w:rPr>
                <w:b/>
                <w:bCs/>
                <w:sz w:val="18"/>
                <w:szCs w:val="18"/>
                <w:lang w:val="en-GB"/>
              </w:rPr>
            </w:pPr>
            <w:r w:rsidRPr="00800B07">
              <w:rPr>
                <w:sz w:val="18"/>
                <w:szCs w:val="18"/>
                <w:lang w:val="en-GB"/>
              </w:rPr>
              <w:t xml:space="preserve">        Post-treatment</w:t>
            </w:r>
            <w:r>
              <w:rPr>
                <w:sz w:val="18"/>
                <w:szCs w:val="18"/>
                <w:lang w:val="en-GB"/>
              </w:rPr>
              <w:t xml:space="preserve"> </w:t>
            </w:r>
            <w:r w:rsidRPr="00820C9D">
              <w:rPr>
                <w:sz w:val="18"/>
                <w:szCs w:val="18"/>
                <w:lang w:val="en-GB"/>
              </w:rPr>
              <w:t xml:space="preserve"> (µmol/24h)</w:t>
            </w: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1B6AFF69" w14:textId="77777777" w:rsidR="0057187E" w:rsidRPr="00800B07" w:rsidRDefault="0057187E" w:rsidP="0057187E">
            <w:pPr>
              <w:rPr>
                <w:sz w:val="18"/>
                <w:szCs w:val="18"/>
                <w:lang w:val="en-GB"/>
              </w:rPr>
            </w:pPr>
          </w:p>
          <w:p w14:paraId="72D51AA3" w14:textId="77777777" w:rsidR="0057187E" w:rsidRPr="00800B07" w:rsidRDefault="0057187E" w:rsidP="0057187E">
            <w:pPr>
              <w:rPr>
                <w:sz w:val="18"/>
                <w:szCs w:val="18"/>
                <w:lang w:val="en-GB"/>
              </w:rPr>
            </w:pPr>
            <w:r w:rsidRPr="00800B07">
              <w:rPr>
                <w:sz w:val="18"/>
                <w:szCs w:val="18"/>
                <w:lang w:val="en-GB"/>
              </w:rPr>
              <w:t>750</w:t>
            </w:r>
            <w:r>
              <w:rPr>
                <w:sz w:val="18"/>
                <w:szCs w:val="18"/>
                <w:lang w:val="en-GB"/>
              </w:rPr>
              <w:t>.</w:t>
            </w:r>
            <w:r w:rsidRPr="00800B07">
              <w:rPr>
                <w:sz w:val="18"/>
                <w:szCs w:val="18"/>
                <w:lang w:val="en-GB"/>
              </w:rPr>
              <w:t>1</w:t>
            </w:r>
            <w:r w:rsidRPr="00800B07">
              <w:rPr>
                <w:rFonts w:ascii="Calibri" w:hAnsi="Calibri"/>
                <w:sz w:val="18"/>
                <w:szCs w:val="18"/>
                <w:lang w:val="en-GB"/>
              </w:rPr>
              <w:sym w:font="Symbol" w:char="F0B1"/>
            </w:r>
            <w:r w:rsidRPr="00800B07">
              <w:rPr>
                <w:sz w:val="18"/>
                <w:szCs w:val="18"/>
                <w:lang w:val="en-GB"/>
              </w:rPr>
              <w:t>474</w:t>
            </w:r>
            <w:r>
              <w:rPr>
                <w:sz w:val="18"/>
                <w:szCs w:val="18"/>
                <w:lang w:val="en-GB"/>
              </w:rPr>
              <w:t>.</w:t>
            </w:r>
            <w:r w:rsidRPr="00800B07">
              <w:rPr>
                <w:sz w:val="18"/>
                <w:szCs w:val="18"/>
                <w:lang w:val="en-GB"/>
              </w:rPr>
              <w:t>9</w:t>
            </w:r>
          </w:p>
          <w:p w14:paraId="746BC198" w14:textId="77777777" w:rsidR="0057187E" w:rsidRPr="00800B07" w:rsidRDefault="0057187E" w:rsidP="0057187E">
            <w:pPr>
              <w:rPr>
                <w:b/>
                <w:bCs/>
                <w:sz w:val="18"/>
                <w:szCs w:val="18"/>
                <w:lang w:val="en-GB"/>
              </w:rPr>
            </w:pPr>
            <w:r w:rsidRPr="00800B07">
              <w:rPr>
                <w:sz w:val="18"/>
                <w:szCs w:val="18"/>
                <w:lang w:val="en-GB"/>
              </w:rPr>
              <w:t>2069</w:t>
            </w:r>
            <w:r>
              <w:rPr>
                <w:sz w:val="18"/>
                <w:szCs w:val="18"/>
                <w:lang w:val="en-GB"/>
              </w:rPr>
              <w:t>.</w:t>
            </w:r>
            <w:r w:rsidRPr="00800B07">
              <w:rPr>
                <w:sz w:val="18"/>
                <w:szCs w:val="18"/>
                <w:lang w:val="en-GB"/>
              </w:rPr>
              <w:t>5</w:t>
            </w:r>
            <w:r w:rsidRPr="00800B07">
              <w:rPr>
                <w:rFonts w:ascii="Calibri" w:hAnsi="Calibri"/>
                <w:sz w:val="18"/>
                <w:szCs w:val="18"/>
                <w:lang w:val="en-GB"/>
              </w:rPr>
              <w:sym w:font="Symbol" w:char="F0B1"/>
            </w:r>
            <w:r w:rsidRPr="00800B07">
              <w:rPr>
                <w:sz w:val="18"/>
                <w:szCs w:val="18"/>
                <w:lang w:val="en-GB"/>
              </w:rPr>
              <w:t>1918</w:t>
            </w:r>
            <w:r>
              <w:rPr>
                <w:sz w:val="18"/>
                <w:szCs w:val="18"/>
                <w:lang w:val="en-GB"/>
              </w:rPr>
              <w:t>.</w:t>
            </w:r>
            <w:r w:rsidRPr="00800B07">
              <w:rPr>
                <w:sz w:val="18"/>
                <w:szCs w:val="18"/>
                <w:lang w:val="en-GB"/>
              </w:rPr>
              <w:t>3</w:t>
            </w:r>
          </w:p>
        </w:tc>
        <w:tc>
          <w:tcPr>
            <w:tcW w:w="990" w:type="pct"/>
            <w:tcBorders>
              <w:left w:val="single" w:sz="4" w:space="0" w:color="auto"/>
            </w:tcBorders>
            <w:shd w:val="clear" w:color="auto" w:fill="auto"/>
          </w:tcPr>
          <w:p w14:paraId="64EED116" w14:textId="77777777" w:rsidR="0057187E" w:rsidRPr="00800B07" w:rsidRDefault="0057187E" w:rsidP="0057187E">
            <w:pPr>
              <w:rPr>
                <w:sz w:val="18"/>
                <w:szCs w:val="18"/>
                <w:lang w:val="en-GB"/>
              </w:rPr>
            </w:pPr>
          </w:p>
          <w:p w14:paraId="38D83659" w14:textId="77777777" w:rsidR="0057187E" w:rsidRPr="00800B07" w:rsidRDefault="0057187E" w:rsidP="0057187E">
            <w:pPr>
              <w:rPr>
                <w:sz w:val="18"/>
                <w:szCs w:val="18"/>
                <w:lang w:val="en-GB"/>
              </w:rPr>
            </w:pPr>
            <w:r w:rsidRPr="00800B07">
              <w:rPr>
                <w:sz w:val="18"/>
                <w:szCs w:val="18"/>
                <w:lang w:val="en-GB"/>
              </w:rPr>
              <w:t>723</w:t>
            </w:r>
            <w:r>
              <w:rPr>
                <w:sz w:val="18"/>
                <w:szCs w:val="18"/>
                <w:lang w:val="en-GB"/>
              </w:rPr>
              <w:t>.</w:t>
            </w:r>
            <w:r w:rsidRPr="00800B07">
              <w:rPr>
                <w:sz w:val="18"/>
                <w:szCs w:val="18"/>
                <w:lang w:val="en-GB"/>
              </w:rPr>
              <w:t>0 (254</w:t>
            </w:r>
            <w:r>
              <w:rPr>
                <w:sz w:val="18"/>
                <w:szCs w:val="18"/>
                <w:lang w:val="en-GB"/>
              </w:rPr>
              <w:t>.</w:t>
            </w:r>
            <w:r w:rsidRPr="00800B07">
              <w:rPr>
                <w:sz w:val="18"/>
                <w:szCs w:val="18"/>
                <w:lang w:val="en-GB"/>
              </w:rPr>
              <w:t>0-1220</w:t>
            </w:r>
            <w:r>
              <w:rPr>
                <w:sz w:val="18"/>
                <w:szCs w:val="18"/>
                <w:lang w:val="en-GB"/>
              </w:rPr>
              <w:t>.</w:t>
            </w:r>
            <w:r w:rsidRPr="00800B07">
              <w:rPr>
                <w:sz w:val="18"/>
                <w:szCs w:val="18"/>
                <w:lang w:val="en-GB"/>
              </w:rPr>
              <w:t>0)</w:t>
            </w:r>
          </w:p>
          <w:p w14:paraId="59A9C9C0" w14:textId="77777777" w:rsidR="0057187E" w:rsidRPr="00800B07" w:rsidRDefault="0057187E" w:rsidP="0057187E">
            <w:pPr>
              <w:rPr>
                <w:sz w:val="18"/>
                <w:szCs w:val="18"/>
                <w:lang w:val="en-GB"/>
              </w:rPr>
            </w:pPr>
            <w:r w:rsidRPr="00800B07">
              <w:rPr>
                <w:sz w:val="18"/>
                <w:szCs w:val="18"/>
                <w:lang w:val="en-GB"/>
              </w:rPr>
              <w:t>1480</w:t>
            </w:r>
            <w:r>
              <w:rPr>
                <w:sz w:val="18"/>
                <w:szCs w:val="18"/>
                <w:lang w:val="en-GB"/>
              </w:rPr>
              <w:t>.</w:t>
            </w:r>
            <w:r w:rsidRPr="00800B07">
              <w:rPr>
                <w:sz w:val="18"/>
                <w:szCs w:val="18"/>
                <w:lang w:val="en-GB"/>
              </w:rPr>
              <w:t>0 (643</w:t>
            </w:r>
            <w:r>
              <w:rPr>
                <w:sz w:val="18"/>
                <w:szCs w:val="18"/>
                <w:lang w:val="en-GB"/>
              </w:rPr>
              <w:t>.</w:t>
            </w:r>
            <w:r w:rsidRPr="00800B07">
              <w:rPr>
                <w:sz w:val="18"/>
                <w:szCs w:val="18"/>
                <w:lang w:val="en-GB"/>
              </w:rPr>
              <w:t>0-2339</w:t>
            </w:r>
            <w:r>
              <w:rPr>
                <w:sz w:val="18"/>
                <w:szCs w:val="18"/>
                <w:lang w:val="en-GB"/>
              </w:rPr>
              <w:t>.</w:t>
            </w:r>
            <w:r w:rsidRPr="00800B07">
              <w:rPr>
                <w:sz w:val="18"/>
                <w:szCs w:val="18"/>
                <w:lang w:val="en-GB"/>
              </w:rPr>
              <w:t>0)</w:t>
            </w:r>
          </w:p>
        </w:tc>
        <w:tc>
          <w:tcPr>
            <w:tcW w:w="990" w:type="pct"/>
            <w:shd w:val="clear" w:color="auto" w:fill="auto"/>
          </w:tcPr>
          <w:p w14:paraId="61ADA749" w14:textId="77777777" w:rsidR="0057187E" w:rsidRPr="00800B07" w:rsidRDefault="0057187E" w:rsidP="0057187E">
            <w:pPr>
              <w:jc w:val="center"/>
              <w:rPr>
                <w:sz w:val="18"/>
                <w:szCs w:val="18"/>
                <w:lang w:val="en-GB"/>
              </w:rPr>
            </w:pPr>
          </w:p>
          <w:p w14:paraId="5DF781DF" w14:textId="77777777" w:rsidR="0057187E" w:rsidRPr="00800B07" w:rsidRDefault="0057187E" w:rsidP="0057187E">
            <w:pPr>
              <w:jc w:val="center"/>
              <w:rPr>
                <w:sz w:val="18"/>
                <w:szCs w:val="18"/>
                <w:lang w:val="en-GB"/>
              </w:rPr>
            </w:pPr>
            <w:r w:rsidRPr="00800B07">
              <w:rPr>
                <w:sz w:val="18"/>
                <w:szCs w:val="18"/>
                <w:lang w:val="en-GB"/>
              </w:rPr>
              <w:t>&lt;</w:t>
            </w:r>
            <w:r>
              <w:rPr>
                <w:sz w:val="18"/>
                <w:szCs w:val="18"/>
                <w:lang w:val="en-GB"/>
              </w:rPr>
              <w:t>0.0001</w:t>
            </w:r>
          </w:p>
        </w:tc>
      </w:tr>
      <w:tr w:rsidR="0057187E" w:rsidRPr="00800B07" w14:paraId="155B0E37" w14:textId="77777777" w:rsidTr="00311773">
        <w:trPr>
          <w:trHeight w:val="676"/>
        </w:trPr>
        <w:tc>
          <w:tcPr>
            <w:tcW w:w="2031" w:type="pct"/>
            <w:tcBorders>
              <w:right w:val="single" w:sz="4" w:space="0" w:color="auto"/>
            </w:tcBorders>
            <w:shd w:val="clear" w:color="auto" w:fill="auto"/>
          </w:tcPr>
          <w:p w14:paraId="1A57B1DA" w14:textId="77777777" w:rsidR="0057187E" w:rsidRPr="00800B07" w:rsidRDefault="0057187E" w:rsidP="0057187E">
            <w:pPr>
              <w:rPr>
                <w:b/>
                <w:bCs/>
                <w:sz w:val="18"/>
                <w:szCs w:val="18"/>
                <w:lang w:val="en-GB"/>
              </w:rPr>
            </w:pPr>
            <w:r w:rsidRPr="00800B07">
              <w:rPr>
                <w:b/>
                <w:bCs/>
                <w:sz w:val="18"/>
                <w:szCs w:val="18"/>
                <w:lang w:val="en-GB"/>
              </w:rPr>
              <w:t>Urinary pH (n= 110)</w:t>
            </w:r>
          </w:p>
          <w:p w14:paraId="314EB843" w14:textId="77777777" w:rsidR="0057187E" w:rsidRPr="00800B07" w:rsidRDefault="0057187E" w:rsidP="0057187E">
            <w:pPr>
              <w:rPr>
                <w:sz w:val="18"/>
                <w:szCs w:val="18"/>
                <w:lang w:val="en-GB"/>
              </w:rPr>
            </w:pPr>
            <w:r w:rsidRPr="00800B07">
              <w:rPr>
                <w:sz w:val="18"/>
                <w:szCs w:val="18"/>
                <w:lang w:val="en-GB"/>
              </w:rPr>
              <w:t xml:space="preserve">        Pre-treatment</w:t>
            </w:r>
          </w:p>
          <w:p w14:paraId="33FFA16E" w14:textId="77777777" w:rsidR="0057187E" w:rsidRPr="00800B07" w:rsidRDefault="0057187E" w:rsidP="0057187E">
            <w:pPr>
              <w:rPr>
                <w:sz w:val="18"/>
                <w:szCs w:val="18"/>
                <w:lang w:val="en-GB"/>
              </w:rPr>
            </w:pPr>
            <w:r w:rsidRPr="00800B07">
              <w:rPr>
                <w:sz w:val="18"/>
                <w:szCs w:val="18"/>
                <w:lang w:val="en-GB"/>
              </w:rPr>
              <w:t xml:space="preserve">        Post-treatment </w:t>
            </w: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70E0D08D" w14:textId="77777777" w:rsidR="0057187E" w:rsidRPr="00800B07" w:rsidRDefault="0057187E" w:rsidP="0057187E">
            <w:pPr>
              <w:rPr>
                <w:sz w:val="18"/>
                <w:szCs w:val="18"/>
                <w:lang w:val="en-GB"/>
              </w:rPr>
            </w:pPr>
          </w:p>
          <w:p w14:paraId="7BAD9805" w14:textId="77777777" w:rsidR="0057187E" w:rsidRPr="00800B07" w:rsidRDefault="0057187E" w:rsidP="0057187E">
            <w:pPr>
              <w:rPr>
                <w:sz w:val="18"/>
                <w:szCs w:val="18"/>
              </w:rPr>
            </w:pPr>
            <w:r w:rsidRPr="00800B07">
              <w:rPr>
                <w:sz w:val="18"/>
                <w:szCs w:val="18"/>
              </w:rPr>
              <w:t>5</w:t>
            </w:r>
            <w:r>
              <w:rPr>
                <w:sz w:val="18"/>
                <w:szCs w:val="18"/>
              </w:rPr>
              <w:t>.</w:t>
            </w:r>
            <w:r w:rsidRPr="00800B07">
              <w:rPr>
                <w:sz w:val="18"/>
                <w:szCs w:val="18"/>
              </w:rPr>
              <w:t>0</w:t>
            </w:r>
            <w:r w:rsidRPr="00800B07">
              <w:rPr>
                <w:rFonts w:ascii="Calibri" w:hAnsi="Calibri"/>
                <w:sz w:val="18"/>
                <w:szCs w:val="18"/>
                <w:lang w:val="en-GB"/>
              </w:rPr>
              <w:sym w:font="Symbol" w:char="F0B1"/>
            </w:r>
            <w:r w:rsidRPr="00800B07">
              <w:rPr>
                <w:sz w:val="18"/>
                <w:szCs w:val="18"/>
              </w:rPr>
              <w:t>0</w:t>
            </w:r>
            <w:r>
              <w:rPr>
                <w:sz w:val="18"/>
                <w:szCs w:val="18"/>
              </w:rPr>
              <w:t>.</w:t>
            </w:r>
            <w:r w:rsidRPr="00800B07">
              <w:rPr>
                <w:sz w:val="18"/>
                <w:szCs w:val="18"/>
              </w:rPr>
              <w:t>1</w:t>
            </w:r>
            <w:r w:rsidRPr="00800B07">
              <w:rPr>
                <w:sz w:val="18"/>
                <w:szCs w:val="18"/>
              </w:rPr>
              <w:tab/>
            </w:r>
          </w:p>
          <w:p w14:paraId="4DAE001C" w14:textId="77777777" w:rsidR="0057187E" w:rsidRPr="00800B07" w:rsidRDefault="0057187E" w:rsidP="0057187E">
            <w:pPr>
              <w:rPr>
                <w:b/>
                <w:bCs/>
                <w:sz w:val="18"/>
                <w:szCs w:val="18"/>
              </w:rPr>
            </w:pPr>
            <w:r w:rsidRPr="00800B07">
              <w:rPr>
                <w:sz w:val="18"/>
                <w:szCs w:val="18"/>
              </w:rPr>
              <w:t>5</w:t>
            </w:r>
            <w:r>
              <w:rPr>
                <w:sz w:val="18"/>
                <w:szCs w:val="18"/>
              </w:rPr>
              <w:t>.</w:t>
            </w:r>
            <w:r w:rsidRPr="00800B07">
              <w:rPr>
                <w:sz w:val="18"/>
                <w:szCs w:val="18"/>
              </w:rPr>
              <w:t>9</w:t>
            </w:r>
            <w:r w:rsidRPr="00800B07">
              <w:rPr>
                <w:rFonts w:ascii="Calibri" w:hAnsi="Calibri"/>
                <w:sz w:val="18"/>
                <w:szCs w:val="18"/>
                <w:lang w:val="en-GB"/>
              </w:rPr>
              <w:sym w:font="Symbol" w:char="F0B1"/>
            </w:r>
            <w:r w:rsidRPr="00800B07">
              <w:rPr>
                <w:sz w:val="18"/>
                <w:szCs w:val="18"/>
              </w:rPr>
              <w:t>0</w:t>
            </w:r>
            <w:r>
              <w:rPr>
                <w:sz w:val="18"/>
                <w:szCs w:val="18"/>
              </w:rPr>
              <w:t>.</w:t>
            </w:r>
            <w:r w:rsidRPr="00800B07">
              <w:rPr>
                <w:sz w:val="18"/>
                <w:szCs w:val="18"/>
              </w:rPr>
              <w:t>9</w:t>
            </w:r>
          </w:p>
        </w:tc>
        <w:tc>
          <w:tcPr>
            <w:tcW w:w="990" w:type="pct"/>
            <w:tcBorders>
              <w:left w:val="single" w:sz="4" w:space="0" w:color="auto"/>
            </w:tcBorders>
            <w:shd w:val="clear" w:color="auto" w:fill="auto"/>
          </w:tcPr>
          <w:p w14:paraId="27471B99" w14:textId="77777777" w:rsidR="0057187E" w:rsidRPr="00800B07" w:rsidRDefault="0057187E" w:rsidP="0057187E">
            <w:pPr>
              <w:rPr>
                <w:sz w:val="18"/>
                <w:szCs w:val="18"/>
                <w:lang w:val="fr-BE"/>
              </w:rPr>
            </w:pPr>
          </w:p>
          <w:p w14:paraId="6DFA85DC" w14:textId="77777777" w:rsidR="0057187E" w:rsidRPr="00800B07" w:rsidRDefault="0057187E" w:rsidP="0057187E">
            <w:pPr>
              <w:rPr>
                <w:sz w:val="18"/>
                <w:szCs w:val="18"/>
                <w:lang w:val="fr-BE"/>
              </w:rPr>
            </w:pPr>
            <w:r w:rsidRPr="00800B07">
              <w:rPr>
                <w:sz w:val="18"/>
                <w:szCs w:val="18"/>
                <w:lang w:val="fr-BE"/>
              </w:rPr>
              <w:t>5</w:t>
            </w:r>
            <w:r>
              <w:rPr>
                <w:sz w:val="18"/>
                <w:szCs w:val="18"/>
                <w:lang w:val="fr-BE"/>
              </w:rPr>
              <w:t>.</w:t>
            </w:r>
            <w:r w:rsidRPr="00800B07">
              <w:rPr>
                <w:sz w:val="18"/>
                <w:szCs w:val="18"/>
                <w:lang w:val="fr-BE"/>
              </w:rPr>
              <w:t>0 (5</w:t>
            </w:r>
            <w:r>
              <w:rPr>
                <w:sz w:val="18"/>
                <w:szCs w:val="18"/>
                <w:lang w:val="fr-BE"/>
              </w:rPr>
              <w:t>.</w:t>
            </w:r>
            <w:r w:rsidRPr="00800B07">
              <w:rPr>
                <w:sz w:val="18"/>
                <w:szCs w:val="18"/>
                <w:lang w:val="fr-BE"/>
              </w:rPr>
              <w:t>0-5</w:t>
            </w:r>
            <w:r>
              <w:rPr>
                <w:sz w:val="18"/>
                <w:szCs w:val="18"/>
                <w:lang w:val="fr-BE"/>
              </w:rPr>
              <w:t>.</w:t>
            </w:r>
            <w:r w:rsidRPr="00800B07">
              <w:rPr>
                <w:sz w:val="18"/>
                <w:szCs w:val="18"/>
                <w:lang w:val="fr-BE"/>
              </w:rPr>
              <w:t>0)</w:t>
            </w:r>
          </w:p>
          <w:p w14:paraId="3EEE3B7D" w14:textId="77777777" w:rsidR="0057187E" w:rsidRPr="00800B07" w:rsidRDefault="0057187E" w:rsidP="0057187E">
            <w:pPr>
              <w:rPr>
                <w:sz w:val="18"/>
                <w:szCs w:val="18"/>
                <w:lang w:val="fr-BE"/>
              </w:rPr>
            </w:pPr>
            <w:r w:rsidRPr="00800B07">
              <w:rPr>
                <w:sz w:val="18"/>
                <w:szCs w:val="18"/>
                <w:lang w:val="fr-BE"/>
              </w:rPr>
              <w:t>5</w:t>
            </w:r>
            <w:r>
              <w:rPr>
                <w:sz w:val="18"/>
                <w:szCs w:val="18"/>
                <w:lang w:val="fr-BE"/>
              </w:rPr>
              <w:t>.</w:t>
            </w:r>
            <w:r w:rsidRPr="00800B07">
              <w:rPr>
                <w:sz w:val="18"/>
                <w:szCs w:val="18"/>
                <w:lang w:val="fr-BE"/>
              </w:rPr>
              <w:t>9 (5</w:t>
            </w:r>
            <w:r>
              <w:rPr>
                <w:sz w:val="18"/>
                <w:szCs w:val="18"/>
                <w:lang w:val="fr-BE"/>
              </w:rPr>
              <w:t>.</w:t>
            </w:r>
            <w:r w:rsidRPr="00800B07">
              <w:rPr>
                <w:sz w:val="18"/>
                <w:szCs w:val="18"/>
                <w:lang w:val="fr-BE"/>
              </w:rPr>
              <w:t>0-5</w:t>
            </w:r>
            <w:r>
              <w:rPr>
                <w:sz w:val="18"/>
                <w:szCs w:val="18"/>
                <w:lang w:val="fr-BE"/>
              </w:rPr>
              <w:t>.</w:t>
            </w:r>
            <w:r w:rsidRPr="00800B07">
              <w:rPr>
                <w:sz w:val="18"/>
                <w:szCs w:val="18"/>
                <w:lang w:val="fr-BE"/>
              </w:rPr>
              <w:t>9)</w:t>
            </w:r>
          </w:p>
        </w:tc>
        <w:tc>
          <w:tcPr>
            <w:tcW w:w="990" w:type="pct"/>
            <w:shd w:val="clear" w:color="auto" w:fill="auto"/>
          </w:tcPr>
          <w:p w14:paraId="546CF9E8" w14:textId="77777777" w:rsidR="0057187E" w:rsidRPr="00800B07" w:rsidRDefault="0057187E" w:rsidP="0057187E">
            <w:pPr>
              <w:jc w:val="center"/>
              <w:rPr>
                <w:sz w:val="18"/>
                <w:szCs w:val="18"/>
              </w:rPr>
            </w:pPr>
          </w:p>
          <w:p w14:paraId="73BC2EC4" w14:textId="77777777" w:rsidR="0057187E" w:rsidRPr="00800B07" w:rsidRDefault="0057187E" w:rsidP="0057187E">
            <w:pPr>
              <w:jc w:val="center"/>
              <w:rPr>
                <w:sz w:val="18"/>
                <w:szCs w:val="18"/>
                <w:lang w:val="fr-BE"/>
              </w:rPr>
            </w:pPr>
            <w:r w:rsidRPr="00800B07">
              <w:rPr>
                <w:sz w:val="18"/>
                <w:szCs w:val="18"/>
                <w:lang w:val="en-GB"/>
              </w:rPr>
              <w:t>&lt;</w:t>
            </w:r>
            <w:r>
              <w:rPr>
                <w:sz w:val="18"/>
                <w:szCs w:val="18"/>
                <w:lang w:val="en-GB"/>
              </w:rPr>
              <w:t>0.0001</w:t>
            </w:r>
          </w:p>
        </w:tc>
      </w:tr>
    </w:tbl>
    <w:p w14:paraId="613D14F1" w14:textId="77777777" w:rsidR="0057187E" w:rsidRPr="00800B07" w:rsidRDefault="0057187E" w:rsidP="0057187E">
      <w:pPr>
        <w:rPr>
          <w:u w:val="single"/>
          <w:lang w:val="en-GB"/>
        </w:rPr>
      </w:pPr>
    </w:p>
    <w:p w14:paraId="4BF0E2E5" w14:textId="17D489CC" w:rsidR="00A837DE" w:rsidRDefault="001B324E" w:rsidP="00CC6FA2">
      <w:pPr>
        <w:pStyle w:val="Kop3"/>
        <w:numPr>
          <w:ilvl w:val="1"/>
          <w:numId w:val="9"/>
        </w:numPr>
        <w:spacing w:line="480" w:lineRule="auto"/>
        <w:rPr>
          <w:lang w:val="en-GB"/>
        </w:rPr>
      </w:pPr>
      <w:bookmarkStart w:id="110" w:name="_Toc68163872"/>
      <w:bookmarkStart w:id="111" w:name="_Toc68333383"/>
      <w:bookmarkStart w:id="112" w:name="_Toc68704057"/>
      <w:bookmarkStart w:id="113" w:name="_Toc70154220"/>
      <w:bookmarkStart w:id="114" w:name="_Toc70238571"/>
      <w:r>
        <w:rPr>
          <w:lang w:val="en-GB"/>
        </w:rPr>
        <w:t>Post-treatment</w:t>
      </w:r>
      <w:r w:rsidR="00F64B74">
        <w:rPr>
          <w:lang w:val="en-GB"/>
        </w:rPr>
        <w:t xml:space="preserve"> </w:t>
      </w:r>
      <w:r w:rsidR="00595C51">
        <w:rPr>
          <w:lang w:val="en-GB"/>
        </w:rPr>
        <w:t>rate</w:t>
      </w:r>
      <w:bookmarkEnd w:id="110"/>
      <w:bookmarkEnd w:id="111"/>
      <w:bookmarkEnd w:id="112"/>
      <w:bookmarkEnd w:id="113"/>
      <w:bookmarkEnd w:id="114"/>
      <w:r w:rsidR="0057187E">
        <w:rPr>
          <w:lang w:val="en-GB"/>
        </w:rPr>
        <w:t>s</w:t>
      </w:r>
    </w:p>
    <w:p w14:paraId="1AE659B8" w14:textId="07368922" w:rsidR="001B324E" w:rsidRDefault="001B324E" w:rsidP="00CC6FA2">
      <w:pPr>
        <w:pStyle w:val="Kop4"/>
        <w:numPr>
          <w:ilvl w:val="2"/>
          <w:numId w:val="9"/>
        </w:numPr>
        <w:spacing w:line="480" w:lineRule="auto"/>
        <w:rPr>
          <w:lang w:val="en-GB"/>
        </w:rPr>
      </w:pPr>
      <w:r>
        <w:rPr>
          <w:lang w:val="en-GB"/>
        </w:rPr>
        <w:t xml:space="preserve">Post-treatment symptomatic renal colic </w:t>
      </w:r>
      <w:r w:rsidR="00595C51">
        <w:rPr>
          <w:lang w:val="en-GB"/>
        </w:rPr>
        <w:t>rate</w:t>
      </w:r>
    </w:p>
    <w:p w14:paraId="120CB64C" w14:textId="615AA45F" w:rsidR="001B324E" w:rsidRDefault="001B324E" w:rsidP="005769F3">
      <w:pPr>
        <w:spacing w:line="480" w:lineRule="auto"/>
        <w:jc w:val="both"/>
        <w:rPr>
          <w:lang w:val="en-GB"/>
        </w:rPr>
      </w:pPr>
      <w:r>
        <w:rPr>
          <w:lang w:val="en-GB"/>
        </w:rPr>
        <w:t xml:space="preserve">To be able to compare the pre- and posttreatment symptomatic renal colic </w:t>
      </w:r>
      <w:r w:rsidR="007D797A">
        <w:rPr>
          <w:lang w:val="en-GB"/>
        </w:rPr>
        <w:t>rat</w:t>
      </w:r>
      <w:r w:rsidR="005A10B2">
        <w:rPr>
          <w:lang w:val="en-GB"/>
        </w:rPr>
        <w:t>e</w:t>
      </w:r>
      <w:r>
        <w:rPr>
          <w:lang w:val="en-GB"/>
        </w:rPr>
        <w:t xml:space="preserve">, only patients with more than 12 months of clinical follow-up were taken into account, excluding those with nephrocalcinosis. </w:t>
      </w:r>
    </w:p>
    <w:p w14:paraId="14CD2E9D" w14:textId="7F1A6FA6" w:rsidR="0006627B" w:rsidRPr="00966AAB" w:rsidRDefault="001B324E" w:rsidP="005769F3">
      <w:pPr>
        <w:spacing w:line="480" w:lineRule="auto"/>
        <w:jc w:val="both"/>
        <w:rPr>
          <w:lang w:val="en-GB"/>
        </w:rPr>
      </w:pPr>
      <w:r w:rsidRPr="000C3DA1">
        <w:rPr>
          <w:lang w:val="en-GB"/>
        </w:rPr>
        <w:t xml:space="preserve">Table </w:t>
      </w:r>
      <w:r w:rsidR="00DD0388" w:rsidRPr="000C3DA1">
        <w:rPr>
          <w:lang w:val="en-GB"/>
        </w:rPr>
        <w:t>1</w:t>
      </w:r>
      <w:r w:rsidR="00BB713E">
        <w:rPr>
          <w:lang w:val="en-GB"/>
        </w:rPr>
        <w:t>2</w:t>
      </w:r>
      <w:r w:rsidRPr="000C3DA1">
        <w:rPr>
          <w:lang w:val="en-GB"/>
        </w:rPr>
        <w:t xml:space="preserve"> shows that 25</w:t>
      </w:r>
      <w:r w:rsidR="00BD5A09" w:rsidRPr="000C3DA1">
        <w:rPr>
          <w:lang w:val="en-GB"/>
        </w:rPr>
        <w:t>6</w:t>
      </w:r>
      <w:r w:rsidRPr="000C3DA1">
        <w:rPr>
          <w:lang w:val="en-GB"/>
        </w:rPr>
        <w:t xml:space="preserve"> patients met those criteria (16</w:t>
      </w:r>
      <w:r w:rsidR="00BD5A09" w:rsidRPr="000C3DA1">
        <w:rPr>
          <w:lang w:val="en-GB"/>
        </w:rPr>
        <w:t>2</w:t>
      </w:r>
      <w:r w:rsidRPr="000C3DA1">
        <w:rPr>
          <w:lang w:val="en-GB"/>
        </w:rPr>
        <w:t xml:space="preserve"> men; 94 women), with a </w:t>
      </w:r>
      <w:r w:rsidR="00B41AC0" w:rsidRPr="000C3DA1">
        <w:rPr>
          <w:lang w:val="en-GB"/>
        </w:rPr>
        <w:t>median</w:t>
      </w:r>
      <w:r w:rsidRPr="000C3DA1">
        <w:rPr>
          <w:lang w:val="en-GB"/>
        </w:rPr>
        <w:t xml:space="preserve"> follow-up period of </w:t>
      </w:r>
      <w:r w:rsidR="00B41AC0" w:rsidRPr="000C3DA1">
        <w:rPr>
          <w:lang w:val="en-GB"/>
        </w:rPr>
        <w:t>2</w:t>
      </w:r>
      <w:r w:rsidR="00F620E5">
        <w:rPr>
          <w:lang w:val="en-GB"/>
        </w:rPr>
        <w:t>.</w:t>
      </w:r>
      <w:r w:rsidR="00B41AC0" w:rsidRPr="000C3DA1">
        <w:rPr>
          <w:lang w:val="en-GB"/>
        </w:rPr>
        <w:t>9 years (1</w:t>
      </w:r>
      <w:r w:rsidR="00F620E5">
        <w:rPr>
          <w:lang w:val="en-GB"/>
        </w:rPr>
        <w:t>.</w:t>
      </w:r>
      <w:r w:rsidR="00DC7FE7">
        <w:rPr>
          <w:lang w:val="en-GB"/>
        </w:rPr>
        <w:t>6</w:t>
      </w:r>
      <w:r w:rsidR="00B41AC0" w:rsidRPr="000C3DA1">
        <w:rPr>
          <w:lang w:val="en-GB"/>
        </w:rPr>
        <w:t>-5</w:t>
      </w:r>
      <w:r w:rsidR="00F620E5">
        <w:rPr>
          <w:lang w:val="en-GB"/>
        </w:rPr>
        <w:t>.</w:t>
      </w:r>
      <w:r w:rsidR="00DC7FE7">
        <w:rPr>
          <w:lang w:val="en-GB"/>
        </w:rPr>
        <w:t>4</w:t>
      </w:r>
      <w:r w:rsidR="00B41AC0" w:rsidRPr="000C3DA1">
        <w:rPr>
          <w:lang w:val="en-GB"/>
        </w:rPr>
        <w:t>).</w:t>
      </w:r>
      <w:r w:rsidR="00BD5A09" w:rsidRPr="000C3DA1">
        <w:rPr>
          <w:lang w:val="en-GB"/>
        </w:rPr>
        <w:t xml:space="preserve"> </w:t>
      </w:r>
      <w:r w:rsidRPr="000C3DA1">
        <w:rPr>
          <w:lang w:val="en-GB"/>
        </w:rPr>
        <w:t xml:space="preserve">The </w:t>
      </w:r>
      <w:r w:rsidR="00BD5A09" w:rsidRPr="000C3DA1">
        <w:rPr>
          <w:lang w:val="en-GB"/>
        </w:rPr>
        <w:t xml:space="preserve">mean </w:t>
      </w:r>
      <w:r w:rsidRPr="000C3DA1">
        <w:rPr>
          <w:lang w:val="en-GB"/>
        </w:rPr>
        <w:t>pre-t</w:t>
      </w:r>
      <w:r w:rsidR="00AE2419" w:rsidRPr="000C3DA1">
        <w:rPr>
          <w:lang w:val="en-GB"/>
        </w:rPr>
        <w:t>reatment</w:t>
      </w:r>
      <w:r w:rsidRPr="000C3DA1">
        <w:rPr>
          <w:lang w:val="en-GB"/>
        </w:rPr>
        <w:t xml:space="preserve"> symptomatic renal colic rat</w:t>
      </w:r>
      <w:r w:rsidR="005A10B2" w:rsidRPr="000C3DA1">
        <w:rPr>
          <w:lang w:val="en-GB"/>
        </w:rPr>
        <w:t>e</w:t>
      </w:r>
      <w:r w:rsidRPr="000C3DA1">
        <w:rPr>
          <w:lang w:val="en-GB"/>
        </w:rPr>
        <w:t xml:space="preserve"> </w:t>
      </w:r>
      <w:r w:rsidR="0091408E" w:rsidRPr="000C3DA1">
        <w:rPr>
          <w:lang w:val="en-GB"/>
        </w:rPr>
        <w:t>in thos</w:t>
      </w:r>
      <w:r w:rsidR="00A13CE9" w:rsidRPr="000C3DA1">
        <w:rPr>
          <w:lang w:val="en-GB"/>
        </w:rPr>
        <w:t>e</w:t>
      </w:r>
      <w:r w:rsidR="0091408E" w:rsidRPr="000C3DA1">
        <w:rPr>
          <w:lang w:val="en-GB"/>
        </w:rPr>
        <w:t xml:space="preserve"> patients </w:t>
      </w:r>
      <w:r w:rsidRPr="000C3DA1">
        <w:rPr>
          <w:lang w:val="en-GB"/>
        </w:rPr>
        <w:t xml:space="preserve">was </w:t>
      </w:r>
      <w:r w:rsidR="00257BEC">
        <w:rPr>
          <w:lang w:val="en-GB"/>
        </w:rPr>
        <w:t>0</w:t>
      </w:r>
      <w:r w:rsidR="00F620E5">
        <w:rPr>
          <w:lang w:val="en-GB"/>
        </w:rPr>
        <w:t>.</w:t>
      </w:r>
      <w:r w:rsidR="00257BEC">
        <w:rPr>
          <w:lang w:val="en-GB"/>
        </w:rPr>
        <w:t>4</w:t>
      </w:r>
      <w:r w:rsidR="00364D35" w:rsidRPr="000C3DA1">
        <w:rPr>
          <w:lang w:val="en-GB"/>
        </w:rPr>
        <w:t>±</w:t>
      </w:r>
      <w:r w:rsidR="00257BEC">
        <w:rPr>
          <w:lang w:val="en-GB"/>
        </w:rPr>
        <w:t>1</w:t>
      </w:r>
      <w:r w:rsidR="00F620E5">
        <w:rPr>
          <w:lang w:val="en-GB"/>
        </w:rPr>
        <w:t>.</w:t>
      </w:r>
      <w:r w:rsidR="00257BEC">
        <w:rPr>
          <w:lang w:val="en-GB"/>
        </w:rPr>
        <w:t>1</w:t>
      </w:r>
      <w:r w:rsidR="00364D35" w:rsidRPr="000C3DA1">
        <w:rPr>
          <w:lang w:val="en-GB"/>
        </w:rPr>
        <w:t xml:space="preserve"> per year</w:t>
      </w:r>
      <w:r w:rsidR="00E54DB6">
        <w:rPr>
          <w:lang w:val="en-GB"/>
        </w:rPr>
        <w:t xml:space="preserve"> and the median </w:t>
      </w:r>
      <w:r w:rsidR="00E54DB6" w:rsidRPr="00E54DB6">
        <w:rPr>
          <w:lang w:val="en-GB"/>
        </w:rPr>
        <w:t>0</w:t>
      </w:r>
      <w:r w:rsidR="00F620E5">
        <w:rPr>
          <w:lang w:val="en-GB"/>
        </w:rPr>
        <w:t>.</w:t>
      </w:r>
      <w:r w:rsidR="00E54DB6" w:rsidRPr="00E54DB6">
        <w:rPr>
          <w:lang w:val="en-GB"/>
        </w:rPr>
        <w:t>1 (0</w:t>
      </w:r>
      <w:r w:rsidR="00F620E5">
        <w:rPr>
          <w:lang w:val="en-GB"/>
        </w:rPr>
        <w:t>.</w:t>
      </w:r>
      <w:r w:rsidR="00E54DB6" w:rsidRPr="00E54DB6">
        <w:rPr>
          <w:lang w:val="en-GB"/>
        </w:rPr>
        <w:t>0-0</w:t>
      </w:r>
      <w:r w:rsidR="00F620E5">
        <w:rPr>
          <w:lang w:val="en-GB"/>
        </w:rPr>
        <w:t>.</w:t>
      </w:r>
      <w:r w:rsidR="00E54DB6" w:rsidRPr="00E54DB6">
        <w:rPr>
          <w:lang w:val="en-GB"/>
        </w:rPr>
        <w:t>4)</w:t>
      </w:r>
      <w:r w:rsidR="00E54DB6">
        <w:rPr>
          <w:lang w:val="en-GB"/>
        </w:rPr>
        <w:t xml:space="preserve"> per year</w:t>
      </w:r>
      <w:r w:rsidR="00E54DB6" w:rsidRPr="00E54DB6">
        <w:rPr>
          <w:lang w:val="en-GB"/>
        </w:rPr>
        <w:t xml:space="preserve"> </w:t>
      </w:r>
      <w:r w:rsidR="00395C41" w:rsidRPr="000C3DA1">
        <w:rPr>
          <w:lang w:val="en-GB"/>
        </w:rPr>
        <w:t>.</w:t>
      </w:r>
      <w:r w:rsidRPr="000C3DA1">
        <w:rPr>
          <w:lang w:val="en-GB"/>
        </w:rPr>
        <w:t xml:space="preserve"> The mean post-t</w:t>
      </w:r>
      <w:r w:rsidR="00926933" w:rsidRPr="000C3DA1">
        <w:rPr>
          <w:lang w:val="en-GB"/>
        </w:rPr>
        <w:t>reatment</w:t>
      </w:r>
      <w:r w:rsidRPr="000C3DA1">
        <w:rPr>
          <w:lang w:val="en-GB"/>
        </w:rPr>
        <w:t xml:space="preserve"> symptomatic renal colic rat</w:t>
      </w:r>
      <w:r w:rsidR="005A10B2" w:rsidRPr="000C3DA1">
        <w:rPr>
          <w:lang w:val="en-GB"/>
        </w:rPr>
        <w:t>e</w:t>
      </w:r>
      <w:r w:rsidRPr="000C3DA1">
        <w:rPr>
          <w:lang w:val="en-GB"/>
        </w:rPr>
        <w:t xml:space="preserve"> was 0</w:t>
      </w:r>
      <w:r w:rsidR="00F620E5">
        <w:rPr>
          <w:lang w:val="en-GB"/>
        </w:rPr>
        <w:t>.</w:t>
      </w:r>
      <w:r w:rsidR="00BD5A09" w:rsidRPr="000C3DA1">
        <w:rPr>
          <w:lang w:val="en-GB"/>
        </w:rPr>
        <w:t>2</w:t>
      </w:r>
      <w:r w:rsidRPr="000C3DA1">
        <w:rPr>
          <w:lang w:val="en-GB"/>
        </w:rPr>
        <w:t>±0</w:t>
      </w:r>
      <w:r w:rsidR="00F620E5">
        <w:rPr>
          <w:lang w:val="en-GB"/>
        </w:rPr>
        <w:t>.</w:t>
      </w:r>
      <w:r w:rsidRPr="000C3DA1">
        <w:rPr>
          <w:lang w:val="en-GB"/>
        </w:rPr>
        <w:t>3 per year</w:t>
      </w:r>
      <w:r w:rsidR="00F06883">
        <w:rPr>
          <w:lang w:val="en-GB"/>
        </w:rPr>
        <w:t xml:space="preserve"> </w:t>
      </w:r>
      <w:r w:rsidR="00E54DB6" w:rsidRPr="00E54DB6">
        <w:rPr>
          <w:lang w:val="en-GB"/>
        </w:rPr>
        <w:t>and the median 0</w:t>
      </w:r>
      <w:r w:rsidR="00F620E5">
        <w:rPr>
          <w:lang w:val="en-GB"/>
        </w:rPr>
        <w:t>.</w:t>
      </w:r>
      <w:r w:rsidR="00E54DB6" w:rsidRPr="00E54DB6">
        <w:rPr>
          <w:lang w:val="en-GB"/>
        </w:rPr>
        <w:t>0 (0</w:t>
      </w:r>
      <w:r w:rsidR="00F620E5">
        <w:rPr>
          <w:lang w:val="en-GB"/>
        </w:rPr>
        <w:t>.</w:t>
      </w:r>
      <w:r w:rsidR="00E54DB6" w:rsidRPr="00E54DB6">
        <w:rPr>
          <w:lang w:val="en-GB"/>
        </w:rPr>
        <w:t>0-</w:t>
      </w:r>
      <w:r w:rsidR="00F620E5">
        <w:rPr>
          <w:lang w:val="en-GB"/>
        </w:rPr>
        <w:t>0.</w:t>
      </w:r>
      <w:r w:rsidR="00E54DB6" w:rsidRPr="00E54DB6">
        <w:rPr>
          <w:lang w:val="en-GB"/>
        </w:rPr>
        <w:t>1)</w:t>
      </w:r>
      <w:r w:rsidR="00E54DB6">
        <w:rPr>
          <w:lang w:val="en-GB"/>
        </w:rPr>
        <w:t xml:space="preserve"> per year</w:t>
      </w:r>
      <w:r w:rsidR="00E54DB6" w:rsidRPr="00E54DB6">
        <w:rPr>
          <w:lang w:val="en-GB"/>
        </w:rPr>
        <w:t>.</w:t>
      </w:r>
      <w:r w:rsidR="00E54DB6" w:rsidRPr="00E54DB6">
        <w:rPr>
          <w:i/>
          <w:iCs/>
          <w:lang w:val="en-GB"/>
        </w:rPr>
        <w:t xml:space="preserve"> </w:t>
      </w:r>
      <w:r w:rsidR="00E54DB6" w:rsidRPr="00E54DB6">
        <w:rPr>
          <w:lang w:val="en-GB"/>
        </w:rPr>
        <w:t>The Wilcoxon rank test showed a significant reduction (</w:t>
      </w:r>
      <w:r w:rsidR="00B776D3" w:rsidRPr="00B776D3">
        <w:rPr>
          <w:rFonts w:cstheme="minorHAnsi"/>
          <w:i/>
          <w:iCs/>
          <w:lang w:val="en-GB"/>
        </w:rPr>
        <w:t>P</w:t>
      </w:r>
      <w:r w:rsidR="00D42CE0" w:rsidRPr="00D325FB">
        <w:rPr>
          <w:lang w:val="en-GB"/>
        </w:rPr>
        <w:t>&lt;</w:t>
      </w:r>
      <w:r w:rsidR="00D42CE0">
        <w:rPr>
          <w:rFonts w:cstheme="minorHAnsi"/>
          <w:lang w:val="en-GB"/>
        </w:rPr>
        <w:t>0</w:t>
      </w:r>
      <w:r w:rsidR="00E57E62">
        <w:rPr>
          <w:rFonts w:cstheme="minorHAnsi"/>
          <w:lang w:val="en-GB"/>
        </w:rPr>
        <w:t>.</w:t>
      </w:r>
      <w:r w:rsidR="00D42CE0">
        <w:rPr>
          <w:rFonts w:cstheme="minorHAnsi"/>
          <w:lang w:val="en-GB"/>
        </w:rPr>
        <w:t>0001</w:t>
      </w:r>
      <w:r w:rsidR="00E54DB6" w:rsidRPr="00E54DB6">
        <w:rPr>
          <w:lang w:val="en-GB"/>
        </w:rPr>
        <w:t>)</w:t>
      </w:r>
      <w:r w:rsidR="00E54DB6" w:rsidRPr="00E54DB6">
        <w:rPr>
          <w:i/>
          <w:iCs/>
          <w:lang w:val="en-GB"/>
        </w:rPr>
        <w:t>.</w:t>
      </w:r>
      <w:r w:rsidR="00E54DB6" w:rsidRPr="00E54DB6">
        <w:rPr>
          <w:lang w:val="en-GB"/>
        </w:rPr>
        <w:t xml:space="preserve">  </w:t>
      </w:r>
      <w:r w:rsidR="00E54DB6" w:rsidRPr="00E54DB6">
        <w:rPr>
          <w:i/>
          <w:iCs/>
          <w:lang w:val="en-GB"/>
        </w:rPr>
        <w:t xml:space="preserve"> </w:t>
      </w:r>
    </w:p>
    <w:p w14:paraId="78E41AF4" w14:textId="76AB37CC" w:rsidR="00520238" w:rsidRPr="00520238" w:rsidRDefault="001B324E" w:rsidP="00CC6FA2">
      <w:pPr>
        <w:pStyle w:val="Kop4"/>
        <w:numPr>
          <w:ilvl w:val="2"/>
          <w:numId w:val="9"/>
        </w:numPr>
        <w:spacing w:line="480" w:lineRule="auto"/>
        <w:rPr>
          <w:lang w:val="en-GB"/>
        </w:rPr>
      </w:pPr>
      <w:r>
        <w:rPr>
          <w:lang w:val="en-GB"/>
        </w:rPr>
        <w:lastRenderedPageBreak/>
        <w:t xml:space="preserve">Post-treatment stone formation </w:t>
      </w:r>
      <w:r w:rsidR="00595C51">
        <w:rPr>
          <w:lang w:val="en-GB"/>
        </w:rPr>
        <w:t xml:space="preserve">rate </w:t>
      </w:r>
    </w:p>
    <w:p w14:paraId="08A20E3E" w14:textId="7ED88DED" w:rsidR="001B324E" w:rsidRDefault="001B324E" w:rsidP="005769F3">
      <w:pPr>
        <w:spacing w:line="480" w:lineRule="auto"/>
        <w:jc w:val="both"/>
        <w:rPr>
          <w:lang w:val="en-GB"/>
        </w:rPr>
      </w:pPr>
      <w:r>
        <w:rPr>
          <w:lang w:val="en-GB"/>
        </w:rPr>
        <w:t>Stone formation rat</w:t>
      </w:r>
      <w:r w:rsidR="00762922">
        <w:rPr>
          <w:lang w:val="en-GB"/>
        </w:rPr>
        <w:t>e</w:t>
      </w:r>
      <w:r>
        <w:rPr>
          <w:lang w:val="en-GB"/>
        </w:rPr>
        <w:t xml:space="preserve">s were calculated for patients who had </w:t>
      </w:r>
      <w:r w:rsidRPr="00595C7F">
        <w:rPr>
          <w:lang w:val="en-GB"/>
        </w:rPr>
        <w:t xml:space="preserve">more than 12 months of clinical </w:t>
      </w:r>
      <w:r>
        <w:rPr>
          <w:lang w:val="en-GB"/>
        </w:rPr>
        <w:t xml:space="preserve">and medical imaging </w:t>
      </w:r>
      <w:r w:rsidRPr="00595C7F">
        <w:rPr>
          <w:lang w:val="en-GB"/>
        </w:rPr>
        <w:t>follow-up, excluding those with nephrocalcinosis.</w:t>
      </w:r>
      <w:r>
        <w:rPr>
          <w:lang w:val="en-GB"/>
        </w:rPr>
        <w:t xml:space="preserve"> Only </w:t>
      </w:r>
      <w:r w:rsidRPr="004B1BFC">
        <w:rPr>
          <w:lang w:val="en-GB"/>
        </w:rPr>
        <w:t>the consultations up to the last medical imaging performed were taken into account.</w:t>
      </w:r>
      <w:r w:rsidR="00447FE0">
        <w:rPr>
          <w:lang w:val="en-GB"/>
        </w:rPr>
        <w:t xml:space="preserve"> </w:t>
      </w:r>
    </w:p>
    <w:p w14:paraId="015F1A78" w14:textId="323077A6" w:rsidR="00FB429B" w:rsidRDefault="00D5288D" w:rsidP="005769F3">
      <w:pPr>
        <w:spacing w:line="480" w:lineRule="auto"/>
        <w:jc w:val="both"/>
        <w:rPr>
          <w:lang w:val="en-GB"/>
        </w:rPr>
      </w:pPr>
      <w:r>
        <w:rPr>
          <w:lang w:val="en-GB"/>
        </w:rPr>
        <w:t>In t</w:t>
      </w:r>
      <w:r w:rsidR="00CA22FD">
        <w:rPr>
          <w:lang w:val="en-GB"/>
        </w:rPr>
        <w:t xml:space="preserve">able </w:t>
      </w:r>
      <w:r w:rsidR="00DD0388">
        <w:rPr>
          <w:lang w:val="en-GB"/>
        </w:rPr>
        <w:t>1</w:t>
      </w:r>
      <w:r w:rsidR="00BB713E">
        <w:rPr>
          <w:lang w:val="en-GB"/>
        </w:rPr>
        <w:t>2</w:t>
      </w:r>
      <w:r w:rsidR="00CA22FD">
        <w:rPr>
          <w:lang w:val="en-GB"/>
        </w:rPr>
        <w:t xml:space="preserve">, </w:t>
      </w:r>
      <w:r>
        <w:rPr>
          <w:lang w:val="en-GB"/>
        </w:rPr>
        <w:t>t</w:t>
      </w:r>
      <w:r w:rsidRPr="00D5288D">
        <w:rPr>
          <w:lang w:val="en-GB"/>
        </w:rPr>
        <w:t>he actual pre-treatment interval was used</w:t>
      </w:r>
      <w:r w:rsidR="00E428B6">
        <w:rPr>
          <w:lang w:val="en-GB"/>
        </w:rPr>
        <w:t xml:space="preserve"> and </w:t>
      </w:r>
      <w:r w:rsidR="00CA22FD">
        <w:rPr>
          <w:lang w:val="en-GB"/>
        </w:rPr>
        <w:t>14</w:t>
      </w:r>
      <w:r w:rsidR="00FB429B">
        <w:rPr>
          <w:lang w:val="en-GB"/>
        </w:rPr>
        <w:t>2</w:t>
      </w:r>
      <w:r w:rsidR="00CA22FD">
        <w:rPr>
          <w:lang w:val="en-GB"/>
        </w:rPr>
        <w:t xml:space="preserve"> patients </w:t>
      </w:r>
      <w:r w:rsidR="00E428B6">
        <w:rPr>
          <w:lang w:val="en-GB"/>
        </w:rPr>
        <w:t xml:space="preserve">could be analysed </w:t>
      </w:r>
      <w:r w:rsidR="00CA22FD">
        <w:rPr>
          <w:lang w:val="en-GB"/>
        </w:rPr>
        <w:t>(8</w:t>
      </w:r>
      <w:r w:rsidR="00FB429B">
        <w:rPr>
          <w:lang w:val="en-GB"/>
        </w:rPr>
        <w:t>4</w:t>
      </w:r>
      <w:r w:rsidR="00CA22FD">
        <w:rPr>
          <w:lang w:val="en-GB"/>
        </w:rPr>
        <w:t xml:space="preserve"> men and 58 women), with a </w:t>
      </w:r>
      <w:r w:rsidR="00B41AC0">
        <w:rPr>
          <w:lang w:val="en-GB"/>
        </w:rPr>
        <w:t>median</w:t>
      </w:r>
      <w:r w:rsidR="00CA22FD">
        <w:rPr>
          <w:lang w:val="en-GB"/>
        </w:rPr>
        <w:t xml:space="preserve"> follow-up period of</w:t>
      </w:r>
      <w:r w:rsidR="00B41AC0">
        <w:rPr>
          <w:lang w:val="en-GB"/>
        </w:rPr>
        <w:t xml:space="preserve"> </w:t>
      </w:r>
      <w:r w:rsidR="00DC7FE7">
        <w:rPr>
          <w:lang w:val="en-GB"/>
        </w:rPr>
        <w:t>2</w:t>
      </w:r>
      <w:r w:rsidR="00F620E5">
        <w:rPr>
          <w:lang w:val="en-GB"/>
        </w:rPr>
        <w:t>.</w:t>
      </w:r>
      <w:r w:rsidR="00DC7FE7">
        <w:rPr>
          <w:lang w:val="en-GB"/>
        </w:rPr>
        <w:t>8</w:t>
      </w:r>
      <w:r w:rsidR="00B41AC0">
        <w:rPr>
          <w:lang w:val="en-GB"/>
        </w:rPr>
        <w:t xml:space="preserve"> (</w:t>
      </w:r>
      <w:r w:rsidR="00B41AC0" w:rsidRPr="00B41AC0">
        <w:rPr>
          <w:lang w:val="en-GB"/>
        </w:rPr>
        <w:t>1</w:t>
      </w:r>
      <w:r w:rsidR="00F620E5">
        <w:rPr>
          <w:lang w:val="en-GB"/>
        </w:rPr>
        <w:t>.</w:t>
      </w:r>
      <w:r w:rsidR="00DC7FE7">
        <w:rPr>
          <w:lang w:val="en-GB"/>
        </w:rPr>
        <w:t>6</w:t>
      </w:r>
      <w:r w:rsidR="00B41AC0">
        <w:rPr>
          <w:lang w:val="en-GB"/>
        </w:rPr>
        <w:t>-</w:t>
      </w:r>
      <w:r w:rsidR="00DC7FE7">
        <w:rPr>
          <w:lang w:val="en-GB"/>
        </w:rPr>
        <w:t>4</w:t>
      </w:r>
      <w:r w:rsidR="00F620E5">
        <w:rPr>
          <w:lang w:val="en-GB"/>
        </w:rPr>
        <w:t>.</w:t>
      </w:r>
      <w:r w:rsidR="00DC7FE7">
        <w:rPr>
          <w:lang w:val="en-GB"/>
        </w:rPr>
        <w:t>9</w:t>
      </w:r>
      <w:r w:rsidR="00B41AC0">
        <w:rPr>
          <w:lang w:val="en-GB"/>
        </w:rPr>
        <w:t>)</w:t>
      </w:r>
      <w:r w:rsidR="00F620E5">
        <w:rPr>
          <w:lang w:val="en-GB"/>
        </w:rPr>
        <w:t xml:space="preserve"> years</w:t>
      </w:r>
      <w:r w:rsidR="00B41AC0">
        <w:rPr>
          <w:lang w:val="en-GB"/>
        </w:rPr>
        <w:t xml:space="preserve">. </w:t>
      </w:r>
      <w:r w:rsidR="00AE3ABE">
        <w:rPr>
          <w:lang w:val="en-GB"/>
        </w:rPr>
        <w:t xml:space="preserve"> </w:t>
      </w:r>
      <w:r w:rsidR="00D96807" w:rsidRPr="00D325FB">
        <w:rPr>
          <w:lang w:val="en-GB"/>
        </w:rPr>
        <w:t>The mean pre-treatment stone formation rat</w:t>
      </w:r>
      <w:r w:rsidR="005A10B2" w:rsidRPr="00D325FB">
        <w:rPr>
          <w:lang w:val="en-GB"/>
        </w:rPr>
        <w:t>e</w:t>
      </w:r>
      <w:r w:rsidR="00D96807" w:rsidRPr="00D325FB">
        <w:rPr>
          <w:lang w:val="en-GB"/>
        </w:rPr>
        <w:t xml:space="preserve"> was </w:t>
      </w:r>
      <w:r w:rsidR="00E54DB6">
        <w:rPr>
          <w:lang w:val="en-GB"/>
        </w:rPr>
        <w:t>3</w:t>
      </w:r>
      <w:r w:rsidR="00F620E5">
        <w:rPr>
          <w:lang w:val="en-GB"/>
        </w:rPr>
        <w:t>.</w:t>
      </w:r>
      <w:r w:rsidR="00E54DB6">
        <w:rPr>
          <w:lang w:val="en-GB"/>
        </w:rPr>
        <w:t>7</w:t>
      </w:r>
      <w:r w:rsidR="00375901" w:rsidRPr="00D325FB">
        <w:rPr>
          <w:lang w:val="en-GB"/>
        </w:rPr>
        <w:t>±</w:t>
      </w:r>
      <w:r w:rsidR="00E54DB6">
        <w:rPr>
          <w:lang w:val="en-GB"/>
        </w:rPr>
        <w:t>13</w:t>
      </w:r>
      <w:r w:rsidR="00E57E62">
        <w:rPr>
          <w:lang w:val="en-GB"/>
        </w:rPr>
        <w:t>.</w:t>
      </w:r>
      <w:r w:rsidR="00E54DB6">
        <w:rPr>
          <w:lang w:val="en-GB"/>
        </w:rPr>
        <w:t>3</w:t>
      </w:r>
      <w:r w:rsidR="00375901" w:rsidRPr="00D325FB">
        <w:rPr>
          <w:lang w:val="en-GB"/>
        </w:rPr>
        <w:t xml:space="preserve"> per year</w:t>
      </w:r>
      <w:r w:rsidR="00E54DB6">
        <w:rPr>
          <w:lang w:val="en-GB"/>
        </w:rPr>
        <w:t xml:space="preserve"> and the median </w:t>
      </w:r>
      <w:r w:rsidR="00E54DB6" w:rsidRPr="00E54DB6">
        <w:rPr>
          <w:lang w:val="en-GB"/>
        </w:rPr>
        <w:t>0</w:t>
      </w:r>
      <w:r w:rsidR="00F620E5">
        <w:rPr>
          <w:lang w:val="en-GB"/>
        </w:rPr>
        <w:t>.</w:t>
      </w:r>
      <w:r w:rsidR="00E54DB6" w:rsidRPr="00E54DB6">
        <w:rPr>
          <w:lang w:val="en-GB"/>
        </w:rPr>
        <w:t>5 (0</w:t>
      </w:r>
      <w:r w:rsidR="00F620E5">
        <w:rPr>
          <w:lang w:val="en-GB"/>
        </w:rPr>
        <w:t>.</w:t>
      </w:r>
      <w:r w:rsidR="00E54DB6" w:rsidRPr="00E54DB6">
        <w:rPr>
          <w:lang w:val="en-GB"/>
        </w:rPr>
        <w:t>2-1</w:t>
      </w:r>
      <w:r w:rsidR="00F620E5">
        <w:rPr>
          <w:lang w:val="en-GB"/>
        </w:rPr>
        <w:t>.</w:t>
      </w:r>
      <w:r w:rsidR="00E54DB6" w:rsidRPr="00E54DB6">
        <w:rPr>
          <w:lang w:val="en-GB"/>
        </w:rPr>
        <w:t>6) per year</w:t>
      </w:r>
      <w:r w:rsidR="0003016D" w:rsidRPr="00D325FB">
        <w:rPr>
          <w:lang w:val="en-GB"/>
        </w:rPr>
        <w:t xml:space="preserve">. </w:t>
      </w:r>
      <w:r w:rsidR="00D96807" w:rsidRPr="00D325FB">
        <w:rPr>
          <w:lang w:val="en-GB"/>
        </w:rPr>
        <w:t>The mean post-t</w:t>
      </w:r>
      <w:r w:rsidR="00375901" w:rsidRPr="00D325FB">
        <w:rPr>
          <w:lang w:val="en-GB"/>
        </w:rPr>
        <w:t>reatment</w:t>
      </w:r>
      <w:r w:rsidR="00D96807" w:rsidRPr="00D325FB">
        <w:rPr>
          <w:lang w:val="en-GB"/>
        </w:rPr>
        <w:t xml:space="preserve"> </w:t>
      </w:r>
      <w:r w:rsidR="00375901" w:rsidRPr="00D325FB">
        <w:rPr>
          <w:lang w:val="en-GB"/>
        </w:rPr>
        <w:t>stone formation rat</w:t>
      </w:r>
      <w:r w:rsidR="005A10B2" w:rsidRPr="00D325FB">
        <w:rPr>
          <w:lang w:val="en-GB"/>
        </w:rPr>
        <w:t>e</w:t>
      </w:r>
      <w:r w:rsidR="00375901" w:rsidRPr="00D325FB">
        <w:rPr>
          <w:lang w:val="en-GB"/>
        </w:rPr>
        <w:t xml:space="preserve"> was </w:t>
      </w:r>
      <w:r w:rsidR="00926933" w:rsidRPr="00D325FB">
        <w:rPr>
          <w:lang w:val="en-GB"/>
        </w:rPr>
        <w:t>0</w:t>
      </w:r>
      <w:r w:rsidR="00F620E5">
        <w:rPr>
          <w:lang w:val="en-GB"/>
        </w:rPr>
        <w:t>.</w:t>
      </w:r>
      <w:r w:rsidR="00FB429B" w:rsidRPr="00D325FB">
        <w:rPr>
          <w:lang w:val="en-GB"/>
        </w:rPr>
        <w:t>8</w:t>
      </w:r>
      <w:r w:rsidR="00926933" w:rsidRPr="00D325FB">
        <w:rPr>
          <w:lang w:val="en-GB"/>
        </w:rPr>
        <w:t>±</w:t>
      </w:r>
      <w:r w:rsidR="0025042E" w:rsidRPr="00D325FB">
        <w:rPr>
          <w:lang w:val="en-GB"/>
        </w:rPr>
        <w:t>1</w:t>
      </w:r>
      <w:r w:rsidR="00F620E5">
        <w:rPr>
          <w:lang w:val="en-GB"/>
        </w:rPr>
        <w:t>.</w:t>
      </w:r>
      <w:r w:rsidR="00FB429B" w:rsidRPr="00D325FB">
        <w:rPr>
          <w:lang w:val="en-GB"/>
        </w:rPr>
        <w:t>2</w:t>
      </w:r>
      <w:r w:rsidR="00926933" w:rsidRPr="00D325FB">
        <w:rPr>
          <w:lang w:val="en-GB"/>
        </w:rPr>
        <w:t xml:space="preserve"> per year</w:t>
      </w:r>
      <w:r w:rsidR="00E54DB6">
        <w:rPr>
          <w:lang w:val="en-GB"/>
        </w:rPr>
        <w:t xml:space="preserve"> </w:t>
      </w:r>
      <w:r w:rsidR="00E54DB6" w:rsidRPr="00E54DB6">
        <w:rPr>
          <w:lang w:val="en-GB"/>
        </w:rPr>
        <w:t>and the median 0</w:t>
      </w:r>
      <w:r w:rsidR="00F620E5">
        <w:rPr>
          <w:lang w:val="en-GB"/>
        </w:rPr>
        <w:t>.</w:t>
      </w:r>
      <w:r w:rsidR="00E54DB6" w:rsidRPr="00E54DB6">
        <w:rPr>
          <w:lang w:val="en-GB"/>
        </w:rPr>
        <w:t>4 (0</w:t>
      </w:r>
      <w:r w:rsidR="00F620E5">
        <w:rPr>
          <w:lang w:val="en-GB"/>
        </w:rPr>
        <w:t>.</w:t>
      </w:r>
      <w:r w:rsidR="00E54DB6" w:rsidRPr="00E54DB6">
        <w:rPr>
          <w:lang w:val="en-GB"/>
        </w:rPr>
        <w:t>0-1</w:t>
      </w:r>
      <w:r w:rsidR="00F620E5">
        <w:rPr>
          <w:lang w:val="en-GB"/>
        </w:rPr>
        <w:t>.</w:t>
      </w:r>
      <w:r w:rsidR="00E54DB6" w:rsidRPr="00E54DB6">
        <w:rPr>
          <w:lang w:val="en-GB"/>
        </w:rPr>
        <w:t>0) per year</w:t>
      </w:r>
      <w:r w:rsidR="0003016D" w:rsidRPr="00D325FB">
        <w:rPr>
          <w:lang w:val="en-GB"/>
        </w:rPr>
        <w:t>.</w:t>
      </w:r>
      <w:r w:rsidR="00FB429B" w:rsidRPr="00D325FB">
        <w:rPr>
          <w:lang w:val="en-GB"/>
        </w:rPr>
        <w:t xml:space="preserve"> </w:t>
      </w:r>
      <w:r w:rsidR="00E54DB6" w:rsidRPr="00E54DB6">
        <w:rPr>
          <w:lang w:val="en-GB"/>
        </w:rPr>
        <w:t xml:space="preserve">Thus, a </w:t>
      </w:r>
      <w:r w:rsidR="00FB429B" w:rsidRPr="00E54DB6">
        <w:rPr>
          <w:lang w:val="en-GB"/>
        </w:rPr>
        <w:t>significant reduction could be demonstrated (</w:t>
      </w:r>
      <w:r w:rsidR="00B776D3" w:rsidRPr="00B776D3">
        <w:rPr>
          <w:rFonts w:cstheme="minorHAnsi"/>
          <w:i/>
          <w:iCs/>
          <w:lang w:val="en-GB"/>
        </w:rPr>
        <w:t>P</w:t>
      </w:r>
      <w:r w:rsidR="00D42CE0">
        <w:rPr>
          <w:lang w:val="en-GB"/>
        </w:rPr>
        <w:t>&lt;0.05</w:t>
      </w:r>
      <w:r w:rsidR="00FB429B" w:rsidRPr="00E54DB6">
        <w:rPr>
          <w:lang w:val="en-GB"/>
        </w:rPr>
        <w:t xml:space="preserve">). </w:t>
      </w:r>
    </w:p>
    <w:p w14:paraId="643647D9" w14:textId="48F17397" w:rsidR="00E428B6" w:rsidRPr="00E428B6" w:rsidRDefault="00E428B6" w:rsidP="005769F3">
      <w:pPr>
        <w:spacing w:line="480" w:lineRule="auto"/>
        <w:jc w:val="both"/>
        <w:rPr>
          <w:lang w:val="en-GB"/>
        </w:rPr>
      </w:pPr>
      <w:r w:rsidRPr="00E428B6">
        <w:rPr>
          <w:lang w:val="en-GB"/>
        </w:rPr>
        <w:t xml:space="preserve">Additional calculations where pre-treatment </w:t>
      </w:r>
      <w:r w:rsidR="007A6850">
        <w:rPr>
          <w:lang w:val="en-GB"/>
        </w:rPr>
        <w:t>rates</w:t>
      </w:r>
      <w:r w:rsidRPr="00E428B6">
        <w:rPr>
          <w:lang w:val="en-GB"/>
        </w:rPr>
        <w:t xml:space="preserve"> were adjusted are shown in Table 13.</w:t>
      </w:r>
      <w:r>
        <w:rPr>
          <w:lang w:val="en-GB"/>
        </w:rPr>
        <w:t xml:space="preserve"> If the stone formation rate is expressed over five years in patients with less than five years pre-treatment interval, the mean pre-treatment stone formation rate was </w:t>
      </w:r>
      <w:r w:rsidRPr="00E428B6">
        <w:rPr>
          <w:lang w:val="en-GB"/>
        </w:rPr>
        <w:t>0</w:t>
      </w:r>
      <w:r w:rsidR="00F620E5">
        <w:rPr>
          <w:lang w:val="en-GB"/>
        </w:rPr>
        <w:t>.</w:t>
      </w:r>
      <w:r w:rsidRPr="00E428B6">
        <w:rPr>
          <w:lang w:val="en-GB"/>
        </w:rPr>
        <w:t>7±0</w:t>
      </w:r>
      <w:r w:rsidR="00F620E5">
        <w:rPr>
          <w:lang w:val="en-GB"/>
        </w:rPr>
        <w:t>.</w:t>
      </w:r>
      <w:r w:rsidRPr="00E428B6">
        <w:rPr>
          <w:lang w:val="en-GB"/>
        </w:rPr>
        <w:t xml:space="preserve">9 </w:t>
      </w:r>
      <w:r>
        <w:rPr>
          <w:lang w:val="en-GB"/>
        </w:rPr>
        <w:t xml:space="preserve">per year and the median </w:t>
      </w:r>
      <w:r w:rsidRPr="00E428B6">
        <w:rPr>
          <w:lang w:val="en-GB"/>
        </w:rPr>
        <w:t>0</w:t>
      </w:r>
      <w:r w:rsidR="00F620E5">
        <w:rPr>
          <w:lang w:val="en-GB"/>
        </w:rPr>
        <w:t>.</w:t>
      </w:r>
      <w:r w:rsidRPr="00E428B6">
        <w:rPr>
          <w:lang w:val="en-GB"/>
        </w:rPr>
        <w:t>4 (0</w:t>
      </w:r>
      <w:r w:rsidR="00F620E5">
        <w:rPr>
          <w:lang w:val="en-GB"/>
        </w:rPr>
        <w:t>.</w:t>
      </w:r>
      <w:r w:rsidRPr="00E428B6">
        <w:rPr>
          <w:lang w:val="en-GB"/>
        </w:rPr>
        <w:t>2-</w:t>
      </w:r>
      <w:r w:rsidR="00F620E5">
        <w:rPr>
          <w:lang w:val="en-GB"/>
        </w:rPr>
        <w:t>0.</w:t>
      </w:r>
      <w:r w:rsidRPr="00E428B6">
        <w:rPr>
          <w:lang w:val="en-GB"/>
        </w:rPr>
        <w:t>8)</w:t>
      </w:r>
      <w:r>
        <w:rPr>
          <w:lang w:val="en-GB"/>
        </w:rPr>
        <w:t xml:space="preserve"> per year. The mean post-treatment stone formation rate was </w:t>
      </w:r>
      <w:r w:rsidRPr="00E428B6">
        <w:rPr>
          <w:lang w:val="en-GB"/>
        </w:rPr>
        <w:t>0</w:t>
      </w:r>
      <w:r w:rsidR="00F620E5">
        <w:rPr>
          <w:lang w:val="en-GB"/>
        </w:rPr>
        <w:t>.</w:t>
      </w:r>
      <w:r w:rsidRPr="00E428B6">
        <w:rPr>
          <w:lang w:val="en-GB"/>
        </w:rPr>
        <w:t>8±1</w:t>
      </w:r>
      <w:r w:rsidR="00F620E5">
        <w:rPr>
          <w:lang w:val="en-GB"/>
        </w:rPr>
        <w:t>.</w:t>
      </w:r>
      <w:r w:rsidRPr="00E428B6">
        <w:rPr>
          <w:lang w:val="en-GB"/>
        </w:rPr>
        <w:t>2</w:t>
      </w:r>
      <w:r>
        <w:rPr>
          <w:lang w:val="en-GB"/>
        </w:rPr>
        <w:t xml:space="preserve"> per year and the median </w:t>
      </w:r>
      <w:r w:rsidRPr="00E428B6">
        <w:rPr>
          <w:lang w:val="en-GB"/>
        </w:rPr>
        <w:t>0</w:t>
      </w:r>
      <w:r w:rsidR="00F620E5">
        <w:rPr>
          <w:lang w:val="en-GB"/>
        </w:rPr>
        <w:t>.</w:t>
      </w:r>
      <w:r w:rsidRPr="00E428B6">
        <w:rPr>
          <w:lang w:val="en-GB"/>
        </w:rPr>
        <w:t>4 (0</w:t>
      </w:r>
      <w:r w:rsidR="00F620E5">
        <w:rPr>
          <w:lang w:val="en-GB"/>
        </w:rPr>
        <w:t>.</w:t>
      </w:r>
      <w:r w:rsidRPr="00E428B6">
        <w:rPr>
          <w:lang w:val="en-GB"/>
        </w:rPr>
        <w:t>0-1</w:t>
      </w:r>
      <w:r w:rsidR="00F620E5">
        <w:rPr>
          <w:lang w:val="en-GB"/>
        </w:rPr>
        <w:t>.</w:t>
      </w:r>
      <w:r w:rsidRPr="00E428B6">
        <w:rPr>
          <w:lang w:val="en-GB"/>
        </w:rPr>
        <w:t>0)</w:t>
      </w:r>
      <w:r>
        <w:rPr>
          <w:lang w:val="en-GB"/>
        </w:rPr>
        <w:t xml:space="preserve"> per year. No significant difference could be demonstrated (</w:t>
      </w:r>
      <w:r w:rsidRPr="00E428B6">
        <w:rPr>
          <w:lang w:val="en-GB"/>
        </w:rPr>
        <w:t>p</w:t>
      </w:r>
      <w:r w:rsidR="00D42CE0">
        <w:rPr>
          <w:lang w:val="en-GB"/>
        </w:rPr>
        <w:t>=0.2</w:t>
      </w:r>
      <w:r>
        <w:rPr>
          <w:rFonts w:cstheme="minorHAnsi"/>
          <w:sz w:val="18"/>
          <w:szCs w:val="18"/>
          <w:lang w:val="en-GB"/>
        </w:rPr>
        <w:t xml:space="preserve">). </w:t>
      </w:r>
      <w:r>
        <w:rPr>
          <w:lang w:val="en-GB"/>
        </w:rPr>
        <w:t xml:space="preserve">If only taking into account patients with a pre-treatment interval longer than three years, the mean pre-treatment stone formation rate was </w:t>
      </w:r>
      <w:r w:rsidRPr="00E428B6">
        <w:rPr>
          <w:lang w:val="en-GB"/>
        </w:rPr>
        <w:t>0</w:t>
      </w:r>
      <w:r w:rsidR="00F620E5">
        <w:rPr>
          <w:lang w:val="en-GB"/>
        </w:rPr>
        <w:t>.</w:t>
      </w:r>
      <w:r w:rsidRPr="00E428B6">
        <w:rPr>
          <w:lang w:val="en-GB"/>
        </w:rPr>
        <w:t>7±0</w:t>
      </w:r>
      <w:r w:rsidR="00F620E5">
        <w:rPr>
          <w:lang w:val="en-GB"/>
        </w:rPr>
        <w:t>.</w:t>
      </w:r>
      <w:r w:rsidRPr="00E428B6">
        <w:rPr>
          <w:lang w:val="en-GB"/>
        </w:rPr>
        <w:t xml:space="preserve">9 </w:t>
      </w:r>
      <w:r>
        <w:rPr>
          <w:lang w:val="en-GB"/>
        </w:rPr>
        <w:t xml:space="preserve"> per year and the median </w:t>
      </w:r>
      <w:r w:rsidRPr="00E428B6">
        <w:rPr>
          <w:lang w:val="en-GB"/>
        </w:rPr>
        <w:t>0</w:t>
      </w:r>
      <w:r w:rsidR="00F620E5">
        <w:rPr>
          <w:lang w:val="en-GB"/>
        </w:rPr>
        <w:t>.</w:t>
      </w:r>
      <w:r w:rsidRPr="00E428B6">
        <w:rPr>
          <w:lang w:val="en-GB"/>
        </w:rPr>
        <w:t>4 (0</w:t>
      </w:r>
      <w:r w:rsidR="00F620E5">
        <w:rPr>
          <w:lang w:val="en-GB"/>
        </w:rPr>
        <w:t>.</w:t>
      </w:r>
      <w:r w:rsidRPr="00E428B6">
        <w:rPr>
          <w:lang w:val="en-GB"/>
        </w:rPr>
        <w:t>2-0</w:t>
      </w:r>
      <w:r w:rsidR="00F620E5">
        <w:rPr>
          <w:lang w:val="en-GB"/>
        </w:rPr>
        <w:t>.</w:t>
      </w:r>
      <w:r w:rsidRPr="00E428B6">
        <w:rPr>
          <w:lang w:val="en-GB"/>
        </w:rPr>
        <w:t>8)</w:t>
      </w:r>
      <w:r>
        <w:rPr>
          <w:lang w:val="en-GB"/>
        </w:rPr>
        <w:t xml:space="preserve">  per year. The mean post-treatment stone formation rate was </w:t>
      </w:r>
      <w:r w:rsidRPr="00E428B6">
        <w:rPr>
          <w:lang w:val="en-GB"/>
        </w:rPr>
        <w:t>0</w:t>
      </w:r>
      <w:r w:rsidR="00F620E5">
        <w:rPr>
          <w:lang w:val="en-GB"/>
        </w:rPr>
        <w:t>.</w:t>
      </w:r>
      <w:r w:rsidRPr="00E428B6">
        <w:rPr>
          <w:lang w:val="en-GB"/>
        </w:rPr>
        <w:t>8±1</w:t>
      </w:r>
      <w:r w:rsidR="00F620E5">
        <w:rPr>
          <w:lang w:val="en-GB"/>
        </w:rPr>
        <w:t>.</w:t>
      </w:r>
      <w:r w:rsidRPr="00E428B6">
        <w:rPr>
          <w:lang w:val="en-GB"/>
        </w:rPr>
        <w:t>2</w:t>
      </w:r>
      <w:r>
        <w:rPr>
          <w:lang w:val="en-GB"/>
        </w:rPr>
        <w:t xml:space="preserve"> per year and the median </w:t>
      </w:r>
      <w:r w:rsidRPr="00E428B6">
        <w:rPr>
          <w:lang w:val="en-GB"/>
        </w:rPr>
        <w:t>0</w:t>
      </w:r>
      <w:r w:rsidR="006E52B4">
        <w:rPr>
          <w:lang w:val="en-GB"/>
        </w:rPr>
        <w:t>.</w:t>
      </w:r>
      <w:r w:rsidRPr="00E428B6">
        <w:rPr>
          <w:lang w:val="en-GB"/>
        </w:rPr>
        <w:t>4 (</w:t>
      </w:r>
      <w:r w:rsidR="006E52B4">
        <w:rPr>
          <w:lang w:val="en-GB"/>
        </w:rPr>
        <w:t>0.</w:t>
      </w:r>
      <w:r w:rsidRPr="00E428B6">
        <w:rPr>
          <w:lang w:val="en-GB"/>
        </w:rPr>
        <w:t>0-1</w:t>
      </w:r>
      <w:r w:rsidR="006E52B4">
        <w:rPr>
          <w:lang w:val="en-GB"/>
        </w:rPr>
        <w:t>.</w:t>
      </w:r>
      <w:r w:rsidRPr="00E428B6">
        <w:rPr>
          <w:lang w:val="en-GB"/>
        </w:rPr>
        <w:t>0)</w:t>
      </w:r>
      <w:r>
        <w:rPr>
          <w:lang w:val="en-GB"/>
        </w:rPr>
        <w:t xml:space="preserve"> per year. No significant difference could be demonstrated (</w:t>
      </w:r>
      <w:r w:rsidR="007A6850">
        <w:rPr>
          <w:lang w:val="en-GB"/>
        </w:rPr>
        <w:t>p=</w:t>
      </w:r>
      <w:r w:rsidR="00D42CE0">
        <w:rPr>
          <w:rFonts w:cstheme="minorHAnsi"/>
          <w:lang w:val="en-GB"/>
        </w:rPr>
        <w:t>0.</w:t>
      </w:r>
      <w:r w:rsidR="006E52B4">
        <w:rPr>
          <w:rFonts w:cstheme="minorHAnsi"/>
          <w:lang w:val="en-GB"/>
        </w:rPr>
        <w:t>5</w:t>
      </w:r>
      <w:r>
        <w:rPr>
          <w:rFonts w:cstheme="minorHAnsi"/>
          <w:lang w:val="en-GB"/>
        </w:rPr>
        <w:t>).</w:t>
      </w:r>
    </w:p>
    <w:p w14:paraId="11F26574" w14:textId="196ED403" w:rsidR="001B324E" w:rsidRDefault="007D797A" w:rsidP="00CC6FA2">
      <w:pPr>
        <w:pStyle w:val="Kop4"/>
        <w:numPr>
          <w:ilvl w:val="2"/>
          <w:numId w:val="9"/>
        </w:numPr>
        <w:spacing w:line="480" w:lineRule="auto"/>
        <w:rPr>
          <w:lang w:val="en-GB"/>
        </w:rPr>
      </w:pPr>
      <w:r>
        <w:rPr>
          <w:lang w:val="en-GB"/>
        </w:rPr>
        <w:t>Post-treatment urologic</w:t>
      </w:r>
      <w:r w:rsidR="0006627B">
        <w:rPr>
          <w:lang w:val="en-GB"/>
        </w:rPr>
        <w:t>al</w:t>
      </w:r>
      <w:r>
        <w:rPr>
          <w:lang w:val="en-GB"/>
        </w:rPr>
        <w:t xml:space="preserve"> intervention rat</w:t>
      </w:r>
      <w:r w:rsidR="00762922">
        <w:rPr>
          <w:lang w:val="en-GB"/>
        </w:rPr>
        <w:t>e</w:t>
      </w:r>
    </w:p>
    <w:p w14:paraId="323B5219" w14:textId="227709B2" w:rsidR="00FB429B" w:rsidRPr="00FB429B" w:rsidRDefault="007D797A" w:rsidP="005769F3">
      <w:pPr>
        <w:spacing w:line="480" w:lineRule="auto"/>
        <w:jc w:val="both"/>
        <w:rPr>
          <w:lang w:val="en-GB"/>
        </w:rPr>
      </w:pPr>
      <w:r w:rsidRPr="007D797A">
        <w:rPr>
          <w:lang w:val="en-GB"/>
        </w:rPr>
        <w:t xml:space="preserve">To be able to compare the pre- and posttreatment </w:t>
      </w:r>
      <w:r>
        <w:rPr>
          <w:lang w:val="en-GB"/>
        </w:rPr>
        <w:t>urologic</w:t>
      </w:r>
      <w:r w:rsidR="0006627B">
        <w:rPr>
          <w:lang w:val="en-GB"/>
        </w:rPr>
        <w:t>al</w:t>
      </w:r>
      <w:r>
        <w:rPr>
          <w:lang w:val="en-GB"/>
        </w:rPr>
        <w:t xml:space="preserve"> intervention </w:t>
      </w:r>
      <w:r w:rsidRPr="007D797A">
        <w:rPr>
          <w:lang w:val="en-GB"/>
        </w:rPr>
        <w:t>rat</w:t>
      </w:r>
      <w:r w:rsidR="005A10B2">
        <w:rPr>
          <w:lang w:val="en-GB"/>
        </w:rPr>
        <w:t>e</w:t>
      </w:r>
      <w:r w:rsidRPr="007D797A">
        <w:rPr>
          <w:lang w:val="en-GB"/>
        </w:rPr>
        <w:t xml:space="preserve">, only patients with more than 12 months of clinical follow-up were taken into account, excluding those with nephrocalcinosis. </w:t>
      </w:r>
      <w:r w:rsidR="00447FE0">
        <w:rPr>
          <w:lang w:val="en-GB"/>
        </w:rPr>
        <w:t>As shown in table 1</w:t>
      </w:r>
      <w:r w:rsidR="00BB713E">
        <w:rPr>
          <w:lang w:val="en-GB"/>
        </w:rPr>
        <w:t>2</w:t>
      </w:r>
      <w:r w:rsidR="00447FE0">
        <w:rPr>
          <w:lang w:val="en-GB"/>
        </w:rPr>
        <w:t xml:space="preserve">, </w:t>
      </w:r>
      <w:r w:rsidRPr="00D325FB">
        <w:rPr>
          <w:lang w:val="en-GB"/>
        </w:rPr>
        <w:t>25</w:t>
      </w:r>
      <w:r w:rsidR="00FB429B" w:rsidRPr="00D325FB">
        <w:rPr>
          <w:lang w:val="en-GB"/>
        </w:rPr>
        <w:t>4</w:t>
      </w:r>
      <w:r w:rsidRPr="00D325FB">
        <w:rPr>
          <w:lang w:val="en-GB"/>
        </w:rPr>
        <w:t xml:space="preserve"> patients met those criteria (16</w:t>
      </w:r>
      <w:r w:rsidR="00FB429B" w:rsidRPr="00D325FB">
        <w:rPr>
          <w:lang w:val="en-GB"/>
        </w:rPr>
        <w:t>1</w:t>
      </w:r>
      <w:r w:rsidRPr="00D325FB">
        <w:rPr>
          <w:lang w:val="en-GB"/>
        </w:rPr>
        <w:t xml:space="preserve"> men; 93 women), with a </w:t>
      </w:r>
      <w:r w:rsidR="000B3BEF" w:rsidRPr="00D325FB">
        <w:rPr>
          <w:lang w:val="en-GB"/>
        </w:rPr>
        <w:t>median</w:t>
      </w:r>
      <w:r w:rsidRPr="00D325FB">
        <w:rPr>
          <w:lang w:val="en-GB"/>
        </w:rPr>
        <w:t xml:space="preserve"> follow-up period of </w:t>
      </w:r>
      <w:r w:rsidR="00DC7FE7">
        <w:rPr>
          <w:lang w:val="en-GB"/>
        </w:rPr>
        <w:t>2</w:t>
      </w:r>
      <w:r w:rsidR="00F620E5">
        <w:rPr>
          <w:lang w:val="en-GB"/>
        </w:rPr>
        <w:t>.</w:t>
      </w:r>
      <w:r w:rsidR="00DC7FE7">
        <w:rPr>
          <w:lang w:val="en-GB"/>
        </w:rPr>
        <w:t>9</w:t>
      </w:r>
      <w:r w:rsidR="000B3BEF" w:rsidRPr="00D325FB">
        <w:rPr>
          <w:lang w:val="en-GB"/>
        </w:rPr>
        <w:t xml:space="preserve"> years (1</w:t>
      </w:r>
      <w:r w:rsidR="00F620E5">
        <w:rPr>
          <w:lang w:val="en-GB"/>
        </w:rPr>
        <w:t>.</w:t>
      </w:r>
      <w:r w:rsidR="00DC7FE7">
        <w:rPr>
          <w:lang w:val="en-GB"/>
        </w:rPr>
        <w:t>6</w:t>
      </w:r>
      <w:r w:rsidR="000B3BEF" w:rsidRPr="00D325FB">
        <w:rPr>
          <w:lang w:val="en-GB"/>
        </w:rPr>
        <w:t>-5</w:t>
      </w:r>
      <w:r w:rsidR="00F620E5">
        <w:rPr>
          <w:lang w:val="en-GB"/>
        </w:rPr>
        <w:t>.</w:t>
      </w:r>
      <w:r w:rsidR="00DC7FE7">
        <w:rPr>
          <w:lang w:val="en-GB"/>
        </w:rPr>
        <w:t>4</w:t>
      </w:r>
      <w:r w:rsidR="000B3BEF" w:rsidRPr="00D325FB">
        <w:rPr>
          <w:lang w:val="en-GB"/>
        </w:rPr>
        <w:t>).</w:t>
      </w:r>
      <w:r w:rsidR="00FB429B" w:rsidRPr="00D325FB">
        <w:rPr>
          <w:lang w:val="en-GB"/>
        </w:rPr>
        <w:t xml:space="preserve"> </w:t>
      </w:r>
      <w:r w:rsidR="00632860" w:rsidRPr="00D325FB">
        <w:rPr>
          <w:lang w:val="en-GB"/>
        </w:rPr>
        <w:t xml:space="preserve">The mean </w:t>
      </w:r>
      <w:r w:rsidR="00D325FB" w:rsidRPr="00D325FB">
        <w:rPr>
          <w:lang w:val="en-GB"/>
        </w:rPr>
        <w:t xml:space="preserve">pre-treatment urological </w:t>
      </w:r>
      <w:r w:rsidR="00632860" w:rsidRPr="00D325FB">
        <w:rPr>
          <w:lang w:val="en-GB"/>
        </w:rPr>
        <w:t>intervention rat</w:t>
      </w:r>
      <w:r w:rsidR="005A10B2" w:rsidRPr="00D325FB">
        <w:rPr>
          <w:lang w:val="en-GB"/>
        </w:rPr>
        <w:t>e</w:t>
      </w:r>
      <w:r w:rsidR="00632860" w:rsidRPr="00D325FB">
        <w:rPr>
          <w:lang w:val="en-GB"/>
        </w:rPr>
        <w:t xml:space="preserve"> was 0</w:t>
      </w:r>
      <w:r w:rsidR="00F620E5">
        <w:rPr>
          <w:lang w:val="en-GB"/>
        </w:rPr>
        <w:t>.</w:t>
      </w:r>
      <w:r w:rsidR="00632860" w:rsidRPr="00D325FB">
        <w:rPr>
          <w:lang w:val="en-GB"/>
        </w:rPr>
        <w:t>6±2</w:t>
      </w:r>
      <w:r w:rsidR="00F620E5">
        <w:rPr>
          <w:lang w:val="en-GB"/>
        </w:rPr>
        <w:t>.</w:t>
      </w:r>
      <w:r w:rsidR="00632860" w:rsidRPr="00D325FB">
        <w:rPr>
          <w:lang w:val="en-GB"/>
        </w:rPr>
        <w:t>2 per year</w:t>
      </w:r>
      <w:r w:rsidR="00E54DB6">
        <w:rPr>
          <w:lang w:val="en-GB"/>
        </w:rPr>
        <w:t xml:space="preserve"> and the median </w:t>
      </w:r>
      <w:r w:rsidR="00E54DB6" w:rsidRPr="00E54DB6">
        <w:rPr>
          <w:lang w:val="en-GB"/>
        </w:rPr>
        <w:t>0</w:t>
      </w:r>
      <w:r w:rsidR="00F620E5">
        <w:rPr>
          <w:lang w:val="en-GB"/>
        </w:rPr>
        <w:t>.</w:t>
      </w:r>
      <w:r w:rsidR="00E54DB6" w:rsidRPr="00E54DB6">
        <w:rPr>
          <w:lang w:val="en-GB"/>
        </w:rPr>
        <w:t>0</w:t>
      </w:r>
      <w:r w:rsidR="00F620E5">
        <w:rPr>
          <w:lang w:val="en-GB"/>
        </w:rPr>
        <w:t xml:space="preserve"> </w:t>
      </w:r>
      <w:r w:rsidR="00E54DB6" w:rsidRPr="00E54DB6">
        <w:rPr>
          <w:lang w:val="en-GB"/>
        </w:rPr>
        <w:t>(0</w:t>
      </w:r>
      <w:r w:rsidR="00F620E5">
        <w:rPr>
          <w:lang w:val="en-GB"/>
        </w:rPr>
        <w:t>.</w:t>
      </w:r>
      <w:r w:rsidR="00E54DB6" w:rsidRPr="00E54DB6">
        <w:rPr>
          <w:lang w:val="en-GB"/>
        </w:rPr>
        <w:t>0-0</w:t>
      </w:r>
      <w:r w:rsidR="00F620E5">
        <w:rPr>
          <w:lang w:val="en-GB"/>
        </w:rPr>
        <w:t>.</w:t>
      </w:r>
      <w:r w:rsidR="00E54DB6" w:rsidRPr="00E54DB6">
        <w:rPr>
          <w:lang w:val="en-GB"/>
        </w:rPr>
        <w:t>2) per year</w:t>
      </w:r>
      <w:r w:rsidR="00632860" w:rsidRPr="00D325FB">
        <w:rPr>
          <w:lang w:val="en-GB"/>
        </w:rPr>
        <w:t xml:space="preserve">. The mean post-treatment urological </w:t>
      </w:r>
      <w:r w:rsidR="00632860" w:rsidRPr="00D325FB">
        <w:rPr>
          <w:lang w:val="en-GB"/>
        </w:rPr>
        <w:lastRenderedPageBreak/>
        <w:t>intervention rat</w:t>
      </w:r>
      <w:r w:rsidR="005A10B2" w:rsidRPr="00D325FB">
        <w:rPr>
          <w:lang w:val="en-GB"/>
        </w:rPr>
        <w:t>e</w:t>
      </w:r>
      <w:r w:rsidR="00632860" w:rsidRPr="00D325FB">
        <w:rPr>
          <w:lang w:val="en-GB"/>
        </w:rPr>
        <w:t xml:space="preserve"> was 0</w:t>
      </w:r>
      <w:r w:rsidR="00F620E5">
        <w:rPr>
          <w:lang w:val="en-GB"/>
        </w:rPr>
        <w:t>.</w:t>
      </w:r>
      <w:r w:rsidR="00682FB8" w:rsidRPr="00D325FB">
        <w:rPr>
          <w:lang w:val="en-GB"/>
        </w:rPr>
        <w:t>1</w:t>
      </w:r>
      <w:r w:rsidR="00632860" w:rsidRPr="00D325FB">
        <w:rPr>
          <w:lang w:val="en-GB"/>
        </w:rPr>
        <w:t>±0</w:t>
      </w:r>
      <w:r w:rsidR="00F620E5">
        <w:rPr>
          <w:lang w:val="en-GB"/>
        </w:rPr>
        <w:t>.</w:t>
      </w:r>
      <w:r w:rsidR="00632860" w:rsidRPr="00D325FB">
        <w:rPr>
          <w:lang w:val="en-GB"/>
        </w:rPr>
        <w:t>3 per year</w:t>
      </w:r>
      <w:r w:rsidR="00E54DB6">
        <w:rPr>
          <w:lang w:val="en-GB"/>
        </w:rPr>
        <w:t xml:space="preserve"> and the median </w:t>
      </w:r>
      <w:r w:rsidR="00E54DB6" w:rsidRPr="00E54DB6">
        <w:rPr>
          <w:lang w:val="en-GB"/>
        </w:rPr>
        <w:t>0</w:t>
      </w:r>
      <w:r w:rsidR="00F620E5">
        <w:rPr>
          <w:lang w:val="en-GB"/>
        </w:rPr>
        <w:t>.</w:t>
      </w:r>
      <w:r w:rsidR="00E54DB6" w:rsidRPr="00E54DB6">
        <w:rPr>
          <w:lang w:val="en-GB"/>
        </w:rPr>
        <w:t>0 (0</w:t>
      </w:r>
      <w:r w:rsidR="00F620E5">
        <w:rPr>
          <w:lang w:val="en-GB"/>
        </w:rPr>
        <w:t>.</w:t>
      </w:r>
      <w:r w:rsidR="00E54DB6" w:rsidRPr="00E54DB6">
        <w:rPr>
          <w:lang w:val="en-GB"/>
        </w:rPr>
        <w:t>0-0</w:t>
      </w:r>
      <w:r w:rsidR="00F620E5">
        <w:rPr>
          <w:lang w:val="en-GB"/>
        </w:rPr>
        <w:t>.</w:t>
      </w:r>
      <w:r w:rsidR="00E54DB6" w:rsidRPr="00E54DB6">
        <w:rPr>
          <w:lang w:val="en-GB"/>
        </w:rPr>
        <w:t>0) per year</w:t>
      </w:r>
      <w:r w:rsidR="0003016D" w:rsidRPr="00D325FB">
        <w:rPr>
          <w:lang w:val="en-GB"/>
        </w:rPr>
        <w:t>.</w:t>
      </w:r>
      <w:r w:rsidR="00632860" w:rsidRPr="00D325FB">
        <w:rPr>
          <w:lang w:val="en-GB"/>
        </w:rPr>
        <w:t xml:space="preserve"> </w:t>
      </w:r>
      <w:r w:rsidR="00E54DB6" w:rsidRPr="00E54DB6">
        <w:rPr>
          <w:lang w:val="en-GB"/>
        </w:rPr>
        <w:t>Consequently, a</w:t>
      </w:r>
      <w:r w:rsidR="00FB429B" w:rsidRPr="00E54DB6">
        <w:rPr>
          <w:lang w:val="en-GB"/>
        </w:rPr>
        <w:t xml:space="preserve"> Wilcoxon signed rank test demonstrated a significant reduction (</w:t>
      </w:r>
      <w:r w:rsidR="00B776D3" w:rsidRPr="00B776D3">
        <w:rPr>
          <w:rFonts w:cstheme="minorHAnsi"/>
          <w:i/>
          <w:iCs/>
          <w:lang w:val="en-GB"/>
        </w:rPr>
        <w:t>P</w:t>
      </w:r>
      <w:r w:rsidR="00D42CE0">
        <w:rPr>
          <w:lang w:val="en-GB"/>
        </w:rPr>
        <w:t>&lt;0.0001</w:t>
      </w:r>
      <w:r w:rsidR="00FB429B" w:rsidRPr="00E54DB6">
        <w:rPr>
          <w:lang w:val="en-GB"/>
        </w:rPr>
        <w:t xml:space="preserve">).  </w:t>
      </w:r>
    </w:p>
    <w:p w14:paraId="157A6767" w14:textId="581CFEA4" w:rsidR="007D797A" w:rsidRDefault="00E92A40" w:rsidP="005769F3">
      <w:pPr>
        <w:spacing w:line="480" w:lineRule="auto"/>
        <w:jc w:val="both"/>
        <w:rPr>
          <w:lang w:val="en-GB"/>
        </w:rPr>
      </w:pPr>
      <w:r w:rsidRPr="00DA2BE6">
        <w:rPr>
          <w:lang w:val="en-GB"/>
        </w:rPr>
        <w:t xml:space="preserve">An overview of the urological interventions </w:t>
      </w:r>
      <w:r>
        <w:rPr>
          <w:lang w:val="en-GB"/>
        </w:rPr>
        <w:t xml:space="preserve">performed during follow-up </w:t>
      </w:r>
      <w:r w:rsidRPr="00DA2BE6">
        <w:rPr>
          <w:lang w:val="en-GB"/>
        </w:rPr>
        <w:t xml:space="preserve">can be found in Table </w:t>
      </w:r>
      <w:r>
        <w:rPr>
          <w:lang w:val="en-GB"/>
        </w:rPr>
        <w:t>9</w:t>
      </w:r>
      <w:r w:rsidRPr="00DA2BE6">
        <w:rPr>
          <w:lang w:val="en-GB"/>
        </w:rPr>
        <w:t xml:space="preserve">. </w:t>
      </w:r>
      <w:r w:rsidR="00E11500" w:rsidRPr="00F06A3D">
        <w:rPr>
          <w:lang w:val="en-GB"/>
        </w:rPr>
        <w:t>The most common interventions during follow-up at the kidney stone prevention clinic were ESWL and URS, each of which was equally common</w:t>
      </w:r>
      <w:r w:rsidR="00643BA6" w:rsidRPr="00F06A3D">
        <w:rPr>
          <w:lang w:val="en-GB"/>
        </w:rPr>
        <w:t xml:space="preserve"> (4</w:t>
      </w:r>
      <w:r w:rsidR="00F620E5">
        <w:rPr>
          <w:lang w:val="en-GB"/>
        </w:rPr>
        <w:t>.</w:t>
      </w:r>
      <w:r w:rsidR="00643BA6" w:rsidRPr="00F06A3D">
        <w:rPr>
          <w:lang w:val="en-GB"/>
        </w:rPr>
        <w:t>2%)</w:t>
      </w:r>
      <w:r w:rsidR="00E11500" w:rsidRPr="00F06A3D">
        <w:rPr>
          <w:lang w:val="en-GB"/>
        </w:rPr>
        <w:t xml:space="preserve">. The second most common were </w:t>
      </w:r>
      <w:r w:rsidR="00643BA6" w:rsidRPr="00F06A3D">
        <w:rPr>
          <w:lang w:val="en-GB"/>
        </w:rPr>
        <w:t xml:space="preserve">double </w:t>
      </w:r>
      <w:r w:rsidR="00E11500" w:rsidRPr="00F06A3D">
        <w:rPr>
          <w:lang w:val="en-GB"/>
        </w:rPr>
        <w:t>J stents</w:t>
      </w:r>
      <w:r w:rsidR="00643BA6" w:rsidRPr="00F06A3D">
        <w:rPr>
          <w:lang w:val="en-GB"/>
        </w:rPr>
        <w:t xml:space="preserve"> (10</w:t>
      </w:r>
      <w:r w:rsidR="00F620E5">
        <w:rPr>
          <w:lang w:val="en-GB"/>
        </w:rPr>
        <w:t>.</w:t>
      </w:r>
      <w:r w:rsidR="00643BA6" w:rsidRPr="00F06A3D">
        <w:rPr>
          <w:lang w:val="en-GB"/>
        </w:rPr>
        <w:t>6%)</w:t>
      </w:r>
      <w:r w:rsidR="00E11500" w:rsidRPr="00F06A3D">
        <w:rPr>
          <w:lang w:val="en-GB"/>
        </w:rPr>
        <w:t xml:space="preserve">, followed by PNL </w:t>
      </w:r>
      <w:r w:rsidR="00643BA6" w:rsidRPr="00F06A3D">
        <w:rPr>
          <w:lang w:val="en-GB"/>
        </w:rPr>
        <w:t>(6</w:t>
      </w:r>
      <w:r w:rsidR="00F620E5">
        <w:rPr>
          <w:lang w:val="en-GB"/>
        </w:rPr>
        <w:t>.</w:t>
      </w:r>
      <w:r w:rsidR="00643BA6" w:rsidRPr="00F06A3D">
        <w:rPr>
          <w:lang w:val="en-GB"/>
        </w:rPr>
        <w:t xml:space="preserve">4%), </w:t>
      </w:r>
      <w:r w:rsidR="00E11500" w:rsidRPr="00F06A3D">
        <w:rPr>
          <w:lang w:val="en-GB"/>
        </w:rPr>
        <w:t>nephrostomy</w:t>
      </w:r>
      <w:r w:rsidR="00643BA6" w:rsidRPr="00F06A3D">
        <w:rPr>
          <w:lang w:val="en-GB"/>
        </w:rPr>
        <w:t xml:space="preserve"> (1</w:t>
      </w:r>
      <w:r w:rsidR="00F620E5">
        <w:rPr>
          <w:lang w:val="en-GB"/>
        </w:rPr>
        <w:t>.</w:t>
      </w:r>
      <w:r w:rsidR="00643BA6" w:rsidRPr="00F06A3D">
        <w:rPr>
          <w:lang w:val="en-GB"/>
        </w:rPr>
        <w:t>1%) and bladder stone cystostomy (1</w:t>
      </w:r>
      <w:r w:rsidR="00F620E5">
        <w:rPr>
          <w:lang w:val="en-GB"/>
        </w:rPr>
        <w:t>.</w:t>
      </w:r>
      <w:r w:rsidR="00643BA6" w:rsidRPr="00F06A3D">
        <w:rPr>
          <w:lang w:val="en-GB"/>
        </w:rPr>
        <w:t>1%)</w:t>
      </w:r>
      <w:r w:rsidR="00E11500" w:rsidRPr="00F06A3D">
        <w:rPr>
          <w:lang w:val="en-GB"/>
        </w:rPr>
        <w:t>.</w:t>
      </w:r>
    </w:p>
    <w:p w14:paraId="4BDD8E59" w14:textId="77777777" w:rsidR="0057187E" w:rsidRDefault="0057187E" w:rsidP="0057187E">
      <w:pPr>
        <w:rPr>
          <w:u w:val="single"/>
          <w:lang w:val="en-GB"/>
        </w:rPr>
      </w:pPr>
    </w:p>
    <w:p w14:paraId="0DAAD1F0" w14:textId="77777777" w:rsidR="00310678" w:rsidRPr="00800B07" w:rsidRDefault="00310678" w:rsidP="00310678">
      <w:pPr>
        <w:rPr>
          <w:lang w:val="en-GB"/>
        </w:rPr>
      </w:pPr>
      <w:r w:rsidRPr="00800B07">
        <w:rPr>
          <w:u w:val="single"/>
          <w:lang w:val="en-GB"/>
        </w:rPr>
        <w:t>Table 12</w:t>
      </w:r>
      <w:r w:rsidRPr="00800B07">
        <w:rPr>
          <w:lang w:val="en-GB"/>
        </w:rPr>
        <w:t>: Wilcoxon signed rank test in patients with at least 12 months follow-up and excluding those with nephrocalcinosis</w:t>
      </w:r>
    </w:p>
    <w:tbl>
      <w:tblPr>
        <w:tblStyle w:val="Tabelraster"/>
        <w:tblW w:w="9214" w:type="dxa"/>
        <w:tblLook w:val="04A0" w:firstRow="1" w:lastRow="0" w:firstColumn="1" w:lastColumn="0" w:noHBand="0" w:noVBand="1"/>
      </w:tblPr>
      <w:tblGrid>
        <w:gridCol w:w="2268"/>
        <w:gridCol w:w="2551"/>
        <w:gridCol w:w="2551"/>
        <w:gridCol w:w="1844"/>
      </w:tblGrid>
      <w:tr w:rsidR="00310678" w:rsidRPr="00800B07" w14:paraId="0F2C77C8" w14:textId="77777777" w:rsidTr="00310678">
        <w:tc>
          <w:tcPr>
            <w:tcW w:w="2268" w:type="dxa"/>
            <w:tcBorders>
              <w:top w:val="nil"/>
              <w:left w:val="nil"/>
            </w:tcBorders>
          </w:tcPr>
          <w:p w14:paraId="6D44A35A" w14:textId="77777777" w:rsidR="00310678" w:rsidRPr="00800B07" w:rsidRDefault="00310678" w:rsidP="009F04A0">
            <w:pPr>
              <w:rPr>
                <w:rFonts w:cstheme="minorHAnsi"/>
                <w:sz w:val="18"/>
                <w:szCs w:val="18"/>
                <w:lang w:val="en-GB"/>
              </w:rPr>
            </w:pPr>
          </w:p>
        </w:tc>
        <w:tc>
          <w:tcPr>
            <w:tcW w:w="2551" w:type="dxa"/>
            <w:shd w:val="clear" w:color="auto" w:fill="000000" w:themeFill="text1"/>
          </w:tcPr>
          <w:p w14:paraId="7D3B9240" w14:textId="77777777" w:rsidR="00310678" w:rsidRPr="00800B07" w:rsidRDefault="00310678" w:rsidP="009F04A0">
            <w:pPr>
              <w:rPr>
                <w:rFonts w:cstheme="minorHAnsi"/>
                <w:sz w:val="18"/>
                <w:szCs w:val="18"/>
                <w:lang w:val="en-GB"/>
              </w:rPr>
            </w:pPr>
            <w:proofErr w:type="spellStart"/>
            <w:r w:rsidRPr="00800B07">
              <w:rPr>
                <w:rFonts w:cstheme="minorHAnsi"/>
                <w:sz w:val="18"/>
                <w:szCs w:val="18"/>
                <w:lang w:val="en-GB"/>
              </w:rPr>
              <w:t>Mean±SD</w:t>
            </w:r>
            <w:proofErr w:type="spellEnd"/>
          </w:p>
        </w:tc>
        <w:tc>
          <w:tcPr>
            <w:tcW w:w="2551" w:type="dxa"/>
            <w:shd w:val="clear" w:color="auto" w:fill="000000" w:themeFill="text1"/>
          </w:tcPr>
          <w:p w14:paraId="7166AA71" w14:textId="77777777" w:rsidR="00310678" w:rsidRPr="00800B07" w:rsidRDefault="00310678" w:rsidP="009F04A0">
            <w:pPr>
              <w:rPr>
                <w:rFonts w:cstheme="minorHAnsi"/>
                <w:sz w:val="18"/>
                <w:szCs w:val="18"/>
                <w:lang w:val="en-GB"/>
              </w:rPr>
            </w:pPr>
            <w:r w:rsidRPr="00800B07">
              <w:rPr>
                <w:rFonts w:cstheme="minorHAnsi"/>
                <w:sz w:val="18"/>
                <w:szCs w:val="18"/>
                <w:lang w:val="en-GB"/>
              </w:rPr>
              <w:t>Median (IQR)</w:t>
            </w:r>
          </w:p>
        </w:tc>
        <w:tc>
          <w:tcPr>
            <w:tcW w:w="1844" w:type="dxa"/>
            <w:shd w:val="clear" w:color="auto" w:fill="000000" w:themeFill="text1"/>
          </w:tcPr>
          <w:p w14:paraId="0AA5A15F" w14:textId="1336F9E5" w:rsidR="00310678" w:rsidRPr="00800B07" w:rsidRDefault="00B4566E" w:rsidP="009F04A0">
            <w:pPr>
              <w:rPr>
                <w:rFonts w:cstheme="minorHAnsi"/>
                <w:sz w:val="18"/>
                <w:szCs w:val="18"/>
                <w:lang w:val="fr-BE"/>
              </w:rPr>
            </w:pPr>
            <w:r w:rsidRPr="00B4566E">
              <w:rPr>
                <w:rFonts w:cstheme="minorHAnsi"/>
                <w:i/>
                <w:iCs/>
                <w:sz w:val="18"/>
                <w:szCs w:val="18"/>
                <w:lang w:val="fr-BE"/>
              </w:rPr>
              <w:t>P</w:t>
            </w:r>
            <w:r w:rsidR="00310678" w:rsidRPr="00800B07">
              <w:rPr>
                <w:rFonts w:cstheme="minorHAnsi"/>
                <w:sz w:val="18"/>
                <w:szCs w:val="18"/>
                <w:lang w:val="fr-BE"/>
              </w:rPr>
              <w:t>-value</w:t>
            </w:r>
          </w:p>
        </w:tc>
      </w:tr>
      <w:tr w:rsidR="00310678" w:rsidRPr="0073106F" w14:paraId="558B78C6" w14:textId="77777777" w:rsidTr="00310678">
        <w:trPr>
          <w:trHeight w:val="165"/>
        </w:trPr>
        <w:tc>
          <w:tcPr>
            <w:tcW w:w="9214" w:type="dxa"/>
            <w:gridSpan w:val="4"/>
            <w:shd w:val="clear" w:color="auto" w:fill="E7E6E6" w:themeFill="background2"/>
          </w:tcPr>
          <w:p w14:paraId="37FBE4F6" w14:textId="77777777" w:rsidR="00310678" w:rsidRPr="00800B07" w:rsidRDefault="00310678" w:rsidP="009F04A0">
            <w:pPr>
              <w:rPr>
                <w:rFonts w:cstheme="minorHAnsi"/>
                <w:sz w:val="18"/>
                <w:szCs w:val="18"/>
                <w:lang w:val="en-GB"/>
              </w:rPr>
            </w:pPr>
            <w:r w:rsidRPr="00800B07">
              <w:rPr>
                <w:rFonts w:cstheme="minorHAnsi"/>
                <w:b/>
                <w:bCs/>
                <w:sz w:val="18"/>
                <w:szCs w:val="18"/>
                <w:lang w:val="en-GB"/>
              </w:rPr>
              <w:t>SYMPTOMATIC RENAL COLIC RATE (n=256)</w:t>
            </w:r>
          </w:p>
        </w:tc>
      </w:tr>
      <w:tr w:rsidR="00310678" w:rsidRPr="00800B07" w14:paraId="0CB3DE36" w14:textId="77777777" w:rsidTr="00310678">
        <w:trPr>
          <w:trHeight w:val="211"/>
        </w:trPr>
        <w:tc>
          <w:tcPr>
            <w:tcW w:w="2268" w:type="dxa"/>
          </w:tcPr>
          <w:p w14:paraId="62A521BD" w14:textId="77777777" w:rsidR="00310678" w:rsidRPr="00800B07" w:rsidRDefault="00310678" w:rsidP="009F04A0">
            <w:pPr>
              <w:rPr>
                <w:rFonts w:cstheme="minorHAnsi"/>
                <w:sz w:val="18"/>
                <w:szCs w:val="18"/>
                <w:lang w:val="en-GB"/>
              </w:rPr>
            </w:pPr>
            <w:r w:rsidRPr="00800B07">
              <w:rPr>
                <w:rFonts w:cstheme="minorHAnsi"/>
                <w:sz w:val="18"/>
                <w:szCs w:val="18"/>
                <w:lang w:val="en-GB"/>
              </w:rPr>
              <w:t>Follow-up period (yr)</w:t>
            </w:r>
          </w:p>
        </w:tc>
        <w:tc>
          <w:tcPr>
            <w:tcW w:w="2551" w:type="dxa"/>
          </w:tcPr>
          <w:p w14:paraId="740C3962" w14:textId="77777777" w:rsidR="00310678" w:rsidRPr="00800B07" w:rsidRDefault="00310678" w:rsidP="009F04A0">
            <w:pPr>
              <w:rPr>
                <w:rFonts w:cstheme="minorHAnsi"/>
                <w:sz w:val="18"/>
                <w:szCs w:val="18"/>
                <w:lang w:val="en-GB"/>
              </w:rPr>
            </w:pPr>
            <w:r w:rsidRPr="00800B07">
              <w:rPr>
                <w:rFonts w:cstheme="minorHAnsi"/>
                <w:sz w:val="18"/>
                <w:szCs w:val="18"/>
                <w:lang w:val="en-GB"/>
              </w:rPr>
              <w:t>3</w:t>
            </w:r>
            <w:r>
              <w:rPr>
                <w:rFonts w:cstheme="minorHAnsi"/>
                <w:sz w:val="18"/>
                <w:szCs w:val="18"/>
                <w:lang w:val="en-GB"/>
              </w:rPr>
              <w:t>.</w:t>
            </w:r>
            <w:r w:rsidRPr="00800B07">
              <w:rPr>
                <w:rFonts w:cstheme="minorHAnsi"/>
                <w:sz w:val="18"/>
                <w:szCs w:val="18"/>
                <w:lang w:val="en-GB"/>
              </w:rPr>
              <w:t>7±2</w:t>
            </w:r>
            <w:r>
              <w:rPr>
                <w:rFonts w:cstheme="minorHAnsi"/>
                <w:sz w:val="18"/>
                <w:szCs w:val="18"/>
                <w:lang w:val="en-GB"/>
              </w:rPr>
              <w:t>.</w:t>
            </w:r>
            <w:r w:rsidRPr="00800B07">
              <w:rPr>
                <w:rFonts w:cstheme="minorHAnsi"/>
                <w:sz w:val="18"/>
                <w:szCs w:val="18"/>
                <w:lang w:val="en-GB"/>
              </w:rPr>
              <w:t>6</w:t>
            </w:r>
          </w:p>
        </w:tc>
        <w:tc>
          <w:tcPr>
            <w:tcW w:w="2551" w:type="dxa"/>
          </w:tcPr>
          <w:p w14:paraId="140249C2" w14:textId="77777777" w:rsidR="00310678" w:rsidRPr="00800B07" w:rsidRDefault="00310678" w:rsidP="009F04A0">
            <w:pPr>
              <w:rPr>
                <w:rFonts w:cstheme="minorHAnsi"/>
                <w:sz w:val="18"/>
                <w:szCs w:val="18"/>
                <w:lang w:val="en-GB"/>
              </w:rPr>
            </w:pPr>
            <w:r w:rsidRPr="00800B07">
              <w:rPr>
                <w:rFonts w:cstheme="minorHAnsi"/>
                <w:sz w:val="18"/>
                <w:szCs w:val="18"/>
                <w:lang w:val="en-GB"/>
              </w:rPr>
              <w:t>2</w:t>
            </w:r>
            <w:r>
              <w:rPr>
                <w:rFonts w:cstheme="minorHAnsi"/>
                <w:sz w:val="18"/>
                <w:szCs w:val="18"/>
                <w:lang w:val="en-GB"/>
              </w:rPr>
              <w:t>.</w:t>
            </w:r>
            <w:r w:rsidRPr="00800B07">
              <w:rPr>
                <w:rFonts w:cstheme="minorHAnsi"/>
                <w:sz w:val="18"/>
                <w:szCs w:val="18"/>
                <w:lang w:val="en-GB"/>
              </w:rPr>
              <w:t>9 (1</w:t>
            </w:r>
            <w:r>
              <w:rPr>
                <w:rFonts w:cstheme="minorHAnsi"/>
                <w:sz w:val="18"/>
                <w:szCs w:val="18"/>
                <w:lang w:val="en-GB"/>
              </w:rPr>
              <w:t>.</w:t>
            </w:r>
            <w:r w:rsidRPr="00800B07">
              <w:rPr>
                <w:rFonts w:cstheme="minorHAnsi"/>
                <w:sz w:val="18"/>
                <w:szCs w:val="18"/>
                <w:lang w:val="en-GB"/>
              </w:rPr>
              <w:t>6-5</w:t>
            </w:r>
            <w:r>
              <w:rPr>
                <w:rFonts w:cstheme="minorHAnsi"/>
                <w:sz w:val="18"/>
                <w:szCs w:val="18"/>
                <w:lang w:val="en-GB"/>
              </w:rPr>
              <w:t>.</w:t>
            </w:r>
            <w:r w:rsidRPr="00800B07">
              <w:rPr>
                <w:rFonts w:cstheme="minorHAnsi"/>
                <w:sz w:val="18"/>
                <w:szCs w:val="18"/>
                <w:lang w:val="en-GB"/>
              </w:rPr>
              <w:t>4)</w:t>
            </w:r>
          </w:p>
        </w:tc>
        <w:tc>
          <w:tcPr>
            <w:tcW w:w="1844" w:type="dxa"/>
            <w:vMerge w:val="restart"/>
          </w:tcPr>
          <w:p w14:paraId="36D45358" w14:textId="77777777" w:rsidR="00310678" w:rsidRPr="00800B07" w:rsidRDefault="00310678" w:rsidP="009F04A0">
            <w:pPr>
              <w:jc w:val="center"/>
              <w:rPr>
                <w:rFonts w:cstheme="minorHAnsi"/>
                <w:sz w:val="18"/>
                <w:szCs w:val="18"/>
                <w:lang w:val="en-GB"/>
              </w:rPr>
            </w:pPr>
          </w:p>
          <w:p w14:paraId="0A8E35D5" w14:textId="77777777" w:rsidR="00310678" w:rsidRPr="00800B07" w:rsidRDefault="00310678" w:rsidP="009F04A0">
            <w:pPr>
              <w:jc w:val="center"/>
              <w:rPr>
                <w:rFonts w:cstheme="minorHAnsi"/>
                <w:sz w:val="18"/>
                <w:szCs w:val="18"/>
                <w:lang w:val="en-GB"/>
              </w:rPr>
            </w:pPr>
            <w:r w:rsidRPr="00800B07">
              <w:rPr>
                <w:sz w:val="18"/>
                <w:szCs w:val="18"/>
                <w:lang w:val="en-GB"/>
              </w:rPr>
              <w:t>&lt;</w:t>
            </w:r>
            <w:r>
              <w:rPr>
                <w:sz w:val="18"/>
                <w:szCs w:val="18"/>
                <w:lang w:val="en-GB"/>
              </w:rPr>
              <w:t>0.0001</w:t>
            </w:r>
          </w:p>
        </w:tc>
      </w:tr>
      <w:tr w:rsidR="00310678" w:rsidRPr="00800B07" w14:paraId="3F39AFE1" w14:textId="77777777" w:rsidTr="00310678">
        <w:trPr>
          <w:trHeight w:val="495"/>
        </w:trPr>
        <w:tc>
          <w:tcPr>
            <w:tcW w:w="2268" w:type="dxa"/>
          </w:tcPr>
          <w:p w14:paraId="6B606913" w14:textId="77777777" w:rsidR="00310678" w:rsidRPr="00800B07" w:rsidRDefault="00310678" w:rsidP="009F04A0">
            <w:pPr>
              <w:rPr>
                <w:rFonts w:cstheme="minorHAnsi"/>
                <w:sz w:val="18"/>
                <w:szCs w:val="18"/>
                <w:lang w:val="en-GB"/>
              </w:rPr>
            </w:pPr>
            <w:r w:rsidRPr="00800B07">
              <w:rPr>
                <w:rFonts w:cstheme="minorHAnsi"/>
                <w:sz w:val="18"/>
                <w:szCs w:val="18"/>
                <w:lang w:val="en-GB"/>
              </w:rPr>
              <w:t>Pre-treatment rate</w:t>
            </w:r>
            <w:r>
              <w:rPr>
                <w:rFonts w:cstheme="minorHAnsi"/>
                <w:sz w:val="18"/>
                <w:szCs w:val="18"/>
                <w:lang w:val="en-GB"/>
              </w:rPr>
              <w:t xml:space="preserve"> (per yr)</w:t>
            </w:r>
          </w:p>
          <w:p w14:paraId="6CABE53A" w14:textId="77777777" w:rsidR="00310678" w:rsidRPr="00800B07" w:rsidRDefault="00310678" w:rsidP="009F04A0">
            <w:pPr>
              <w:rPr>
                <w:rFonts w:cstheme="minorHAnsi"/>
                <w:b/>
                <w:bCs/>
                <w:sz w:val="18"/>
                <w:szCs w:val="18"/>
                <w:lang w:val="en-GB"/>
              </w:rPr>
            </w:pPr>
            <w:r w:rsidRPr="00800B07">
              <w:rPr>
                <w:rFonts w:cstheme="minorHAnsi"/>
                <w:sz w:val="18"/>
                <w:szCs w:val="18"/>
                <w:lang w:val="en-GB"/>
              </w:rPr>
              <w:t>Post-treatment rate</w:t>
            </w:r>
            <w:r>
              <w:rPr>
                <w:rFonts w:cstheme="minorHAnsi"/>
                <w:sz w:val="18"/>
                <w:szCs w:val="18"/>
                <w:lang w:val="en-GB"/>
              </w:rPr>
              <w:t xml:space="preserve"> (per yr)</w:t>
            </w:r>
          </w:p>
        </w:tc>
        <w:tc>
          <w:tcPr>
            <w:tcW w:w="2551" w:type="dxa"/>
          </w:tcPr>
          <w:p w14:paraId="1985CE7F"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4±1</w:t>
            </w:r>
            <w:r>
              <w:rPr>
                <w:rFonts w:cstheme="minorHAnsi"/>
                <w:sz w:val="18"/>
                <w:szCs w:val="18"/>
                <w:lang w:val="en-GB"/>
              </w:rPr>
              <w:t>.</w:t>
            </w:r>
            <w:r w:rsidRPr="00800B07">
              <w:rPr>
                <w:rFonts w:cstheme="minorHAnsi"/>
                <w:sz w:val="18"/>
                <w:szCs w:val="18"/>
                <w:lang w:val="en-GB"/>
              </w:rPr>
              <w:t>1</w:t>
            </w:r>
          </w:p>
          <w:p w14:paraId="3D4F8B52"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2±0</w:t>
            </w:r>
            <w:r>
              <w:rPr>
                <w:rFonts w:cstheme="minorHAnsi"/>
                <w:sz w:val="18"/>
                <w:szCs w:val="18"/>
                <w:lang w:val="en-GB"/>
              </w:rPr>
              <w:t>.</w:t>
            </w:r>
            <w:r w:rsidRPr="00800B07">
              <w:rPr>
                <w:rFonts w:cstheme="minorHAnsi"/>
                <w:sz w:val="18"/>
                <w:szCs w:val="18"/>
                <w:lang w:val="en-GB"/>
              </w:rPr>
              <w:t>3</w:t>
            </w:r>
          </w:p>
        </w:tc>
        <w:tc>
          <w:tcPr>
            <w:tcW w:w="2551" w:type="dxa"/>
          </w:tcPr>
          <w:p w14:paraId="2FA09092"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1 (0</w:t>
            </w:r>
            <w:r>
              <w:rPr>
                <w:rFonts w:cstheme="minorHAnsi"/>
                <w:sz w:val="18"/>
                <w:szCs w:val="18"/>
                <w:lang w:val="en-GB"/>
              </w:rPr>
              <w:t>.</w:t>
            </w:r>
            <w:r w:rsidRPr="00800B07">
              <w:rPr>
                <w:rFonts w:cstheme="minorHAnsi"/>
                <w:sz w:val="18"/>
                <w:szCs w:val="18"/>
                <w:lang w:val="en-GB"/>
              </w:rPr>
              <w:t>0-0</w:t>
            </w:r>
            <w:r>
              <w:rPr>
                <w:rFonts w:cstheme="minorHAnsi"/>
                <w:sz w:val="18"/>
                <w:szCs w:val="18"/>
                <w:lang w:val="en-GB"/>
              </w:rPr>
              <w:t>.</w:t>
            </w:r>
            <w:r w:rsidRPr="00800B07">
              <w:rPr>
                <w:rFonts w:cstheme="minorHAnsi"/>
                <w:sz w:val="18"/>
                <w:szCs w:val="18"/>
                <w:lang w:val="en-GB"/>
              </w:rPr>
              <w:t>4)</w:t>
            </w:r>
          </w:p>
          <w:p w14:paraId="3DD70B54"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0 (0</w:t>
            </w:r>
            <w:r>
              <w:rPr>
                <w:rFonts w:cstheme="minorHAnsi"/>
                <w:sz w:val="18"/>
                <w:szCs w:val="18"/>
                <w:lang w:val="en-GB"/>
              </w:rPr>
              <w:t>.</w:t>
            </w:r>
            <w:r w:rsidRPr="00800B07">
              <w:rPr>
                <w:rFonts w:cstheme="minorHAnsi"/>
                <w:sz w:val="18"/>
                <w:szCs w:val="18"/>
                <w:lang w:val="en-GB"/>
              </w:rPr>
              <w:t>0-0</w:t>
            </w:r>
            <w:r>
              <w:rPr>
                <w:rFonts w:cstheme="minorHAnsi"/>
                <w:sz w:val="18"/>
                <w:szCs w:val="18"/>
                <w:lang w:val="en-GB"/>
              </w:rPr>
              <w:t>.</w:t>
            </w:r>
            <w:r w:rsidRPr="00800B07">
              <w:rPr>
                <w:rFonts w:cstheme="minorHAnsi"/>
                <w:sz w:val="18"/>
                <w:szCs w:val="18"/>
                <w:lang w:val="en-GB"/>
              </w:rPr>
              <w:t>1)</w:t>
            </w:r>
          </w:p>
        </w:tc>
        <w:tc>
          <w:tcPr>
            <w:tcW w:w="1844" w:type="dxa"/>
            <w:vMerge/>
          </w:tcPr>
          <w:p w14:paraId="7DDA6AA1" w14:textId="77777777" w:rsidR="00310678" w:rsidRPr="00800B07" w:rsidRDefault="00310678" w:rsidP="009F04A0">
            <w:pPr>
              <w:jc w:val="center"/>
              <w:rPr>
                <w:rFonts w:cstheme="minorHAnsi"/>
                <w:sz w:val="18"/>
                <w:szCs w:val="18"/>
                <w:lang w:val="en-GB"/>
              </w:rPr>
            </w:pPr>
          </w:p>
        </w:tc>
      </w:tr>
      <w:tr w:rsidR="00310678" w:rsidRPr="00800B07" w14:paraId="2EACA37A" w14:textId="77777777" w:rsidTr="00310678">
        <w:trPr>
          <w:trHeight w:val="282"/>
        </w:trPr>
        <w:tc>
          <w:tcPr>
            <w:tcW w:w="9214" w:type="dxa"/>
            <w:gridSpan w:val="4"/>
            <w:shd w:val="clear" w:color="auto" w:fill="E7E6E6" w:themeFill="background2"/>
          </w:tcPr>
          <w:p w14:paraId="231D1B4A" w14:textId="77777777" w:rsidR="00310678" w:rsidRPr="00800B07" w:rsidRDefault="00310678" w:rsidP="009F04A0">
            <w:pPr>
              <w:rPr>
                <w:rFonts w:cstheme="minorHAnsi"/>
                <w:sz w:val="18"/>
                <w:szCs w:val="18"/>
                <w:lang w:val="en-GB"/>
              </w:rPr>
            </w:pPr>
            <w:r w:rsidRPr="00800B07">
              <w:rPr>
                <w:rFonts w:cstheme="minorHAnsi"/>
                <w:b/>
                <w:bCs/>
                <w:sz w:val="18"/>
                <w:szCs w:val="18"/>
                <w:lang w:val="en-GB"/>
              </w:rPr>
              <w:t>STONE FORMATION RATE (n=142)</w:t>
            </w:r>
          </w:p>
        </w:tc>
      </w:tr>
      <w:tr w:rsidR="00310678" w:rsidRPr="00800B07" w14:paraId="5C061715" w14:textId="77777777" w:rsidTr="00310678">
        <w:trPr>
          <w:trHeight w:val="269"/>
        </w:trPr>
        <w:tc>
          <w:tcPr>
            <w:tcW w:w="2268" w:type="dxa"/>
          </w:tcPr>
          <w:p w14:paraId="30083EA3" w14:textId="77777777" w:rsidR="00310678" w:rsidRPr="00800B07" w:rsidRDefault="00310678" w:rsidP="009F04A0">
            <w:pPr>
              <w:rPr>
                <w:rFonts w:cstheme="minorHAnsi"/>
                <w:sz w:val="18"/>
                <w:szCs w:val="18"/>
                <w:lang w:val="en-GB"/>
              </w:rPr>
            </w:pPr>
            <w:r w:rsidRPr="00800B07">
              <w:rPr>
                <w:rFonts w:cstheme="minorHAnsi"/>
                <w:sz w:val="18"/>
                <w:szCs w:val="18"/>
                <w:lang w:val="en-GB"/>
              </w:rPr>
              <w:t>Follow-up period (yr)</w:t>
            </w:r>
          </w:p>
        </w:tc>
        <w:tc>
          <w:tcPr>
            <w:tcW w:w="2551" w:type="dxa"/>
          </w:tcPr>
          <w:p w14:paraId="4757B959" w14:textId="77777777" w:rsidR="00310678" w:rsidRPr="00800B07" w:rsidRDefault="00310678" w:rsidP="009F04A0">
            <w:pPr>
              <w:rPr>
                <w:rFonts w:cstheme="minorHAnsi"/>
                <w:sz w:val="18"/>
                <w:szCs w:val="18"/>
                <w:lang w:val="en-GB"/>
              </w:rPr>
            </w:pPr>
            <w:r w:rsidRPr="00800B07">
              <w:rPr>
                <w:rFonts w:cstheme="minorHAnsi"/>
                <w:sz w:val="18"/>
                <w:szCs w:val="18"/>
                <w:lang w:val="en-GB"/>
              </w:rPr>
              <w:t>3</w:t>
            </w:r>
            <w:r>
              <w:rPr>
                <w:rFonts w:cstheme="minorHAnsi"/>
                <w:sz w:val="18"/>
                <w:szCs w:val="18"/>
                <w:lang w:val="en-GB"/>
              </w:rPr>
              <w:t>.</w:t>
            </w:r>
            <w:r w:rsidRPr="00800B07">
              <w:rPr>
                <w:rFonts w:cstheme="minorHAnsi"/>
                <w:sz w:val="18"/>
                <w:szCs w:val="18"/>
                <w:lang w:val="en-GB"/>
              </w:rPr>
              <w:t>5±2</w:t>
            </w:r>
            <w:r>
              <w:rPr>
                <w:rFonts w:cstheme="minorHAnsi"/>
                <w:sz w:val="18"/>
                <w:szCs w:val="18"/>
                <w:lang w:val="en-GB"/>
              </w:rPr>
              <w:t>.</w:t>
            </w:r>
            <w:r w:rsidRPr="00800B07">
              <w:rPr>
                <w:rFonts w:cstheme="minorHAnsi"/>
                <w:sz w:val="18"/>
                <w:szCs w:val="18"/>
                <w:lang w:val="en-GB"/>
              </w:rPr>
              <w:t>3</w:t>
            </w:r>
          </w:p>
        </w:tc>
        <w:tc>
          <w:tcPr>
            <w:tcW w:w="2551" w:type="dxa"/>
          </w:tcPr>
          <w:p w14:paraId="0B6E65C6" w14:textId="77777777" w:rsidR="00310678" w:rsidRPr="00800B07" w:rsidRDefault="00310678" w:rsidP="009F04A0">
            <w:pPr>
              <w:rPr>
                <w:rFonts w:cstheme="minorHAnsi"/>
                <w:sz w:val="18"/>
                <w:szCs w:val="18"/>
                <w:lang w:val="en-GB"/>
              </w:rPr>
            </w:pPr>
            <w:r w:rsidRPr="00800B07">
              <w:rPr>
                <w:rFonts w:cstheme="minorHAnsi"/>
                <w:sz w:val="18"/>
                <w:szCs w:val="18"/>
                <w:lang w:val="en-GB"/>
              </w:rPr>
              <w:t>2</w:t>
            </w:r>
            <w:r>
              <w:rPr>
                <w:rFonts w:cstheme="minorHAnsi"/>
                <w:sz w:val="18"/>
                <w:szCs w:val="18"/>
                <w:lang w:val="en-GB"/>
              </w:rPr>
              <w:t>.</w:t>
            </w:r>
            <w:r w:rsidRPr="00800B07">
              <w:rPr>
                <w:rFonts w:cstheme="minorHAnsi"/>
                <w:sz w:val="18"/>
                <w:szCs w:val="18"/>
                <w:lang w:val="en-GB"/>
              </w:rPr>
              <w:t>8 (1</w:t>
            </w:r>
            <w:r>
              <w:rPr>
                <w:rFonts w:cstheme="minorHAnsi"/>
                <w:sz w:val="18"/>
                <w:szCs w:val="18"/>
                <w:lang w:val="en-GB"/>
              </w:rPr>
              <w:t>.</w:t>
            </w:r>
            <w:r w:rsidRPr="00800B07">
              <w:rPr>
                <w:rFonts w:cstheme="minorHAnsi"/>
                <w:sz w:val="18"/>
                <w:szCs w:val="18"/>
                <w:lang w:val="en-GB"/>
              </w:rPr>
              <w:t>6-4</w:t>
            </w:r>
            <w:r>
              <w:rPr>
                <w:rFonts w:cstheme="minorHAnsi"/>
                <w:sz w:val="18"/>
                <w:szCs w:val="18"/>
                <w:lang w:val="en-GB"/>
              </w:rPr>
              <w:t>.</w:t>
            </w:r>
            <w:r w:rsidRPr="00800B07">
              <w:rPr>
                <w:rFonts w:cstheme="minorHAnsi"/>
                <w:sz w:val="18"/>
                <w:szCs w:val="18"/>
                <w:lang w:val="en-GB"/>
              </w:rPr>
              <w:t>9)</w:t>
            </w:r>
          </w:p>
        </w:tc>
        <w:tc>
          <w:tcPr>
            <w:tcW w:w="1844" w:type="dxa"/>
            <w:vMerge w:val="restart"/>
          </w:tcPr>
          <w:p w14:paraId="254319A0" w14:textId="77777777" w:rsidR="00310678" w:rsidRPr="00800B07" w:rsidRDefault="00310678" w:rsidP="009F04A0">
            <w:pPr>
              <w:jc w:val="center"/>
              <w:rPr>
                <w:rFonts w:cstheme="minorHAnsi"/>
                <w:sz w:val="18"/>
                <w:szCs w:val="18"/>
                <w:lang w:val="en-GB"/>
              </w:rPr>
            </w:pPr>
          </w:p>
          <w:p w14:paraId="1A3AC78C" w14:textId="5CAE7273" w:rsidR="00310678" w:rsidRPr="00800B07" w:rsidRDefault="006E52B4" w:rsidP="009F04A0">
            <w:pPr>
              <w:jc w:val="center"/>
              <w:rPr>
                <w:rFonts w:cstheme="minorHAnsi"/>
                <w:sz w:val="18"/>
                <w:szCs w:val="18"/>
                <w:lang w:val="en-GB"/>
              </w:rPr>
            </w:pPr>
            <w:r w:rsidRPr="006E52B4">
              <w:rPr>
                <w:rFonts w:cstheme="minorHAnsi"/>
                <w:sz w:val="18"/>
                <w:szCs w:val="18"/>
                <w:lang w:val="en-GB"/>
              </w:rPr>
              <w:t>0.0061</w:t>
            </w:r>
          </w:p>
        </w:tc>
      </w:tr>
      <w:tr w:rsidR="00310678" w:rsidRPr="00800B07" w14:paraId="5088A78A" w14:textId="77777777" w:rsidTr="00310678">
        <w:trPr>
          <w:trHeight w:val="397"/>
        </w:trPr>
        <w:tc>
          <w:tcPr>
            <w:tcW w:w="2268" w:type="dxa"/>
          </w:tcPr>
          <w:p w14:paraId="70B05692" w14:textId="77777777" w:rsidR="00310678" w:rsidRPr="00800B07" w:rsidRDefault="00310678" w:rsidP="009F04A0">
            <w:pPr>
              <w:rPr>
                <w:rFonts w:cstheme="minorHAnsi"/>
                <w:sz w:val="18"/>
                <w:szCs w:val="18"/>
                <w:lang w:val="en-GB"/>
              </w:rPr>
            </w:pPr>
            <w:r w:rsidRPr="00800B07">
              <w:rPr>
                <w:rFonts w:cstheme="minorHAnsi"/>
                <w:sz w:val="18"/>
                <w:szCs w:val="18"/>
                <w:lang w:val="en-GB"/>
              </w:rPr>
              <w:t>Pre-treatment rate</w:t>
            </w:r>
            <w:r>
              <w:rPr>
                <w:rFonts w:cstheme="minorHAnsi"/>
                <w:sz w:val="18"/>
                <w:szCs w:val="18"/>
                <w:lang w:val="en-GB"/>
              </w:rPr>
              <w:t xml:space="preserve"> (per yr)</w:t>
            </w:r>
          </w:p>
          <w:p w14:paraId="37F605FE" w14:textId="77777777" w:rsidR="00310678" w:rsidRPr="00800B07" w:rsidRDefault="00310678" w:rsidP="009F04A0">
            <w:pPr>
              <w:rPr>
                <w:rFonts w:cstheme="minorHAnsi"/>
                <w:sz w:val="18"/>
                <w:szCs w:val="18"/>
                <w:lang w:val="en-GB"/>
              </w:rPr>
            </w:pPr>
            <w:r w:rsidRPr="00800B07">
              <w:rPr>
                <w:rFonts w:cstheme="minorHAnsi"/>
                <w:sz w:val="18"/>
                <w:szCs w:val="18"/>
                <w:lang w:val="en-GB"/>
              </w:rPr>
              <w:t>Post-treatment rate</w:t>
            </w:r>
            <w:r>
              <w:rPr>
                <w:rFonts w:cstheme="minorHAnsi"/>
                <w:sz w:val="18"/>
                <w:szCs w:val="18"/>
                <w:lang w:val="en-GB"/>
              </w:rPr>
              <w:t xml:space="preserve"> (per yr)</w:t>
            </w:r>
          </w:p>
        </w:tc>
        <w:tc>
          <w:tcPr>
            <w:tcW w:w="2551" w:type="dxa"/>
          </w:tcPr>
          <w:p w14:paraId="7450AAED" w14:textId="77777777" w:rsidR="00310678" w:rsidRPr="00800B07" w:rsidRDefault="00310678" w:rsidP="009F04A0">
            <w:pPr>
              <w:rPr>
                <w:rFonts w:cstheme="minorHAnsi"/>
                <w:sz w:val="18"/>
                <w:szCs w:val="18"/>
                <w:lang w:val="en-GB"/>
              </w:rPr>
            </w:pPr>
            <w:r w:rsidRPr="00800B07">
              <w:rPr>
                <w:rFonts w:cstheme="minorHAnsi"/>
                <w:sz w:val="18"/>
                <w:szCs w:val="18"/>
                <w:lang w:val="en-GB"/>
              </w:rPr>
              <w:t>3</w:t>
            </w:r>
            <w:r>
              <w:rPr>
                <w:rFonts w:cstheme="minorHAnsi"/>
                <w:sz w:val="18"/>
                <w:szCs w:val="18"/>
                <w:lang w:val="en-GB"/>
              </w:rPr>
              <w:t>.</w:t>
            </w:r>
            <w:r w:rsidRPr="00800B07">
              <w:rPr>
                <w:rFonts w:cstheme="minorHAnsi"/>
                <w:sz w:val="18"/>
                <w:szCs w:val="18"/>
                <w:lang w:val="en-GB"/>
              </w:rPr>
              <w:t>7±13</w:t>
            </w:r>
            <w:r>
              <w:rPr>
                <w:rFonts w:cstheme="minorHAnsi"/>
                <w:sz w:val="18"/>
                <w:szCs w:val="18"/>
                <w:lang w:val="en-GB"/>
              </w:rPr>
              <w:t>.</w:t>
            </w:r>
            <w:r w:rsidRPr="00800B07">
              <w:rPr>
                <w:rFonts w:cstheme="minorHAnsi"/>
                <w:sz w:val="18"/>
                <w:szCs w:val="18"/>
                <w:lang w:val="en-GB"/>
              </w:rPr>
              <w:t xml:space="preserve">3 </w:t>
            </w:r>
          </w:p>
          <w:p w14:paraId="55BA3524"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8±1</w:t>
            </w:r>
            <w:r>
              <w:rPr>
                <w:rFonts w:cstheme="minorHAnsi"/>
                <w:sz w:val="18"/>
                <w:szCs w:val="18"/>
                <w:lang w:val="en-GB"/>
              </w:rPr>
              <w:t>.</w:t>
            </w:r>
            <w:r w:rsidRPr="00800B07">
              <w:rPr>
                <w:rFonts w:cstheme="minorHAnsi"/>
                <w:sz w:val="18"/>
                <w:szCs w:val="18"/>
                <w:lang w:val="en-GB"/>
              </w:rPr>
              <w:t>2</w:t>
            </w:r>
          </w:p>
        </w:tc>
        <w:tc>
          <w:tcPr>
            <w:tcW w:w="2551" w:type="dxa"/>
          </w:tcPr>
          <w:p w14:paraId="63958768"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5 (0</w:t>
            </w:r>
            <w:r>
              <w:rPr>
                <w:rFonts w:cstheme="minorHAnsi"/>
                <w:sz w:val="18"/>
                <w:szCs w:val="18"/>
                <w:lang w:val="en-GB"/>
              </w:rPr>
              <w:t>.</w:t>
            </w:r>
            <w:r w:rsidRPr="00800B07">
              <w:rPr>
                <w:rFonts w:cstheme="minorHAnsi"/>
                <w:sz w:val="18"/>
                <w:szCs w:val="18"/>
                <w:lang w:val="en-GB"/>
              </w:rPr>
              <w:t>2-1</w:t>
            </w:r>
            <w:r>
              <w:rPr>
                <w:rFonts w:cstheme="minorHAnsi"/>
                <w:sz w:val="18"/>
                <w:szCs w:val="18"/>
                <w:lang w:val="en-GB"/>
              </w:rPr>
              <w:t>.</w:t>
            </w:r>
            <w:r w:rsidRPr="00800B07">
              <w:rPr>
                <w:rFonts w:cstheme="minorHAnsi"/>
                <w:sz w:val="18"/>
                <w:szCs w:val="18"/>
                <w:lang w:val="en-GB"/>
              </w:rPr>
              <w:t>6)</w:t>
            </w:r>
          </w:p>
          <w:p w14:paraId="7A789F1B"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 (0</w:t>
            </w:r>
            <w:r>
              <w:rPr>
                <w:rFonts w:cstheme="minorHAnsi"/>
                <w:sz w:val="18"/>
                <w:szCs w:val="18"/>
                <w:lang w:val="en-GB"/>
              </w:rPr>
              <w:t>.</w:t>
            </w:r>
            <w:r w:rsidRPr="00800B07">
              <w:rPr>
                <w:rFonts w:cstheme="minorHAnsi"/>
                <w:sz w:val="18"/>
                <w:szCs w:val="18"/>
                <w:lang w:val="en-GB"/>
              </w:rPr>
              <w:t>0-1</w:t>
            </w:r>
            <w:r>
              <w:rPr>
                <w:rFonts w:cstheme="minorHAnsi"/>
                <w:sz w:val="18"/>
                <w:szCs w:val="18"/>
                <w:lang w:val="en-GB"/>
              </w:rPr>
              <w:t>.</w:t>
            </w:r>
            <w:r w:rsidRPr="00800B07">
              <w:rPr>
                <w:rFonts w:cstheme="minorHAnsi"/>
                <w:sz w:val="18"/>
                <w:szCs w:val="18"/>
                <w:lang w:val="en-GB"/>
              </w:rPr>
              <w:t>0)</w:t>
            </w:r>
          </w:p>
        </w:tc>
        <w:tc>
          <w:tcPr>
            <w:tcW w:w="1844" w:type="dxa"/>
            <w:vMerge/>
          </w:tcPr>
          <w:p w14:paraId="007CD875" w14:textId="77777777" w:rsidR="00310678" w:rsidRPr="00800B07" w:rsidRDefault="00310678" w:rsidP="009F04A0">
            <w:pPr>
              <w:jc w:val="center"/>
              <w:rPr>
                <w:rFonts w:cstheme="minorHAnsi"/>
                <w:sz w:val="18"/>
                <w:szCs w:val="18"/>
                <w:lang w:val="en-GB"/>
              </w:rPr>
            </w:pPr>
          </w:p>
        </w:tc>
      </w:tr>
      <w:tr w:rsidR="00310678" w:rsidRPr="00800B07" w14:paraId="2BA68D90" w14:textId="77777777" w:rsidTr="00310678">
        <w:trPr>
          <w:trHeight w:val="268"/>
        </w:trPr>
        <w:tc>
          <w:tcPr>
            <w:tcW w:w="9214" w:type="dxa"/>
            <w:gridSpan w:val="4"/>
            <w:shd w:val="clear" w:color="auto" w:fill="E7E6E6" w:themeFill="background2"/>
          </w:tcPr>
          <w:p w14:paraId="25904B54" w14:textId="77777777" w:rsidR="00310678" w:rsidRPr="00800B07" w:rsidRDefault="00310678" w:rsidP="009F04A0">
            <w:pPr>
              <w:rPr>
                <w:rFonts w:cstheme="minorHAnsi"/>
                <w:b/>
                <w:bCs/>
                <w:sz w:val="18"/>
                <w:szCs w:val="18"/>
                <w:lang w:val="en-GB"/>
              </w:rPr>
            </w:pPr>
            <w:r w:rsidRPr="00800B07">
              <w:rPr>
                <w:rFonts w:cstheme="minorHAnsi"/>
                <w:b/>
                <w:bCs/>
                <w:sz w:val="18"/>
                <w:szCs w:val="18"/>
                <w:lang w:val="en-GB"/>
              </w:rPr>
              <w:t>UROLOGICAL INTERVENTION RATE (n=254)</w:t>
            </w:r>
          </w:p>
        </w:tc>
      </w:tr>
      <w:tr w:rsidR="00310678" w:rsidRPr="00800B07" w14:paraId="28045EB0" w14:textId="77777777" w:rsidTr="00310678">
        <w:trPr>
          <w:trHeight w:val="254"/>
        </w:trPr>
        <w:tc>
          <w:tcPr>
            <w:tcW w:w="2268" w:type="dxa"/>
          </w:tcPr>
          <w:p w14:paraId="2F91A20F" w14:textId="77777777" w:rsidR="00310678" w:rsidRPr="00800B07" w:rsidRDefault="00310678" w:rsidP="009F04A0">
            <w:pPr>
              <w:rPr>
                <w:rFonts w:cstheme="minorHAnsi"/>
                <w:sz w:val="18"/>
                <w:szCs w:val="18"/>
                <w:lang w:val="en-GB"/>
              </w:rPr>
            </w:pPr>
            <w:r w:rsidRPr="00800B07">
              <w:rPr>
                <w:rFonts w:cstheme="minorHAnsi"/>
                <w:sz w:val="18"/>
                <w:szCs w:val="18"/>
                <w:lang w:val="en-GB"/>
              </w:rPr>
              <w:t>Follow-up period (yr)</w:t>
            </w:r>
          </w:p>
        </w:tc>
        <w:tc>
          <w:tcPr>
            <w:tcW w:w="2551" w:type="dxa"/>
          </w:tcPr>
          <w:p w14:paraId="0102DDA3" w14:textId="77777777" w:rsidR="00310678" w:rsidRPr="00800B07" w:rsidRDefault="00310678" w:rsidP="009F04A0">
            <w:pPr>
              <w:rPr>
                <w:rFonts w:cstheme="minorHAnsi"/>
                <w:sz w:val="18"/>
                <w:szCs w:val="18"/>
                <w:lang w:val="en-GB"/>
              </w:rPr>
            </w:pPr>
            <w:r w:rsidRPr="00800B07">
              <w:rPr>
                <w:rFonts w:cstheme="minorHAnsi"/>
                <w:sz w:val="18"/>
                <w:szCs w:val="18"/>
                <w:lang w:val="en-GB"/>
              </w:rPr>
              <w:t>3</w:t>
            </w:r>
            <w:r>
              <w:rPr>
                <w:rFonts w:cstheme="minorHAnsi"/>
                <w:sz w:val="18"/>
                <w:szCs w:val="18"/>
                <w:lang w:val="en-GB"/>
              </w:rPr>
              <w:t>.</w:t>
            </w:r>
            <w:r w:rsidRPr="00800B07">
              <w:rPr>
                <w:rFonts w:cstheme="minorHAnsi"/>
                <w:sz w:val="18"/>
                <w:szCs w:val="18"/>
                <w:lang w:val="en-GB"/>
              </w:rPr>
              <w:t>7±2</w:t>
            </w:r>
            <w:r>
              <w:rPr>
                <w:rFonts w:cstheme="minorHAnsi"/>
                <w:sz w:val="18"/>
                <w:szCs w:val="18"/>
                <w:lang w:val="en-GB"/>
              </w:rPr>
              <w:t>.</w:t>
            </w:r>
            <w:r w:rsidRPr="00800B07">
              <w:rPr>
                <w:rFonts w:cstheme="minorHAnsi"/>
                <w:sz w:val="18"/>
                <w:szCs w:val="18"/>
                <w:lang w:val="en-GB"/>
              </w:rPr>
              <w:t>6</w:t>
            </w:r>
          </w:p>
        </w:tc>
        <w:tc>
          <w:tcPr>
            <w:tcW w:w="2551" w:type="dxa"/>
          </w:tcPr>
          <w:p w14:paraId="65FD74EE" w14:textId="77777777" w:rsidR="00310678" w:rsidRPr="00800B07" w:rsidRDefault="00310678" w:rsidP="009F04A0">
            <w:pPr>
              <w:rPr>
                <w:rFonts w:cstheme="minorHAnsi"/>
                <w:sz w:val="18"/>
                <w:szCs w:val="18"/>
                <w:lang w:val="en-GB"/>
              </w:rPr>
            </w:pPr>
            <w:r w:rsidRPr="00800B07">
              <w:rPr>
                <w:rFonts w:cstheme="minorHAnsi"/>
                <w:sz w:val="18"/>
                <w:szCs w:val="18"/>
                <w:lang w:val="en-GB"/>
              </w:rPr>
              <w:t>2</w:t>
            </w:r>
            <w:r>
              <w:rPr>
                <w:rFonts w:cstheme="minorHAnsi"/>
                <w:sz w:val="18"/>
                <w:szCs w:val="18"/>
                <w:lang w:val="en-GB"/>
              </w:rPr>
              <w:t>.</w:t>
            </w:r>
            <w:r w:rsidRPr="00800B07">
              <w:rPr>
                <w:rFonts w:cstheme="minorHAnsi"/>
                <w:sz w:val="18"/>
                <w:szCs w:val="18"/>
                <w:lang w:val="en-GB"/>
              </w:rPr>
              <w:t>9 (1</w:t>
            </w:r>
            <w:r>
              <w:rPr>
                <w:rFonts w:cstheme="minorHAnsi"/>
                <w:sz w:val="18"/>
                <w:szCs w:val="18"/>
                <w:lang w:val="en-GB"/>
              </w:rPr>
              <w:t>.</w:t>
            </w:r>
            <w:r w:rsidRPr="00800B07">
              <w:rPr>
                <w:rFonts w:cstheme="minorHAnsi"/>
                <w:sz w:val="18"/>
                <w:szCs w:val="18"/>
                <w:lang w:val="en-GB"/>
              </w:rPr>
              <w:t>6-5</w:t>
            </w:r>
            <w:r>
              <w:rPr>
                <w:rFonts w:cstheme="minorHAnsi"/>
                <w:sz w:val="18"/>
                <w:szCs w:val="18"/>
                <w:lang w:val="en-GB"/>
              </w:rPr>
              <w:t>.</w:t>
            </w:r>
            <w:r w:rsidRPr="00800B07">
              <w:rPr>
                <w:rFonts w:cstheme="minorHAnsi"/>
                <w:sz w:val="18"/>
                <w:szCs w:val="18"/>
                <w:lang w:val="en-GB"/>
              </w:rPr>
              <w:t>4)</w:t>
            </w:r>
          </w:p>
        </w:tc>
        <w:tc>
          <w:tcPr>
            <w:tcW w:w="1844" w:type="dxa"/>
            <w:vMerge w:val="restart"/>
          </w:tcPr>
          <w:p w14:paraId="477BA993" w14:textId="77777777" w:rsidR="00310678" w:rsidRPr="00800B07" w:rsidRDefault="00310678" w:rsidP="009F04A0">
            <w:pPr>
              <w:jc w:val="center"/>
              <w:rPr>
                <w:rFonts w:cstheme="minorHAnsi"/>
                <w:sz w:val="18"/>
                <w:szCs w:val="18"/>
                <w:lang w:val="en-GB"/>
              </w:rPr>
            </w:pPr>
          </w:p>
          <w:p w14:paraId="6E254CE8" w14:textId="77777777" w:rsidR="00310678" w:rsidRPr="00800B07" w:rsidRDefault="00310678" w:rsidP="009F04A0">
            <w:pPr>
              <w:jc w:val="center"/>
              <w:rPr>
                <w:rFonts w:cstheme="minorHAnsi"/>
                <w:sz w:val="18"/>
                <w:szCs w:val="18"/>
                <w:lang w:val="en-GB"/>
              </w:rPr>
            </w:pPr>
            <w:r w:rsidRPr="00800B07">
              <w:rPr>
                <w:sz w:val="18"/>
                <w:szCs w:val="18"/>
                <w:lang w:val="en-GB"/>
              </w:rPr>
              <w:t>&lt;</w:t>
            </w:r>
            <w:r>
              <w:rPr>
                <w:sz w:val="18"/>
                <w:szCs w:val="18"/>
                <w:lang w:val="en-GB"/>
              </w:rPr>
              <w:t>0.0001</w:t>
            </w:r>
          </w:p>
        </w:tc>
      </w:tr>
      <w:tr w:rsidR="00310678" w:rsidRPr="00800B07" w14:paraId="5BAFF3ED" w14:textId="77777777" w:rsidTr="00310678">
        <w:trPr>
          <w:trHeight w:val="397"/>
        </w:trPr>
        <w:tc>
          <w:tcPr>
            <w:tcW w:w="2268" w:type="dxa"/>
          </w:tcPr>
          <w:p w14:paraId="4AB149E6" w14:textId="34739B44" w:rsidR="00310678" w:rsidRPr="00800B07" w:rsidRDefault="00310678" w:rsidP="009F04A0">
            <w:pPr>
              <w:rPr>
                <w:rFonts w:cstheme="minorHAnsi"/>
                <w:sz w:val="18"/>
                <w:szCs w:val="18"/>
                <w:lang w:val="en-GB"/>
              </w:rPr>
            </w:pPr>
            <w:r w:rsidRPr="00800B07">
              <w:rPr>
                <w:rFonts w:cstheme="minorHAnsi"/>
                <w:sz w:val="18"/>
                <w:szCs w:val="18"/>
                <w:lang w:val="en-GB"/>
              </w:rPr>
              <w:t>Pre-treatment rate</w:t>
            </w:r>
            <w:r>
              <w:rPr>
                <w:rFonts w:cstheme="minorHAnsi"/>
                <w:sz w:val="18"/>
                <w:szCs w:val="18"/>
                <w:lang w:val="en-GB"/>
              </w:rPr>
              <w:t xml:space="preserve"> (per yr)</w:t>
            </w:r>
          </w:p>
          <w:p w14:paraId="0E6CCCBB" w14:textId="77777777" w:rsidR="00310678" w:rsidRPr="00800B07" w:rsidRDefault="00310678" w:rsidP="009F04A0">
            <w:pPr>
              <w:rPr>
                <w:rFonts w:cstheme="minorHAnsi"/>
                <w:sz w:val="18"/>
                <w:szCs w:val="18"/>
                <w:lang w:val="en-GB"/>
              </w:rPr>
            </w:pPr>
            <w:r w:rsidRPr="00800B07">
              <w:rPr>
                <w:rFonts w:cstheme="minorHAnsi"/>
                <w:sz w:val="18"/>
                <w:szCs w:val="18"/>
                <w:lang w:val="en-GB"/>
              </w:rPr>
              <w:t>Post-treatment rate</w:t>
            </w:r>
            <w:r>
              <w:rPr>
                <w:rFonts w:cstheme="minorHAnsi"/>
                <w:sz w:val="18"/>
                <w:szCs w:val="18"/>
                <w:lang w:val="en-GB"/>
              </w:rPr>
              <w:t xml:space="preserve"> (per yr)</w:t>
            </w:r>
          </w:p>
        </w:tc>
        <w:tc>
          <w:tcPr>
            <w:tcW w:w="2551" w:type="dxa"/>
          </w:tcPr>
          <w:p w14:paraId="7EF6E30B"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6±2</w:t>
            </w:r>
            <w:r>
              <w:rPr>
                <w:rFonts w:cstheme="minorHAnsi"/>
                <w:sz w:val="18"/>
                <w:szCs w:val="18"/>
                <w:lang w:val="en-GB"/>
              </w:rPr>
              <w:t>.</w:t>
            </w:r>
            <w:r w:rsidRPr="00800B07">
              <w:rPr>
                <w:rFonts w:cstheme="minorHAnsi"/>
                <w:sz w:val="18"/>
                <w:szCs w:val="18"/>
                <w:lang w:val="en-GB"/>
              </w:rPr>
              <w:t>2</w:t>
            </w:r>
          </w:p>
          <w:p w14:paraId="60711747"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1±0</w:t>
            </w:r>
            <w:r>
              <w:rPr>
                <w:rFonts w:cstheme="minorHAnsi"/>
                <w:sz w:val="18"/>
                <w:szCs w:val="18"/>
                <w:lang w:val="en-GB"/>
              </w:rPr>
              <w:t>.</w:t>
            </w:r>
            <w:r w:rsidRPr="00800B07">
              <w:rPr>
                <w:rFonts w:cstheme="minorHAnsi"/>
                <w:sz w:val="18"/>
                <w:szCs w:val="18"/>
                <w:lang w:val="en-GB"/>
              </w:rPr>
              <w:t>3</w:t>
            </w:r>
          </w:p>
        </w:tc>
        <w:tc>
          <w:tcPr>
            <w:tcW w:w="2551" w:type="dxa"/>
          </w:tcPr>
          <w:p w14:paraId="6D96E96A"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0 (0</w:t>
            </w:r>
            <w:r>
              <w:rPr>
                <w:rFonts w:cstheme="minorHAnsi"/>
                <w:sz w:val="18"/>
                <w:szCs w:val="18"/>
                <w:lang w:val="en-GB"/>
              </w:rPr>
              <w:t>.</w:t>
            </w:r>
            <w:r w:rsidRPr="00800B07">
              <w:rPr>
                <w:rFonts w:cstheme="minorHAnsi"/>
                <w:sz w:val="18"/>
                <w:szCs w:val="18"/>
                <w:lang w:val="en-GB"/>
              </w:rPr>
              <w:t>0-0</w:t>
            </w:r>
            <w:r>
              <w:rPr>
                <w:rFonts w:cstheme="minorHAnsi"/>
                <w:sz w:val="18"/>
                <w:szCs w:val="18"/>
                <w:lang w:val="en-GB"/>
              </w:rPr>
              <w:t>.</w:t>
            </w:r>
            <w:r w:rsidRPr="00800B07">
              <w:rPr>
                <w:rFonts w:cstheme="minorHAnsi"/>
                <w:sz w:val="18"/>
                <w:szCs w:val="18"/>
                <w:lang w:val="en-GB"/>
              </w:rPr>
              <w:t>2)</w:t>
            </w:r>
          </w:p>
          <w:p w14:paraId="5185738E"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0 (0</w:t>
            </w:r>
            <w:r>
              <w:rPr>
                <w:rFonts w:cstheme="minorHAnsi"/>
                <w:sz w:val="18"/>
                <w:szCs w:val="18"/>
                <w:lang w:val="en-GB"/>
              </w:rPr>
              <w:t>.</w:t>
            </w:r>
            <w:r w:rsidRPr="00800B07">
              <w:rPr>
                <w:rFonts w:cstheme="minorHAnsi"/>
                <w:sz w:val="18"/>
                <w:szCs w:val="18"/>
                <w:lang w:val="en-GB"/>
              </w:rPr>
              <w:t>0-0</w:t>
            </w:r>
            <w:r>
              <w:rPr>
                <w:rFonts w:cstheme="minorHAnsi"/>
                <w:sz w:val="18"/>
                <w:szCs w:val="18"/>
                <w:lang w:val="en-GB"/>
              </w:rPr>
              <w:t>.</w:t>
            </w:r>
            <w:r w:rsidRPr="00800B07">
              <w:rPr>
                <w:rFonts w:cstheme="minorHAnsi"/>
                <w:sz w:val="18"/>
                <w:szCs w:val="18"/>
                <w:lang w:val="en-GB"/>
              </w:rPr>
              <w:t>0)</w:t>
            </w:r>
          </w:p>
        </w:tc>
        <w:tc>
          <w:tcPr>
            <w:tcW w:w="1844" w:type="dxa"/>
            <w:vMerge/>
          </w:tcPr>
          <w:p w14:paraId="07AEE5BB" w14:textId="77777777" w:rsidR="00310678" w:rsidRPr="00800B07" w:rsidRDefault="00310678" w:rsidP="009F04A0">
            <w:pPr>
              <w:rPr>
                <w:rFonts w:cstheme="minorHAnsi"/>
                <w:sz w:val="18"/>
                <w:szCs w:val="18"/>
                <w:lang w:val="en-GB"/>
              </w:rPr>
            </w:pPr>
          </w:p>
        </w:tc>
      </w:tr>
    </w:tbl>
    <w:p w14:paraId="082D9F65" w14:textId="77777777" w:rsidR="00310678" w:rsidRPr="00800B07" w:rsidRDefault="00310678" w:rsidP="00310678">
      <w:pPr>
        <w:spacing w:after="0"/>
        <w:rPr>
          <w:sz w:val="18"/>
          <w:szCs w:val="18"/>
          <w:u w:val="single"/>
          <w:lang w:val="en-GB"/>
        </w:rPr>
      </w:pPr>
    </w:p>
    <w:p w14:paraId="5948A66E" w14:textId="77777777" w:rsidR="00310678" w:rsidRPr="00800B07" w:rsidRDefault="00310678" w:rsidP="00310678">
      <w:pPr>
        <w:rPr>
          <w:lang w:val="en-GB"/>
        </w:rPr>
      </w:pPr>
      <w:r w:rsidRPr="00800B07">
        <w:rPr>
          <w:u w:val="single"/>
          <w:lang w:val="en-GB"/>
        </w:rPr>
        <w:t xml:space="preserve">Table 13: </w:t>
      </w:r>
      <w:r w:rsidRPr="00800B07">
        <w:rPr>
          <w:lang w:val="en-GB"/>
        </w:rPr>
        <w:t>Additional Wilcoxon signed rank tests for stone formation rate with the intent of avoiding overestimation of the pre-treatment rates</w:t>
      </w:r>
    </w:p>
    <w:tbl>
      <w:tblPr>
        <w:tblStyle w:val="Tabelraster"/>
        <w:tblW w:w="9214" w:type="dxa"/>
        <w:tblLook w:val="04A0" w:firstRow="1" w:lastRow="0" w:firstColumn="1" w:lastColumn="0" w:noHBand="0" w:noVBand="1"/>
      </w:tblPr>
      <w:tblGrid>
        <w:gridCol w:w="2267"/>
        <w:gridCol w:w="2551"/>
        <w:gridCol w:w="2551"/>
        <w:gridCol w:w="1845"/>
      </w:tblGrid>
      <w:tr w:rsidR="00310678" w:rsidRPr="00800B07" w14:paraId="6AFB9840" w14:textId="77777777" w:rsidTr="00310678">
        <w:tc>
          <w:tcPr>
            <w:tcW w:w="2267" w:type="dxa"/>
            <w:tcBorders>
              <w:top w:val="nil"/>
              <w:left w:val="nil"/>
            </w:tcBorders>
          </w:tcPr>
          <w:p w14:paraId="5325A167" w14:textId="77777777" w:rsidR="00310678" w:rsidRPr="00800B07" w:rsidRDefault="00310678" w:rsidP="009F04A0">
            <w:pPr>
              <w:rPr>
                <w:rFonts w:cstheme="minorHAnsi"/>
                <w:sz w:val="18"/>
                <w:szCs w:val="18"/>
                <w:lang w:val="en-GB"/>
              </w:rPr>
            </w:pPr>
          </w:p>
        </w:tc>
        <w:tc>
          <w:tcPr>
            <w:tcW w:w="2551" w:type="dxa"/>
            <w:shd w:val="clear" w:color="auto" w:fill="000000" w:themeFill="text1"/>
          </w:tcPr>
          <w:p w14:paraId="65ADC548" w14:textId="77777777" w:rsidR="00310678" w:rsidRPr="00800B07" w:rsidRDefault="00310678" w:rsidP="009F04A0">
            <w:pPr>
              <w:rPr>
                <w:rFonts w:cstheme="minorHAnsi"/>
                <w:sz w:val="18"/>
                <w:szCs w:val="18"/>
                <w:lang w:val="en-GB"/>
              </w:rPr>
            </w:pPr>
            <w:r w:rsidRPr="00800B07">
              <w:rPr>
                <w:rFonts w:cstheme="minorHAnsi"/>
                <w:sz w:val="18"/>
                <w:szCs w:val="18"/>
                <w:lang w:val="en-GB"/>
              </w:rPr>
              <w:t>Mean ± SD</w:t>
            </w:r>
          </w:p>
        </w:tc>
        <w:tc>
          <w:tcPr>
            <w:tcW w:w="2551" w:type="dxa"/>
            <w:shd w:val="clear" w:color="auto" w:fill="000000" w:themeFill="text1"/>
          </w:tcPr>
          <w:p w14:paraId="56764554" w14:textId="77777777" w:rsidR="00310678" w:rsidRPr="00800B07" w:rsidRDefault="00310678" w:rsidP="009F04A0">
            <w:pPr>
              <w:rPr>
                <w:rFonts w:cstheme="minorHAnsi"/>
                <w:sz w:val="18"/>
                <w:szCs w:val="18"/>
                <w:lang w:val="en-GB"/>
              </w:rPr>
            </w:pPr>
            <w:r w:rsidRPr="00800B07">
              <w:rPr>
                <w:rFonts w:cstheme="minorHAnsi"/>
                <w:sz w:val="18"/>
                <w:szCs w:val="18"/>
                <w:lang w:val="en-GB"/>
              </w:rPr>
              <w:t>Median (IQR)</w:t>
            </w:r>
          </w:p>
        </w:tc>
        <w:tc>
          <w:tcPr>
            <w:tcW w:w="1845" w:type="dxa"/>
            <w:shd w:val="clear" w:color="auto" w:fill="000000" w:themeFill="text1"/>
          </w:tcPr>
          <w:p w14:paraId="124E901E" w14:textId="690AE434" w:rsidR="00310678" w:rsidRPr="00800B07" w:rsidRDefault="00B4566E" w:rsidP="009F04A0">
            <w:pPr>
              <w:rPr>
                <w:rFonts w:cstheme="minorHAnsi"/>
                <w:sz w:val="18"/>
                <w:szCs w:val="18"/>
                <w:lang w:val="fr-BE"/>
              </w:rPr>
            </w:pPr>
            <w:r w:rsidRPr="00B4566E">
              <w:rPr>
                <w:rFonts w:cstheme="minorHAnsi"/>
                <w:i/>
                <w:iCs/>
                <w:sz w:val="18"/>
                <w:szCs w:val="18"/>
                <w:lang w:val="fr-BE"/>
              </w:rPr>
              <w:t>P</w:t>
            </w:r>
            <w:r w:rsidR="00310678" w:rsidRPr="00800B07">
              <w:rPr>
                <w:rFonts w:cstheme="minorHAnsi"/>
                <w:sz w:val="18"/>
                <w:szCs w:val="18"/>
                <w:lang w:val="fr-BE"/>
              </w:rPr>
              <w:t>-value</w:t>
            </w:r>
          </w:p>
        </w:tc>
      </w:tr>
      <w:tr w:rsidR="00310678" w:rsidRPr="0073106F" w14:paraId="727F9278" w14:textId="77777777" w:rsidTr="006E52B4">
        <w:trPr>
          <w:trHeight w:val="468"/>
        </w:trPr>
        <w:tc>
          <w:tcPr>
            <w:tcW w:w="9214" w:type="dxa"/>
            <w:gridSpan w:val="4"/>
            <w:shd w:val="clear" w:color="auto" w:fill="E7E6E6" w:themeFill="background2"/>
          </w:tcPr>
          <w:p w14:paraId="510CC8C8" w14:textId="0B2D1B4D" w:rsidR="00310678" w:rsidRPr="00800B07" w:rsidRDefault="00310678" w:rsidP="009F04A0">
            <w:pPr>
              <w:rPr>
                <w:rFonts w:cstheme="minorHAnsi"/>
                <w:b/>
                <w:bCs/>
                <w:sz w:val="18"/>
                <w:szCs w:val="18"/>
                <w:lang w:val="en-GB"/>
              </w:rPr>
            </w:pPr>
            <w:r w:rsidRPr="00800B07">
              <w:rPr>
                <w:rFonts w:cstheme="minorHAnsi"/>
                <w:b/>
                <w:bCs/>
                <w:sz w:val="18"/>
                <w:szCs w:val="18"/>
                <w:lang w:val="en-GB"/>
              </w:rPr>
              <w:t xml:space="preserve">EXPRESSION OF THE STONE FORMATION RATES </w:t>
            </w:r>
            <w:r w:rsidR="000575B5">
              <w:rPr>
                <w:rFonts w:cstheme="minorHAnsi"/>
                <w:b/>
                <w:bCs/>
                <w:sz w:val="18"/>
                <w:szCs w:val="18"/>
                <w:lang w:val="en-GB"/>
              </w:rPr>
              <w:t>BASED ON A MINIMUM P</w:t>
            </w:r>
            <w:r w:rsidR="00917640">
              <w:rPr>
                <w:rFonts w:cstheme="minorHAnsi"/>
                <w:b/>
                <w:bCs/>
                <w:sz w:val="18"/>
                <w:szCs w:val="18"/>
                <w:lang w:val="en-GB"/>
              </w:rPr>
              <w:t>RETREATMENT INTERVAL OF</w:t>
            </w:r>
            <w:r w:rsidRPr="00800B07">
              <w:rPr>
                <w:rFonts w:cstheme="minorHAnsi"/>
                <w:b/>
                <w:bCs/>
                <w:sz w:val="18"/>
                <w:szCs w:val="18"/>
                <w:lang w:val="en-GB"/>
              </w:rPr>
              <w:t xml:space="preserve"> 5 YEARS (n = 142)</w:t>
            </w:r>
            <w:r w:rsidR="00FC2144" w:rsidRPr="009F04A0">
              <w:rPr>
                <w:rFonts w:cstheme="minorHAnsi"/>
                <w:b/>
                <w:bCs/>
                <w:sz w:val="18"/>
                <w:szCs w:val="18"/>
                <w:vertAlign w:val="superscript"/>
                <w:lang w:val="en-GB"/>
              </w:rPr>
              <w:t>a</w:t>
            </w:r>
          </w:p>
        </w:tc>
      </w:tr>
      <w:tr w:rsidR="00310678" w:rsidRPr="00800B07" w14:paraId="64740033" w14:textId="77777777" w:rsidTr="00310678">
        <w:trPr>
          <w:trHeight w:val="495"/>
        </w:trPr>
        <w:tc>
          <w:tcPr>
            <w:tcW w:w="2267" w:type="dxa"/>
          </w:tcPr>
          <w:p w14:paraId="2323026D" w14:textId="77777777" w:rsidR="00310678" w:rsidRPr="00800B07" w:rsidRDefault="00310678" w:rsidP="009F04A0">
            <w:pPr>
              <w:rPr>
                <w:rFonts w:cstheme="minorHAnsi"/>
                <w:sz w:val="18"/>
                <w:szCs w:val="18"/>
                <w:lang w:val="en-GB"/>
              </w:rPr>
            </w:pPr>
            <w:r w:rsidRPr="00800B07">
              <w:rPr>
                <w:rFonts w:cstheme="minorHAnsi"/>
                <w:sz w:val="18"/>
                <w:szCs w:val="18"/>
                <w:lang w:val="en-GB"/>
              </w:rPr>
              <w:t>Pre-treatment rate</w:t>
            </w:r>
            <w:r>
              <w:rPr>
                <w:rFonts w:cstheme="minorHAnsi"/>
                <w:sz w:val="18"/>
                <w:szCs w:val="18"/>
                <w:lang w:val="en-GB"/>
              </w:rPr>
              <w:t xml:space="preserve"> (per yr)</w:t>
            </w:r>
          </w:p>
          <w:p w14:paraId="1120DAC1" w14:textId="77777777" w:rsidR="00310678" w:rsidRPr="00800B07" w:rsidRDefault="00310678" w:rsidP="009F04A0">
            <w:pPr>
              <w:rPr>
                <w:rFonts w:cstheme="minorHAnsi"/>
                <w:b/>
                <w:bCs/>
                <w:sz w:val="18"/>
                <w:szCs w:val="18"/>
                <w:lang w:val="en-GB"/>
              </w:rPr>
            </w:pPr>
            <w:r w:rsidRPr="00800B07">
              <w:rPr>
                <w:rFonts w:cstheme="minorHAnsi"/>
                <w:sz w:val="18"/>
                <w:szCs w:val="18"/>
                <w:lang w:val="en-GB"/>
              </w:rPr>
              <w:t>Post-treatment rate</w:t>
            </w:r>
            <w:r>
              <w:rPr>
                <w:rFonts w:cstheme="minorHAnsi"/>
                <w:sz w:val="18"/>
                <w:szCs w:val="18"/>
                <w:lang w:val="en-GB"/>
              </w:rPr>
              <w:t xml:space="preserve"> (per yr)</w:t>
            </w:r>
          </w:p>
        </w:tc>
        <w:tc>
          <w:tcPr>
            <w:tcW w:w="2551" w:type="dxa"/>
          </w:tcPr>
          <w:p w14:paraId="3474D8B5"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7±0</w:t>
            </w:r>
            <w:r>
              <w:rPr>
                <w:rFonts w:cstheme="minorHAnsi"/>
                <w:sz w:val="18"/>
                <w:szCs w:val="18"/>
                <w:lang w:val="en-GB"/>
              </w:rPr>
              <w:t>.</w:t>
            </w:r>
            <w:r w:rsidRPr="00800B07">
              <w:rPr>
                <w:rFonts w:cstheme="minorHAnsi"/>
                <w:sz w:val="18"/>
                <w:szCs w:val="18"/>
                <w:lang w:val="en-GB"/>
              </w:rPr>
              <w:t xml:space="preserve">9 </w:t>
            </w:r>
          </w:p>
          <w:p w14:paraId="01AA733F"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8±1</w:t>
            </w:r>
            <w:r>
              <w:rPr>
                <w:rFonts w:cstheme="minorHAnsi"/>
                <w:sz w:val="18"/>
                <w:szCs w:val="18"/>
                <w:lang w:val="en-GB"/>
              </w:rPr>
              <w:t>.</w:t>
            </w:r>
            <w:r w:rsidRPr="00800B07">
              <w:rPr>
                <w:rFonts w:cstheme="minorHAnsi"/>
                <w:sz w:val="18"/>
                <w:szCs w:val="18"/>
                <w:lang w:val="en-GB"/>
              </w:rPr>
              <w:t>2</w:t>
            </w:r>
          </w:p>
        </w:tc>
        <w:tc>
          <w:tcPr>
            <w:tcW w:w="2551" w:type="dxa"/>
          </w:tcPr>
          <w:p w14:paraId="0313E30D"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 (0</w:t>
            </w:r>
            <w:r>
              <w:rPr>
                <w:rFonts w:cstheme="minorHAnsi"/>
                <w:sz w:val="18"/>
                <w:szCs w:val="18"/>
                <w:lang w:val="en-GB"/>
              </w:rPr>
              <w:t>.</w:t>
            </w:r>
            <w:r w:rsidRPr="00800B07">
              <w:rPr>
                <w:rFonts w:cstheme="minorHAnsi"/>
                <w:sz w:val="18"/>
                <w:szCs w:val="18"/>
                <w:lang w:val="en-GB"/>
              </w:rPr>
              <w:t>2-0</w:t>
            </w:r>
            <w:r>
              <w:rPr>
                <w:rFonts w:cstheme="minorHAnsi"/>
                <w:sz w:val="18"/>
                <w:szCs w:val="18"/>
                <w:lang w:val="en-GB"/>
              </w:rPr>
              <w:t>.</w:t>
            </w:r>
            <w:r w:rsidRPr="00800B07">
              <w:rPr>
                <w:rFonts w:cstheme="minorHAnsi"/>
                <w:sz w:val="18"/>
                <w:szCs w:val="18"/>
                <w:lang w:val="en-GB"/>
              </w:rPr>
              <w:t>8)</w:t>
            </w:r>
          </w:p>
          <w:p w14:paraId="2CFA0ED1"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 (0</w:t>
            </w:r>
            <w:r>
              <w:rPr>
                <w:rFonts w:cstheme="minorHAnsi"/>
                <w:sz w:val="18"/>
                <w:szCs w:val="18"/>
                <w:lang w:val="en-GB"/>
              </w:rPr>
              <w:t>.</w:t>
            </w:r>
            <w:r w:rsidRPr="00800B07">
              <w:rPr>
                <w:rFonts w:cstheme="minorHAnsi"/>
                <w:sz w:val="18"/>
                <w:szCs w:val="18"/>
                <w:lang w:val="en-GB"/>
              </w:rPr>
              <w:t>0-1</w:t>
            </w:r>
            <w:r>
              <w:rPr>
                <w:rFonts w:cstheme="minorHAnsi"/>
                <w:sz w:val="18"/>
                <w:szCs w:val="18"/>
                <w:lang w:val="en-GB"/>
              </w:rPr>
              <w:t>.</w:t>
            </w:r>
            <w:r w:rsidRPr="00800B07">
              <w:rPr>
                <w:rFonts w:cstheme="minorHAnsi"/>
                <w:sz w:val="18"/>
                <w:szCs w:val="18"/>
                <w:lang w:val="en-GB"/>
              </w:rPr>
              <w:t>0)</w:t>
            </w:r>
          </w:p>
        </w:tc>
        <w:tc>
          <w:tcPr>
            <w:tcW w:w="1845" w:type="dxa"/>
          </w:tcPr>
          <w:p w14:paraId="10172F08" w14:textId="2C3B04F5" w:rsidR="00310678" w:rsidRPr="000138AF" w:rsidRDefault="006E52B4" w:rsidP="009F04A0">
            <w:pPr>
              <w:jc w:val="center"/>
              <w:rPr>
                <w:rFonts w:cstheme="minorHAnsi"/>
                <w:sz w:val="18"/>
                <w:szCs w:val="18"/>
                <w:lang w:val="en-GB"/>
              </w:rPr>
            </w:pPr>
            <w:r w:rsidRPr="006E52B4">
              <w:rPr>
                <w:rFonts w:cstheme="minorHAnsi"/>
                <w:sz w:val="18"/>
                <w:szCs w:val="18"/>
                <w:lang w:val="en-GB"/>
              </w:rPr>
              <w:t>0.2349</w:t>
            </w:r>
          </w:p>
        </w:tc>
      </w:tr>
      <w:tr w:rsidR="00310678" w:rsidRPr="0073106F" w14:paraId="012658E0" w14:textId="77777777" w:rsidTr="00310678">
        <w:trPr>
          <w:trHeight w:val="282"/>
        </w:trPr>
        <w:tc>
          <w:tcPr>
            <w:tcW w:w="9214" w:type="dxa"/>
            <w:gridSpan w:val="4"/>
            <w:shd w:val="clear" w:color="auto" w:fill="E7E6E6" w:themeFill="background2"/>
          </w:tcPr>
          <w:p w14:paraId="51388A81" w14:textId="7DEC8F2C" w:rsidR="00310678" w:rsidRPr="000138AF" w:rsidRDefault="00310678" w:rsidP="009F04A0">
            <w:pPr>
              <w:rPr>
                <w:rFonts w:cstheme="minorHAnsi"/>
                <w:b/>
                <w:bCs/>
                <w:sz w:val="18"/>
                <w:szCs w:val="18"/>
                <w:lang w:val="en-GB"/>
              </w:rPr>
            </w:pPr>
            <w:r w:rsidRPr="000138AF">
              <w:rPr>
                <w:rFonts w:cstheme="minorHAnsi"/>
                <w:b/>
                <w:bCs/>
                <w:sz w:val="18"/>
                <w:szCs w:val="18"/>
                <w:lang w:val="en-GB"/>
              </w:rPr>
              <w:t>CONSIDERING ONLY PATIENTS WITH A PRE-TREATMENT INTERVAL OF MORE THAN 3 YEARS (n = 90 )</w:t>
            </w:r>
            <w:r w:rsidR="00FC2144" w:rsidRPr="009F04A0">
              <w:rPr>
                <w:rFonts w:cstheme="minorHAnsi"/>
                <w:b/>
                <w:bCs/>
                <w:sz w:val="18"/>
                <w:szCs w:val="18"/>
                <w:vertAlign w:val="superscript"/>
                <w:lang w:val="en-GB"/>
              </w:rPr>
              <w:t>b</w:t>
            </w:r>
          </w:p>
        </w:tc>
      </w:tr>
      <w:tr w:rsidR="00310678" w:rsidRPr="00800B07" w14:paraId="7A7B3A46" w14:textId="77777777" w:rsidTr="00310678">
        <w:trPr>
          <w:trHeight w:val="269"/>
        </w:trPr>
        <w:tc>
          <w:tcPr>
            <w:tcW w:w="2267" w:type="dxa"/>
          </w:tcPr>
          <w:p w14:paraId="372C2CF8" w14:textId="77777777" w:rsidR="00310678" w:rsidRPr="00800B07" w:rsidRDefault="00310678" w:rsidP="009F04A0">
            <w:pPr>
              <w:rPr>
                <w:rFonts w:cstheme="minorHAnsi"/>
                <w:sz w:val="18"/>
                <w:szCs w:val="18"/>
                <w:lang w:val="en-GB"/>
              </w:rPr>
            </w:pPr>
            <w:r w:rsidRPr="00800B07">
              <w:rPr>
                <w:rFonts w:cstheme="minorHAnsi"/>
                <w:sz w:val="18"/>
                <w:szCs w:val="18"/>
                <w:lang w:val="en-GB"/>
              </w:rPr>
              <w:t>Pre-treatment rate</w:t>
            </w:r>
            <w:r>
              <w:rPr>
                <w:rFonts w:cstheme="minorHAnsi"/>
                <w:sz w:val="18"/>
                <w:szCs w:val="18"/>
                <w:lang w:val="en-GB"/>
              </w:rPr>
              <w:t xml:space="preserve"> (per yr)</w:t>
            </w:r>
          </w:p>
          <w:p w14:paraId="34C5E449" w14:textId="77777777" w:rsidR="00310678" w:rsidRPr="00800B07" w:rsidRDefault="00310678" w:rsidP="009F04A0">
            <w:pPr>
              <w:rPr>
                <w:rFonts w:cstheme="minorHAnsi"/>
                <w:sz w:val="18"/>
                <w:szCs w:val="18"/>
                <w:lang w:val="en-GB"/>
              </w:rPr>
            </w:pPr>
            <w:r w:rsidRPr="00800B07">
              <w:rPr>
                <w:rFonts w:cstheme="minorHAnsi"/>
                <w:sz w:val="18"/>
                <w:szCs w:val="18"/>
                <w:lang w:val="en-GB"/>
              </w:rPr>
              <w:t xml:space="preserve">Post-treatment rate </w:t>
            </w:r>
            <w:r>
              <w:rPr>
                <w:rFonts w:cstheme="minorHAnsi"/>
                <w:sz w:val="18"/>
                <w:szCs w:val="18"/>
                <w:lang w:val="en-GB"/>
              </w:rPr>
              <w:t>(per yr)</w:t>
            </w:r>
          </w:p>
        </w:tc>
        <w:tc>
          <w:tcPr>
            <w:tcW w:w="2551" w:type="dxa"/>
          </w:tcPr>
          <w:p w14:paraId="26D3A0AF"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7±0</w:t>
            </w:r>
            <w:r>
              <w:rPr>
                <w:rFonts w:cstheme="minorHAnsi"/>
                <w:sz w:val="18"/>
                <w:szCs w:val="18"/>
                <w:lang w:val="en-GB"/>
              </w:rPr>
              <w:t>.</w:t>
            </w:r>
            <w:r w:rsidRPr="00800B07">
              <w:rPr>
                <w:rFonts w:cstheme="minorHAnsi"/>
                <w:sz w:val="18"/>
                <w:szCs w:val="18"/>
                <w:lang w:val="en-GB"/>
              </w:rPr>
              <w:t>9</w:t>
            </w:r>
          </w:p>
          <w:p w14:paraId="1FC81D16"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8±1</w:t>
            </w:r>
            <w:r>
              <w:rPr>
                <w:rFonts w:cstheme="minorHAnsi"/>
                <w:sz w:val="18"/>
                <w:szCs w:val="18"/>
                <w:lang w:val="en-GB"/>
              </w:rPr>
              <w:t>.</w:t>
            </w:r>
            <w:r w:rsidRPr="00800B07">
              <w:rPr>
                <w:rFonts w:cstheme="minorHAnsi"/>
                <w:sz w:val="18"/>
                <w:szCs w:val="18"/>
                <w:lang w:val="en-GB"/>
              </w:rPr>
              <w:t xml:space="preserve">2 </w:t>
            </w:r>
          </w:p>
        </w:tc>
        <w:tc>
          <w:tcPr>
            <w:tcW w:w="2551" w:type="dxa"/>
          </w:tcPr>
          <w:p w14:paraId="5B10A1B8"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 (0</w:t>
            </w:r>
            <w:r>
              <w:rPr>
                <w:rFonts w:cstheme="minorHAnsi"/>
                <w:sz w:val="18"/>
                <w:szCs w:val="18"/>
                <w:lang w:val="en-GB"/>
              </w:rPr>
              <w:t>.</w:t>
            </w:r>
            <w:r w:rsidRPr="00800B07">
              <w:rPr>
                <w:rFonts w:cstheme="minorHAnsi"/>
                <w:sz w:val="18"/>
                <w:szCs w:val="18"/>
                <w:lang w:val="en-GB"/>
              </w:rPr>
              <w:t>2-0</w:t>
            </w:r>
            <w:r>
              <w:rPr>
                <w:rFonts w:cstheme="minorHAnsi"/>
                <w:sz w:val="18"/>
                <w:szCs w:val="18"/>
                <w:lang w:val="en-GB"/>
              </w:rPr>
              <w:t>.</w:t>
            </w:r>
            <w:r w:rsidRPr="00800B07">
              <w:rPr>
                <w:rFonts w:cstheme="minorHAnsi"/>
                <w:sz w:val="18"/>
                <w:szCs w:val="18"/>
                <w:lang w:val="en-GB"/>
              </w:rPr>
              <w:t>8)</w:t>
            </w:r>
          </w:p>
          <w:p w14:paraId="2818E9AF" w14:textId="77777777" w:rsidR="00310678" w:rsidRPr="00800B07" w:rsidRDefault="00310678" w:rsidP="009F04A0">
            <w:pPr>
              <w:rPr>
                <w:rFonts w:cstheme="minorHAnsi"/>
                <w:sz w:val="18"/>
                <w:szCs w:val="18"/>
                <w:lang w:val="en-GB"/>
              </w:rPr>
            </w:pPr>
            <w:r w:rsidRPr="00800B07">
              <w:rPr>
                <w:rFonts w:cstheme="minorHAnsi"/>
                <w:sz w:val="18"/>
                <w:szCs w:val="18"/>
                <w:lang w:val="en-GB"/>
              </w:rPr>
              <w:t>0</w:t>
            </w:r>
            <w:r>
              <w:rPr>
                <w:rFonts w:cstheme="minorHAnsi"/>
                <w:sz w:val="18"/>
                <w:szCs w:val="18"/>
                <w:lang w:val="en-GB"/>
              </w:rPr>
              <w:t>.</w:t>
            </w:r>
            <w:r w:rsidRPr="00800B07">
              <w:rPr>
                <w:rFonts w:cstheme="minorHAnsi"/>
                <w:sz w:val="18"/>
                <w:szCs w:val="18"/>
                <w:lang w:val="en-GB"/>
              </w:rPr>
              <w:t>4 (0</w:t>
            </w:r>
            <w:r>
              <w:rPr>
                <w:rFonts w:cstheme="minorHAnsi"/>
                <w:sz w:val="18"/>
                <w:szCs w:val="18"/>
                <w:lang w:val="en-GB"/>
              </w:rPr>
              <w:t>.</w:t>
            </w:r>
            <w:r w:rsidRPr="00800B07">
              <w:rPr>
                <w:rFonts w:cstheme="minorHAnsi"/>
                <w:sz w:val="18"/>
                <w:szCs w:val="18"/>
                <w:lang w:val="en-GB"/>
              </w:rPr>
              <w:t>0-1</w:t>
            </w:r>
            <w:r>
              <w:rPr>
                <w:rFonts w:cstheme="minorHAnsi"/>
                <w:sz w:val="18"/>
                <w:szCs w:val="18"/>
                <w:lang w:val="en-GB"/>
              </w:rPr>
              <w:t>.</w:t>
            </w:r>
            <w:r w:rsidRPr="00800B07">
              <w:rPr>
                <w:rFonts w:cstheme="minorHAnsi"/>
                <w:sz w:val="18"/>
                <w:szCs w:val="18"/>
                <w:lang w:val="en-GB"/>
              </w:rPr>
              <w:t>0)</w:t>
            </w:r>
          </w:p>
        </w:tc>
        <w:tc>
          <w:tcPr>
            <w:tcW w:w="1845" w:type="dxa"/>
          </w:tcPr>
          <w:p w14:paraId="5EC9B03F" w14:textId="1824F97E" w:rsidR="00310678" w:rsidRPr="000138AF" w:rsidRDefault="006E52B4" w:rsidP="009F04A0">
            <w:pPr>
              <w:jc w:val="center"/>
              <w:rPr>
                <w:rFonts w:cstheme="minorHAnsi"/>
                <w:sz w:val="18"/>
                <w:szCs w:val="18"/>
                <w:lang w:val="en-GB"/>
              </w:rPr>
            </w:pPr>
            <w:r w:rsidRPr="006E52B4">
              <w:rPr>
                <w:rFonts w:cstheme="minorHAnsi"/>
                <w:sz w:val="18"/>
                <w:szCs w:val="18"/>
                <w:lang w:val="en-GB"/>
              </w:rPr>
              <w:t xml:space="preserve">  0.4919</w:t>
            </w:r>
          </w:p>
        </w:tc>
      </w:tr>
    </w:tbl>
    <w:p w14:paraId="787D0A56" w14:textId="77777777" w:rsidR="00310678" w:rsidRDefault="00310678" w:rsidP="0057187E">
      <w:pPr>
        <w:rPr>
          <w:u w:val="single"/>
          <w:lang w:val="en-GB"/>
        </w:rPr>
      </w:pPr>
    </w:p>
    <w:p w14:paraId="4D29A32C" w14:textId="019ECFB2" w:rsidR="00932A49" w:rsidRPr="009F04A0" w:rsidRDefault="00C46461" w:rsidP="009F04A0">
      <w:pPr>
        <w:spacing w:line="480" w:lineRule="auto"/>
        <w:rPr>
          <w:lang w:val="en-GB"/>
        </w:rPr>
      </w:pPr>
      <w:r w:rsidRPr="009F04A0">
        <w:rPr>
          <w:vertAlign w:val="superscript"/>
          <w:lang w:val="en-GB"/>
        </w:rPr>
        <w:t>a</w:t>
      </w:r>
      <w:r w:rsidRPr="009F04A0">
        <w:rPr>
          <w:lang w:val="en-GB"/>
        </w:rPr>
        <w:t>:  pre</w:t>
      </w:r>
      <w:r w:rsidR="006D251B" w:rsidRPr="009F04A0">
        <w:rPr>
          <w:lang w:val="en-GB"/>
        </w:rPr>
        <w:t>-</w:t>
      </w:r>
      <w:r w:rsidRPr="009F04A0">
        <w:rPr>
          <w:lang w:val="en-GB"/>
        </w:rPr>
        <w:t xml:space="preserve">treatment interval was arbitrarily changed to 5 years in all patients with shorter pre-treatment follow up </w:t>
      </w:r>
      <w:r w:rsidR="00932A49" w:rsidRPr="009F04A0">
        <w:rPr>
          <w:lang w:val="en-GB"/>
        </w:rPr>
        <w:t>to avoid overestimation of pre-treatment stone formation rates.</w:t>
      </w:r>
    </w:p>
    <w:p w14:paraId="17205EC6" w14:textId="4D6C6DCF" w:rsidR="00932A49" w:rsidRPr="009F04A0" w:rsidRDefault="00932A49" w:rsidP="009F04A0">
      <w:pPr>
        <w:spacing w:line="480" w:lineRule="auto"/>
        <w:rPr>
          <w:lang w:val="en-GB"/>
        </w:rPr>
        <w:sectPr w:rsidR="00932A49" w:rsidRPr="009F04A0" w:rsidSect="0057187E">
          <w:pgSz w:w="11906" w:h="16838"/>
          <w:pgMar w:top="1418" w:right="1418" w:bottom="1418" w:left="1418" w:header="709" w:footer="709" w:gutter="0"/>
          <w:cols w:space="708"/>
          <w:docGrid w:linePitch="360"/>
        </w:sectPr>
      </w:pPr>
      <w:r w:rsidRPr="009F04A0">
        <w:rPr>
          <w:vertAlign w:val="superscript"/>
          <w:lang w:val="en-GB"/>
        </w:rPr>
        <w:t>b:</w:t>
      </w:r>
      <w:r w:rsidRPr="009F04A0">
        <w:rPr>
          <w:lang w:val="en-GB"/>
        </w:rPr>
        <w:t xml:space="preserve"> </w:t>
      </w:r>
      <w:r w:rsidR="003C6597" w:rsidRPr="009F04A0">
        <w:rPr>
          <w:lang w:val="en-GB"/>
        </w:rPr>
        <w:t>only patients with at least 3 years of pre-treatment follow up were included in the analysis.</w:t>
      </w:r>
    </w:p>
    <w:p w14:paraId="573C398C" w14:textId="748F14D8" w:rsidR="003D23B6" w:rsidRPr="003D23B6" w:rsidRDefault="00510DDE" w:rsidP="00540A95">
      <w:pPr>
        <w:pStyle w:val="Kop1"/>
        <w:spacing w:line="480" w:lineRule="auto"/>
        <w:rPr>
          <w:lang w:val="en-GB"/>
        </w:rPr>
      </w:pPr>
      <w:bookmarkStart w:id="115" w:name="_Toc70238572"/>
      <w:bookmarkStart w:id="116" w:name="_Hlk68075404"/>
      <w:r w:rsidRPr="00163DAC">
        <w:rPr>
          <w:lang w:val="en-GB"/>
        </w:rPr>
        <w:lastRenderedPageBreak/>
        <w:t>DISCUSSION</w:t>
      </w:r>
      <w:bookmarkEnd w:id="115"/>
    </w:p>
    <w:p w14:paraId="79E24BB1" w14:textId="45D375CF" w:rsidR="003D23B6" w:rsidRDefault="003D23B6" w:rsidP="005769F3">
      <w:pPr>
        <w:spacing w:line="480" w:lineRule="auto"/>
        <w:jc w:val="both"/>
        <w:rPr>
          <w:lang w:val="en-GB"/>
        </w:rPr>
      </w:pPr>
      <w:r w:rsidRPr="00E11500">
        <w:rPr>
          <w:lang w:val="en-GB"/>
        </w:rPr>
        <w:t xml:space="preserve">This retrospective analysis </w:t>
      </w:r>
      <w:r w:rsidR="006147D8">
        <w:rPr>
          <w:lang w:val="en-GB"/>
        </w:rPr>
        <w:t>had the objective</w:t>
      </w:r>
      <w:r w:rsidR="006147D8" w:rsidRPr="00E11500">
        <w:rPr>
          <w:lang w:val="en-GB"/>
        </w:rPr>
        <w:t xml:space="preserve"> </w:t>
      </w:r>
      <w:r w:rsidRPr="00E11500">
        <w:rPr>
          <w:lang w:val="en-GB"/>
        </w:rPr>
        <w:t>to</w:t>
      </w:r>
      <w:r>
        <w:rPr>
          <w:lang w:val="en-GB"/>
        </w:rPr>
        <w:t xml:space="preserve"> evaluate the effect of combined preventive measures on urinary risk factors for kidney stone formation in patients with nephrolithiasis and</w:t>
      </w:r>
      <w:r w:rsidR="00D94694">
        <w:rPr>
          <w:lang w:val="en-GB"/>
        </w:rPr>
        <w:t>/or</w:t>
      </w:r>
      <w:r>
        <w:rPr>
          <w:lang w:val="en-GB"/>
        </w:rPr>
        <w:t xml:space="preserve"> nephrocalcinosis followed at the </w:t>
      </w:r>
      <w:r w:rsidR="00D94694">
        <w:rPr>
          <w:lang w:val="en-GB"/>
        </w:rPr>
        <w:t xml:space="preserve">kidney </w:t>
      </w:r>
      <w:r>
        <w:rPr>
          <w:lang w:val="en-GB"/>
        </w:rPr>
        <w:t xml:space="preserve">stone prevention clinic of the UZ Brussel. Additionally, </w:t>
      </w:r>
      <w:r w:rsidRPr="00AA01EE">
        <w:rPr>
          <w:lang w:val="en-GB"/>
        </w:rPr>
        <w:t>the e</w:t>
      </w:r>
      <w:r w:rsidRPr="00E11500">
        <w:rPr>
          <w:lang w:val="en-GB"/>
        </w:rPr>
        <w:t xml:space="preserve">ffect on </w:t>
      </w:r>
      <w:r w:rsidR="00992B63">
        <w:rPr>
          <w:lang w:val="en-GB"/>
        </w:rPr>
        <w:t xml:space="preserve">incidence </w:t>
      </w:r>
      <w:r w:rsidR="00A606B8">
        <w:rPr>
          <w:lang w:val="en-GB"/>
        </w:rPr>
        <w:t xml:space="preserve">rates of </w:t>
      </w:r>
      <w:r w:rsidRPr="00E11500">
        <w:rPr>
          <w:lang w:val="en-GB"/>
        </w:rPr>
        <w:t>symptomatic renal colic episodes, kidney s</w:t>
      </w:r>
      <w:r>
        <w:rPr>
          <w:lang w:val="en-GB"/>
        </w:rPr>
        <w:t xml:space="preserve">tone formation and </w:t>
      </w:r>
      <w:r w:rsidR="00992B63">
        <w:rPr>
          <w:lang w:val="en-GB"/>
        </w:rPr>
        <w:t>the</w:t>
      </w:r>
      <w:r>
        <w:rPr>
          <w:lang w:val="en-GB"/>
        </w:rPr>
        <w:t xml:space="preserve"> performance of urological procedures in patients with nephrolithiasis was evaluated.</w:t>
      </w:r>
    </w:p>
    <w:p w14:paraId="0FCD7337" w14:textId="35938E71" w:rsidR="003D23B6" w:rsidRDefault="003D23B6" w:rsidP="005769F3">
      <w:pPr>
        <w:spacing w:line="480" w:lineRule="auto"/>
        <w:jc w:val="both"/>
        <w:rPr>
          <w:lang w:val="en-GB"/>
        </w:rPr>
      </w:pPr>
      <w:r>
        <w:rPr>
          <w:lang w:val="en-GB"/>
        </w:rPr>
        <w:t xml:space="preserve">The demographic characteristics of our study population </w:t>
      </w:r>
      <w:r w:rsidR="00500A92">
        <w:rPr>
          <w:lang w:val="en-GB"/>
        </w:rPr>
        <w:t>we</w:t>
      </w:r>
      <w:r>
        <w:rPr>
          <w:lang w:val="en-GB"/>
        </w:rPr>
        <w:t xml:space="preserve">re comparable to </w:t>
      </w:r>
      <w:r w:rsidR="00571000">
        <w:rPr>
          <w:lang w:val="en-GB"/>
        </w:rPr>
        <w:t>previous reports</w:t>
      </w:r>
      <w:r>
        <w:rPr>
          <w:lang w:val="en-GB"/>
        </w:rPr>
        <w:t>. O</w:t>
      </w:r>
      <w:r w:rsidRPr="004226ED">
        <w:rPr>
          <w:lang w:val="en-GB"/>
        </w:rPr>
        <w:t xml:space="preserve">ur study population consisted mainly of </w:t>
      </w:r>
      <w:r w:rsidR="0071776A">
        <w:rPr>
          <w:lang w:val="en-GB"/>
        </w:rPr>
        <w:t xml:space="preserve">patients of </w:t>
      </w:r>
      <w:r w:rsidRPr="004226ED">
        <w:rPr>
          <w:lang w:val="en-GB"/>
        </w:rPr>
        <w:t xml:space="preserve">Caucasian </w:t>
      </w:r>
      <w:r>
        <w:rPr>
          <w:lang w:val="en-GB"/>
        </w:rPr>
        <w:t>and Middle</w:t>
      </w:r>
      <w:r w:rsidR="004B3A70">
        <w:rPr>
          <w:lang w:val="en-GB"/>
        </w:rPr>
        <w:t xml:space="preserve"> </w:t>
      </w:r>
      <w:r>
        <w:rPr>
          <w:lang w:val="en-GB"/>
        </w:rPr>
        <w:t xml:space="preserve">East </w:t>
      </w:r>
      <w:r w:rsidR="0071776A">
        <w:rPr>
          <w:lang w:val="en-GB"/>
        </w:rPr>
        <w:t xml:space="preserve">descent </w:t>
      </w:r>
      <w:r>
        <w:rPr>
          <w:lang w:val="en-GB"/>
        </w:rPr>
        <w:t xml:space="preserve">and included only eight Asian and nine </w:t>
      </w:r>
      <w:r w:rsidR="00C96666">
        <w:rPr>
          <w:lang w:val="en-GB"/>
        </w:rPr>
        <w:t xml:space="preserve">Black </w:t>
      </w:r>
      <w:r>
        <w:rPr>
          <w:lang w:val="en-GB"/>
        </w:rPr>
        <w:t>patients</w:t>
      </w:r>
      <w:r w:rsidR="007B365C">
        <w:rPr>
          <w:lang w:val="en-GB"/>
        </w:rPr>
        <w:t>.</w:t>
      </w:r>
      <w:r>
        <w:rPr>
          <w:lang w:val="en-GB"/>
        </w:rPr>
        <w:t xml:space="preserve"> Although Asian ethnicity is rare amongst </w:t>
      </w:r>
      <w:r w:rsidR="007B365C">
        <w:rPr>
          <w:lang w:val="en-GB"/>
        </w:rPr>
        <w:t xml:space="preserve">a </w:t>
      </w:r>
      <w:r>
        <w:rPr>
          <w:lang w:val="en-GB"/>
        </w:rPr>
        <w:t>Belgian patient population, i</w:t>
      </w:r>
      <w:r w:rsidRPr="004226ED">
        <w:rPr>
          <w:lang w:val="en-GB"/>
        </w:rPr>
        <w:t>t is known that the prevalence of nephrolithiasis is lower in the Asian population</w:t>
      </w:r>
      <w:r>
        <w:rPr>
          <w:lang w:val="en-GB"/>
        </w:rPr>
        <w:t xml:space="preserve"> (2)</w:t>
      </w:r>
      <w:r w:rsidRPr="004226ED">
        <w:rPr>
          <w:lang w:val="en-GB"/>
        </w:rPr>
        <w:t>.</w:t>
      </w:r>
      <w:r w:rsidR="008466AE">
        <w:rPr>
          <w:lang w:val="en-GB"/>
        </w:rPr>
        <w:t xml:space="preserve"> The same is true for the African-American population (52), however t</w:t>
      </w:r>
      <w:r>
        <w:rPr>
          <w:lang w:val="en-GB"/>
        </w:rPr>
        <w:t xml:space="preserve">here is a </w:t>
      </w:r>
      <w:r w:rsidR="00AD4B29">
        <w:rPr>
          <w:lang w:val="en-GB"/>
        </w:rPr>
        <w:t>paucity</w:t>
      </w:r>
      <w:r>
        <w:rPr>
          <w:lang w:val="en-GB"/>
        </w:rPr>
        <w:t xml:space="preserve"> of data regarding the prevalence of nephrolithiasis in </w:t>
      </w:r>
      <w:r w:rsidR="00D7749A">
        <w:rPr>
          <w:lang w:val="en-GB"/>
        </w:rPr>
        <w:t>B</w:t>
      </w:r>
      <w:r>
        <w:rPr>
          <w:lang w:val="en-GB"/>
        </w:rPr>
        <w:t>lack patients</w:t>
      </w:r>
      <w:r w:rsidR="008466AE">
        <w:rPr>
          <w:lang w:val="en-GB"/>
        </w:rPr>
        <w:t xml:space="preserve"> </w:t>
      </w:r>
      <w:r w:rsidR="004C183B">
        <w:rPr>
          <w:lang w:val="en-GB"/>
        </w:rPr>
        <w:t>originating from</w:t>
      </w:r>
      <w:r w:rsidR="008466AE">
        <w:rPr>
          <w:lang w:val="en-GB"/>
        </w:rPr>
        <w:t xml:space="preserve"> sub-Saharan Africa</w:t>
      </w:r>
      <w:r>
        <w:rPr>
          <w:lang w:val="en-GB"/>
        </w:rPr>
        <w:t xml:space="preserve">. </w:t>
      </w:r>
    </w:p>
    <w:p w14:paraId="57C9CC63" w14:textId="6C9C6509" w:rsidR="003D23B6" w:rsidRPr="00CF0150" w:rsidRDefault="003D23B6" w:rsidP="00FC6DBB">
      <w:pPr>
        <w:spacing w:line="480" w:lineRule="auto"/>
        <w:jc w:val="both"/>
        <w:rPr>
          <w:lang w:val="en-GB"/>
        </w:rPr>
      </w:pPr>
      <w:r w:rsidRPr="00CE743C">
        <w:rPr>
          <w:lang w:val="en-GB"/>
        </w:rPr>
        <w:t xml:space="preserve">According to the literature, the diagnosis of nephrolithiasis </w:t>
      </w:r>
      <w:r w:rsidR="007B365C">
        <w:rPr>
          <w:lang w:val="en-GB"/>
        </w:rPr>
        <w:t>is</w:t>
      </w:r>
      <w:r w:rsidR="009170A2">
        <w:rPr>
          <w:lang w:val="en-GB"/>
        </w:rPr>
        <w:t xml:space="preserve"> usually</w:t>
      </w:r>
      <w:r w:rsidR="007B365C">
        <w:rPr>
          <w:lang w:val="en-GB"/>
        </w:rPr>
        <w:t xml:space="preserve"> made</w:t>
      </w:r>
      <w:r w:rsidR="007B365C" w:rsidRPr="00CE743C">
        <w:rPr>
          <w:lang w:val="en-GB"/>
        </w:rPr>
        <w:t xml:space="preserve"> </w:t>
      </w:r>
      <w:r w:rsidRPr="00CE743C">
        <w:rPr>
          <w:lang w:val="en-GB"/>
        </w:rPr>
        <w:t>in the fifth decade</w:t>
      </w:r>
      <w:r>
        <w:rPr>
          <w:lang w:val="en-GB"/>
        </w:rPr>
        <w:t xml:space="preserve"> (51)</w:t>
      </w:r>
      <w:r w:rsidRPr="00CE743C">
        <w:rPr>
          <w:lang w:val="en-GB"/>
        </w:rPr>
        <w:t>. In our study population, the diagnosis of nephrolithiasis</w:t>
      </w:r>
      <w:r>
        <w:rPr>
          <w:lang w:val="en-GB"/>
        </w:rPr>
        <w:t>/nephrocalcinosis</w:t>
      </w:r>
      <w:r w:rsidRPr="00CE743C">
        <w:rPr>
          <w:lang w:val="en-GB"/>
        </w:rPr>
        <w:t xml:space="preserve"> </w:t>
      </w:r>
      <w:r w:rsidR="007B365C">
        <w:rPr>
          <w:lang w:val="en-GB"/>
        </w:rPr>
        <w:t>was made</w:t>
      </w:r>
      <w:r w:rsidR="007B365C" w:rsidRPr="00CE743C">
        <w:rPr>
          <w:lang w:val="en-GB"/>
        </w:rPr>
        <w:t xml:space="preserve"> </w:t>
      </w:r>
      <w:r>
        <w:rPr>
          <w:lang w:val="en-GB"/>
        </w:rPr>
        <w:t>at a</w:t>
      </w:r>
      <w:r w:rsidR="00416079">
        <w:rPr>
          <w:lang w:val="en-GB"/>
        </w:rPr>
        <w:t xml:space="preserve"> median </w:t>
      </w:r>
      <w:r>
        <w:rPr>
          <w:lang w:val="en-GB"/>
        </w:rPr>
        <w:t xml:space="preserve">age </w:t>
      </w:r>
      <w:r w:rsidR="00F13667">
        <w:rPr>
          <w:lang w:val="en-GB"/>
        </w:rPr>
        <w:t>of 36.0</w:t>
      </w:r>
      <w:r w:rsidRPr="00CE743C">
        <w:rPr>
          <w:lang w:val="en-GB"/>
        </w:rPr>
        <w:t xml:space="preserve"> years</w:t>
      </w:r>
      <w:r w:rsidR="00416079">
        <w:rPr>
          <w:lang w:val="en-GB"/>
        </w:rPr>
        <w:t xml:space="preserve"> (25</w:t>
      </w:r>
      <w:r w:rsidR="00FC6DBB">
        <w:rPr>
          <w:lang w:val="en-GB"/>
        </w:rPr>
        <w:t>.</w:t>
      </w:r>
      <w:r w:rsidR="00416079">
        <w:rPr>
          <w:lang w:val="en-GB"/>
        </w:rPr>
        <w:t>0-49</w:t>
      </w:r>
      <w:r w:rsidR="00FC6DBB">
        <w:rPr>
          <w:lang w:val="en-GB"/>
        </w:rPr>
        <w:t>.</w:t>
      </w:r>
      <w:r w:rsidR="00416079">
        <w:rPr>
          <w:lang w:val="en-GB"/>
        </w:rPr>
        <w:t>0)</w:t>
      </w:r>
      <w:r w:rsidRPr="00CE743C">
        <w:rPr>
          <w:lang w:val="en-GB"/>
        </w:rPr>
        <w:t>.</w:t>
      </w:r>
      <w:r w:rsidRPr="004E1858">
        <w:rPr>
          <w:lang w:val="en-GB"/>
        </w:rPr>
        <w:t xml:space="preserve"> The age of first consultation at the kidney stone </w:t>
      </w:r>
      <w:r>
        <w:rPr>
          <w:lang w:val="en-GB"/>
        </w:rPr>
        <w:t xml:space="preserve">prevention </w:t>
      </w:r>
      <w:r w:rsidRPr="004E1858">
        <w:rPr>
          <w:lang w:val="en-GB"/>
        </w:rPr>
        <w:t>clinic</w:t>
      </w:r>
      <w:r>
        <w:rPr>
          <w:lang w:val="en-GB"/>
        </w:rPr>
        <w:t xml:space="preserve"> (</w:t>
      </w:r>
      <w:r w:rsidR="00416079">
        <w:rPr>
          <w:lang w:val="en-GB"/>
        </w:rPr>
        <w:t xml:space="preserve">median </w:t>
      </w:r>
      <w:r>
        <w:rPr>
          <w:lang w:val="en-GB"/>
        </w:rPr>
        <w:t>4</w:t>
      </w:r>
      <w:r w:rsidR="00416079">
        <w:rPr>
          <w:lang w:val="en-GB"/>
        </w:rPr>
        <w:t>7</w:t>
      </w:r>
      <w:r>
        <w:rPr>
          <w:lang w:val="en-GB"/>
        </w:rPr>
        <w:t>.0 years)</w:t>
      </w:r>
      <w:r w:rsidRPr="004E1858">
        <w:rPr>
          <w:lang w:val="en-GB"/>
        </w:rPr>
        <w:t xml:space="preserve"> was similar to </w:t>
      </w:r>
      <w:r w:rsidR="00F13667">
        <w:rPr>
          <w:lang w:val="en-GB"/>
        </w:rPr>
        <w:t>previous reports</w:t>
      </w:r>
      <w:r>
        <w:rPr>
          <w:lang w:val="en-GB"/>
        </w:rPr>
        <w:t xml:space="preserve"> (46)</w:t>
      </w:r>
      <w:r w:rsidRPr="004E1858">
        <w:rPr>
          <w:lang w:val="en-GB"/>
        </w:rPr>
        <w:t>.</w:t>
      </w:r>
      <w:r>
        <w:rPr>
          <w:lang w:val="en-GB"/>
        </w:rPr>
        <w:t xml:space="preserve"> </w:t>
      </w:r>
      <w:r w:rsidRPr="00CF0150">
        <w:rPr>
          <w:lang w:val="en-GB"/>
        </w:rPr>
        <w:t xml:space="preserve">The median interval between the diagnosis </w:t>
      </w:r>
      <w:r>
        <w:rPr>
          <w:lang w:val="en-GB"/>
        </w:rPr>
        <w:t>of nephrolithiasis/nephrocalcinosis</w:t>
      </w:r>
      <w:r w:rsidRPr="00CF0150">
        <w:rPr>
          <w:lang w:val="en-GB"/>
        </w:rPr>
        <w:t xml:space="preserve"> and the first consultation at the kidney stone clinic was 3.7 years (0.4-12.1)</w:t>
      </w:r>
      <w:r>
        <w:rPr>
          <w:lang w:val="en-GB"/>
        </w:rPr>
        <w:t>.</w:t>
      </w:r>
      <w:r w:rsidR="004E3AE9">
        <w:rPr>
          <w:lang w:val="en-GB"/>
        </w:rPr>
        <w:t xml:space="preserve"> </w:t>
      </w:r>
      <w:r w:rsidR="004E3AE9" w:rsidRPr="004E3AE9">
        <w:rPr>
          <w:lang w:val="en-GB"/>
        </w:rPr>
        <w:t>With this IQR, it should be noted that in a large proportion of patients there is a long interval between the diagnosis and the first consultation.</w:t>
      </w:r>
      <w:r w:rsidR="004E3AE9">
        <w:rPr>
          <w:lang w:val="en-GB"/>
        </w:rPr>
        <w:t xml:space="preserve"> A p</w:t>
      </w:r>
      <w:r w:rsidR="004E3AE9" w:rsidRPr="004E3AE9">
        <w:rPr>
          <w:lang w:val="en-GB"/>
        </w:rPr>
        <w:t>ossible reason for this is that the importance of kidney stone prevention is not yet realised by all referring physicians</w:t>
      </w:r>
      <w:r w:rsidR="004E3AE9">
        <w:rPr>
          <w:lang w:val="en-GB"/>
        </w:rPr>
        <w:t xml:space="preserve">. </w:t>
      </w:r>
    </w:p>
    <w:p w14:paraId="73B2CFC6" w14:textId="1D2AB5A8" w:rsidR="003D23B6" w:rsidRDefault="003D23B6" w:rsidP="005769F3">
      <w:pPr>
        <w:spacing w:line="480" w:lineRule="auto"/>
        <w:jc w:val="both"/>
        <w:rPr>
          <w:lang w:val="en-GB"/>
        </w:rPr>
      </w:pPr>
      <w:r w:rsidRPr="00E50CB2">
        <w:rPr>
          <w:lang w:val="en-GB"/>
        </w:rPr>
        <w:t>In our study, the male</w:t>
      </w:r>
      <w:r>
        <w:rPr>
          <w:lang w:val="en-GB"/>
        </w:rPr>
        <w:t xml:space="preserve"> to </w:t>
      </w:r>
      <w:r w:rsidRPr="00E50CB2">
        <w:rPr>
          <w:lang w:val="en-GB"/>
        </w:rPr>
        <w:t>female ratio was 1.8</w:t>
      </w:r>
      <w:r w:rsidR="00500A92">
        <w:rPr>
          <w:lang w:val="en-GB"/>
        </w:rPr>
        <w:t>,</w:t>
      </w:r>
      <w:r>
        <w:rPr>
          <w:lang w:val="en-GB"/>
        </w:rPr>
        <w:t xml:space="preserve"> which is comparable to the ones reported by Parks and Coe (1.9) (46) and </w:t>
      </w:r>
      <w:r w:rsidRPr="00FD6394">
        <w:rPr>
          <w:lang w:val="en-GB"/>
        </w:rPr>
        <w:t>Daudon et al.</w:t>
      </w:r>
      <w:r>
        <w:rPr>
          <w:lang w:val="en-GB"/>
        </w:rPr>
        <w:t xml:space="preserve"> (2.2) (5</w:t>
      </w:r>
      <w:r w:rsidR="004C183B">
        <w:rPr>
          <w:lang w:val="en-GB"/>
        </w:rPr>
        <w:t>3</w:t>
      </w:r>
      <w:r>
        <w:rPr>
          <w:lang w:val="en-GB"/>
        </w:rPr>
        <w:t>).</w:t>
      </w:r>
      <w:r w:rsidRPr="00FD6394">
        <w:rPr>
          <w:lang w:val="en-GB"/>
        </w:rPr>
        <w:t xml:space="preserve"> </w:t>
      </w:r>
      <w:r w:rsidR="00500A92">
        <w:rPr>
          <w:lang w:val="en-GB"/>
        </w:rPr>
        <w:t>I</w:t>
      </w:r>
      <w:r w:rsidRPr="00FD6394">
        <w:rPr>
          <w:lang w:val="en-GB"/>
        </w:rPr>
        <w:t>t is known that the female proportion of nephrolithiasis patients is increasing.</w:t>
      </w:r>
      <w:r>
        <w:rPr>
          <w:lang w:val="en-GB"/>
        </w:rPr>
        <w:t xml:space="preserve"> Scales et al. demonstrated a decrease in male to female ratio from </w:t>
      </w:r>
      <w:r w:rsidRPr="00410D6E">
        <w:rPr>
          <w:lang w:val="en-GB"/>
        </w:rPr>
        <w:t>3.1 to 1.3 between</w:t>
      </w:r>
      <w:r>
        <w:rPr>
          <w:lang w:val="en-GB"/>
        </w:rPr>
        <w:t xml:space="preserve"> </w:t>
      </w:r>
      <w:r w:rsidRPr="00410D6E">
        <w:rPr>
          <w:lang w:val="en-GB"/>
        </w:rPr>
        <w:t>1970 and 2000</w:t>
      </w:r>
      <w:r>
        <w:rPr>
          <w:lang w:val="en-GB"/>
        </w:rPr>
        <w:t xml:space="preserve"> and attributed this to </w:t>
      </w:r>
      <w:r w:rsidRPr="00FD6394">
        <w:rPr>
          <w:lang w:val="en-GB"/>
        </w:rPr>
        <w:t>the rising trend in obesity and type 2 diabetes, which increases especially in women when lifestyle and eating habits change</w:t>
      </w:r>
      <w:r>
        <w:rPr>
          <w:lang w:val="en-GB"/>
        </w:rPr>
        <w:t xml:space="preserve"> (5</w:t>
      </w:r>
      <w:r w:rsidR="004C183B">
        <w:rPr>
          <w:lang w:val="en-GB"/>
        </w:rPr>
        <w:t>4</w:t>
      </w:r>
      <w:r>
        <w:rPr>
          <w:lang w:val="en-GB"/>
        </w:rPr>
        <w:t>)</w:t>
      </w:r>
      <w:r w:rsidRPr="00FD6394">
        <w:rPr>
          <w:lang w:val="en-GB"/>
        </w:rPr>
        <w:t>.</w:t>
      </w:r>
      <w:r>
        <w:rPr>
          <w:lang w:val="en-GB"/>
        </w:rPr>
        <w:t xml:space="preserve"> </w:t>
      </w:r>
    </w:p>
    <w:p w14:paraId="2DD9C8A8" w14:textId="5082DD1D" w:rsidR="003D23B6" w:rsidRDefault="003D23B6" w:rsidP="005769F3">
      <w:pPr>
        <w:spacing w:line="480" w:lineRule="auto"/>
        <w:jc w:val="both"/>
        <w:rPr>
          <w:lang w:val="en-GB"/>
        </w:rPr>
      </w:pPr>
      <w:r w:rsidRPr="0070593A">
        <w:rPr>
          <w:lang w:val="en-GB"/>
        </w:rPr>
        <w:lastRenderedPageBreak/>
        <w:t xml:space="preserve">The distribution in stone composition was similar to </w:t>
      </w:r>
      <w:r>
        <w:rPr>
          <w:lang w:val="en-GB"/>
        </w:rPr>
        <w:t>the one described by</w:t>
      </w:r>
      <w:r w:rsidRPr="0070593A">
        <w:rPr>
          <w:lang w:val="en-GB"/>
        </w:rPr>
        <w:t xml:space="preserve"> Parks and Coe</w:t>
      </w:r>
      <w:r>
        <w:rPr>
          <w:lang w:val="en-GB"/>
        </w:rPr>
        <w:t xml:space="preserve"> (46) and</w:t>
      </w:r>
      <w:r w:rsidRPr="00265757">
        <w:rPr>
          <w:lang w:val="en-GB"/>
        </w:rPr>
        <w:t xml:space="preserve"> </w:t>
      </w:r>
      <w:r w:rsidR="006720F5">
        <w:rPr>
          <w:lang w:val="en-GB"/>
        </w:rPr>
        <w:t>a</w:t>
      </w:r>
      <w:r>
        <w:rPr>
          <w:lang w:val="en-GB"/>
        </w:rPr>
        <w:t xml:space="preserve"> </w:t>
      </w:r>
      <w:r w:rsidR="00662FE1">
        <w:rPr>
          <w:lang w:val="en-GB"/>
        </w:rPr>
        <w:t xml:space="preserve">study </w:t>
      </w:r>
      <w:r w:rsidR="006720F5">
        <w:rPr>
          <w:lang w:val="en-GB"/>
        </w:rPr>
        <w:t>concerning</w:t>
      </w:r>
      <w:r w:rsidR="00662FE1">
        <w:rPr>
          <w:lang w:val="en-GB"/>
        </w:rPr>
        <w:t xml:space="preserve"> the epidemiological data on nephrolithiasis </w:t>
      </w:r>
      <w:r w:rsidR="006720F5">
        <w:rPr>
          <w:lang w:val="en-GB"/>
        </w:rPr>
        <w:t>in</w:t>
      </w:r>
      <w:r w:rsidR="00662FE1">
        <w:rPr>
          <w:lang w:val="en-GB"/>
        </w:rPr>
        <w:t xml:space="preserve"> </w:t>
      </w:r>
      <w:r w:rsidRPr="00265757">
        <w:rPr>
          <w:lang w:val="en-GB"/>
        </w:rPr>
        <w:t>Belgi</w:t>
      </w:r>
      <w:r w:rsidR="006720F5">
        <w:rPr>
          <w:lang w:val="en-GB"/>
        </w:rPr>
        <w:t>um</w:t>
      </w:r>
      <w:r w:rsidR="00662FE1">
        <w:rPr>
          <w:lang w:val="en-GB"/>
        </w:rPr>
        <w:t xml:space="preserve"> </w:t>
      </w:r>
      <w:r>
        <w:rPr>
          <w:lang w:val="en-GB"/>
        </w:rPr>
        <w:t>(5</w:t>
      </w:r>
      <w:r w:rsidR="004C183B">
        <w:rPr>
          <w:lang w:val="en-GB"/>
        </w:rPr>
        <w:t>5</w:t>
      </w:r>
      <w:r>
        <w:rPr>
          <w:lang w:val="en-GB"/>
        </w:rPr>
        <w:t>)</w:t>
      </w:r>
      <w:r w:rsidRPr="00265757">
        <w:rPr>
          <w:lang w:val="en-GB"/>
        </w:rPr>
        <w:t xml:space="preserve">. </w:t>
      </w:r>
      <w:r>
        <w:rPr>
          <w:lang w:val="en-GB"/>
        </w:rPr>
        <w:t xml:space="preserve"> </w:t>
      </w:r>
      <w:r w:rsidRPr="00265757">
        <w:rPr>
          <w:lang w:val="en-GB"/>
        </w:rPr>
        <w:t>Exceptions to this were</w:t>
      </w:r>
      <w:r>
        <w:rPr>
          <w:lang w:val="en-GB"/>
        </w:rPr>
        <w:t xml:space="preserve"> calcium</w:t>
      </w:r>
      <w:r w:rsidRPr="0070593A">
        <w:rPr>
          <w:lang w:val="en-GB"/>
        </w:rPr>
        <w:t xml:space="preserve"> phosphate stones</w:t>
      </w:r>
      <w:r>
        <w:rPr>
          <w:lang w:val="en-GB"/>
        </w:rPr>
        <w:t xml:space="preserve">, which </w:t>
      </w:r>
      <w:r w:rsidRPr="0070593A">
        <w:rPr>
          <w:lang w:val="en-GB"/>
        </w:rPr>
        <w:t>were found less frequently in our study (5</w:t>
      </w:r>
      <w:r w:rsidR="00FC6DBB">
        <w:rPr>
          <w:lang w:val="en-GB"/>
        </w:rPr>
        <w:t>.0</w:t>
      </w:r>
      <w:r w:rsidRPr="0070593A">
        <w:rPr>
          <w:lang w:val="en-GB"/>
        </w:rPr>
        <w:t>%</w:t>
      </w:r>
      <w:r>
        <w:rPr>
          <w:lang w:val="en-GB"/>
        </w:rPr>
        <w:t xml:space="preserve"> in our population</w:t>
      </w:r>
      <w:r w:rsidRPr="0070593A">
        <w:rPr>
          <w:lang w:val="en-GB"/>
        </w:rPr>
        <w:t xml:space="preserve"> vs</w:t>
      </w:r>
      <w:r>
        <w:rPr>
          <w:lang w:val="en-GB"/>
        </w:rPr>
        <w:t xml:space="preserve"> </w:t>
      </w:r>
      <w:r w:rsidRPr="0070593A">
        <w:rPr>
          <w:lang w:val="en-GB"/>
        </w:rPr>
        <w:t>10.1%</w:t>
      </w:r>
      <w:r>
        <w:rPr>
          <w:lang w:val="en-GB"/>
        </w:rPr>
        <w:t xml:space="preserve"> in the study of Parks and Coe and 14</w:t>
      </w:r>
      <w:r w:rsidR="00FC6DBB">
        <w:rPr>
          <w:lang w:val="en-GB"/>
        </w:rPr>
        <w:t>.0</w:t>
      </w:r>
      <w:r>
        <w:rPr>
          <w:lang w:val="en-GB"/>
        </w:rPr>
        <w:t xml:space="preserve">% in the Belgian epidemiological </w:t>
      </w:r>
      <w:r w:rsidR="006720F5">
        <w:rPr>
          <w:lang w:val="en-GB"/>
        </w:rPr>
        <w:t>study</w:t>
      </w:r>
      <w:r w:rsidRPr="0070593A">
        <w:rPr>
          <w:lang w:val="en-GB"/>
        </w:rPr>
        <w:t>)</w:t>
      </w:r>
      <w:r>
        <w:rPr>
          <w:lang w:val="en-GB"/>
        </w:rPr>
        <w:t xml:space="preserve"> </w:t>
      </w:r>
      <w:r w:rsidRPr="00265757">
        <w:rPr>
          <w:lang w:val="en-GB"/>
        </w:rPr>
        <w:t>and cystine stones that were found more frequently</w:t>
      </w:r>
      <w:r>
        <w:rPr>
          <w:lang w:val="en-GB"/>
        </w:rPr>
        <w:t xml:space="preserve"> (4</w:t>
      </w:r>
      <w:r w:rsidR="00FC6DBB">
        <w:rPr>
          <w:lang w:val="en-GB"/>
        </w:rPr>
        <w:t>.</w:t>
      </w:r>
      <w:r>
        <w:rPr>
          <w:lang w:val="en-GB"/>
        </w:rPr>
        <w:t>4% in our population vs 2</w:t>
      </w:r>
      <w:r w:rsidR="00FC6DBB">
        <w:rPr>
          <w:lang w:val="en-GB"/>
        </w:rPr>
        <w:t>.</w:t>
      </w:r>
      <w:r>
        <w:rPr>
          <w:lang w:val="en-GB"/>
        </w:rPr>
        <w:t>1% in the study of Parks and Coe and</w:t>
      </w:r>
      <w:r w:rsidR="00416079">
        <w:rPr>
          <w:lang w:val="en-GB"/>
        </w:rPr>
        <w:t xml:space="preserve"> </w:t>
      </w:r>
      <w:r>
        <w:rPr>
          <w:lang w:val="en-GB"/>
        </w:rPr>
        <w:t>0</w:t>
      </w:r>
      <w:r w:rsidR="00FC6DBB">
        <w:rPr>
          <w:lang w:val="en-GB"/>
        </w:rPr>
        <w:t>.</w:t>
      </w:r>
      <w:r>
        <w:rPr>
          <w:lang w:val="en-GB"/>
        </w:rPr>
        <w:t xml:space="preserve">4% in the Belgian epidemiological </w:t>
      </w:r>
      <w:r w:rsidR="006720F5">
        <w:rPr>
          <w:lang w:val="en-GB"/>
        </w:rPr>
        <w:t>study</w:t>
      </w:r>
      <w:r>
        <w:rPr>
          <w:lang w:val="en-GB"/>
        </w:rPr>
        <w:t>).</w:t>
      </w:r>
    </w:p>
    <w:p w14:paraId="16F393E6" w14:textId="137F050B" w:rsidR="003D23B6" w:rsidRPr="00C516CA" w:rsidRDefault="003D23B6" w:rsidP="005769F3">
      <w:pPr>
        <w:spacing w:line="480" w:lineRule="auto"/>
        <w:jc w:val="both"/>
        <w:rPr>
          <w:lang w:val="en-GB"/>
        </w:rPr>
      </w:pPr>
      <w:r w:rsidRPr="00C516CA">
        <w:rPr>
          <w:lang w:val="en-GB"/>
        </w:rPr>
        <w:t>The relationship between obesity and a higher risk of nephrolithiasis is well known (</w:t>
      </w:r>
      <w:r w:rsidRPr="000B3C6C">
        <w:rPr>
          <w:lang w:val="en-GB"/>
        </w:rPr>
        <w:t>1</w:t>
      </w:r>
      <w:r>
        <w:rPr>
          <w:lang w:val="en-GB"/>
        </w:rPr>
        <w:t>0-12</w:t>
      </w:r>
      <w:r w:rsidRPr="00C516CA">
        <w:rPr>
          <w:lang w:val="en-GB"/>
        </w:rPr>
        <w:t>).</w:t>
      </w:r>
      <w:r>
        <w:rPr>
          <w:lang w:val="en-GB"/>
        </w:rPr>
        <w:t xml:space="preserve"> This </w:t>
      </w:r>
      <w:r w:rsidR="00500A92">
        <w:rPr>
          <w:lang w:val="en-GB"/>
        </w:rPr>
        <w:t>wa</w:t>
      </w:r>
      <w:r>
        <w:rPr>
          <w:lang w:val="en-GB"/>
        </w:rPr>
        <w:t>s also demonstrated in our study where t</w:t>
      </w:r>
      <w:r w:rsidRPr="00C516CA">
        <w:rPr>
          <w:lang w:val="en-GB"/>
        </w:rPr>
        <w:t>he mean BMI of our population</w:t>
      </w:r>
      <w:r>
        <w:rPr>
          <w:lang w:val="en-GB"/>
        </w:rPr>
        <w:t xml:space="preserve"> was</w:t>
      </w:r>
      <w:r w:rsidRPr="00C516CA">
        <w:rPr>
          <w:lang w:val="en-GB"/>
        </w:rPr>
        <w:t xml:space="preserve"> 26</w:t>
      </w:r>
      <w:r w:rsidR="00FC6DBB">
        <w:rPr>
          <w:lang w:val="en-GB"/>
        </w:rPr>
        <w:t>.</w:t>
      </w:r>
      <w:r w:rsidRPr="00C516CA">
        <w:rPr>
          <w:lang w:val="en-GB"/>
        </w:rPr>
        <w:t>7 kg/m² and 24</w:t>
      </w:r>
      <w:r w:rsidR="00FC6DBB">
        <w:rPr>
          <w:lang w:val="en-GB"/>
        </w:rPr>
        <w:t>.</w:t>
      </w:r>
      <w:r w:rsidRPr="00C516CA">
        <w:rPr>
          <w:lang w:val="en-GB"/>
        </w:rPr>
        <w:t xml:space="preserve">4% of the patients </w:t>
      </w:r>
      <w:r>
        <w:rPr>
          <w:lang w:val="en-GB"/>
        </w:rPr>
        <w:t>were</w:t>
      </w:r>
      <w:r w:rsidRPr="00C516CA">
        <w:rPr>
          <w:lang w:val="en-GB"/>
        </w:rPr>
        <w:t xml:space="preserve"> obese. Associated mechanisms for this are a lower </w:t>
      </w:r>
      <w:r w:rsidR="003A2B39">
        <w:rPr>
          <w:lang w:val="en-GB"/>
        </w:rPr>
        <w:t xml:space="preserve">urinary </w:t>
      </w:r>
      <w:r w:rsidRPr="00C516CA">
        <w:rPr>
          <w:lang w:val="en-GB"/>
        </w:rPr>
        <w:t>pH</w:t>
      </w:r>
      <w:r>
        <w:rPr>
          <w:lang w:val="en-GB"/>
        </w:rPr>
        <w:t>, induced by insulin resistance</w:t>
      </w:r>
      <w:r w:rsidR="00D62FEB">
        <w:rPr>
          <w:lang w:val="en-GB"/>
        </w:rPr>
        <w:t xml:space="preserve"> and </w:t>
      </w:r>
      <w:r>
        <w:rPr>
          <w:lang w:val="en-GB"/>
        </w:rPr>
        <w:t>predisposing for the development of uric acid calculi</w:t>
      </w:r>
      <w:r w:rsidR="00C0080D">
        <w:rPr>
          <w:lang w:val="en-GB"/>
        </w:rPr>
        <w:t>,</w:t>
      </w:r>
      <w:r w:rsidRPr="00C516CA">
        <w:rPr>
          <w:lang w:val="en-GB"/>
        </w:rPr>
        <w:t xml:space="preserve"> and an increased urinary uric acid, sodium, oxalate, calcium and phosphorus excretion</w:t>
      </w:r>
      <w:r>
        <w:rPr>
          <w:lang w:val="en-GB"/>
        </w:rPr>
        <w:t>, a</w:t>
      </w:r>
      <w:r w:rsidRPr="00C516CA">
        <w:rPr>
          <w:lang w:val="en-GB"/>
        </w:rPr>
        <w:t>ll of which are urinary risk factors for stone formation (</w:t>
      </w:r>
      <w:r>
        <w:rPr>
          <w:lang w:val="en-GB"/>
        </w:rPr>
        <w:t>12</w:t>
      </w:r>
      <w:r w:rsidRPr="00C516CA">
        <w:rPr>
          <w:lang w:val="en-GB"/>
        </w:rPr>
        <w:t>,5</w:t>
      </w:r>
      <w:r w:rsidR="004C183B">
        <w:rPr>
          <w:lang w:val="en-GB"/>
        </w:rPr>
        <w:t>6</w:t>
      </w:r>
      <w:r w:rsidRPr="00C516CA">
        <w:rPr>
          <w:lang w:val="en-GB"/>
        </w:rPr>
        <w:t>).</w:t>
      </w:r>
    </w:p>
    <w:p w14:paraId="197DA13E" w14:textId="28141396" w:rsidR="003D23B6" w:rsidRDefault="00A0484F" w:rsidP="005769F3">
      <w:pPr>
        <w:spacing w:line="480" w:lineRule="auto"/>
        <w:jc w:val="both"/>
        <w:rPr>
          <w:lang w:val="en-GB"/>
        </w:rPr>
      </w:pPr>
      <w:r>
        <w:rPr>
          <w:lang w:val="en-GB"/>
        </w:rPr>
        <w:t>The prevalence</w:t>
      </w:r>
      <w:r w:rsidR="003D23B6" w:rsidRPr="00CA69FB">
        <w:rPr>
          <w:lang w:val="en-GB"/>
        </w:rPr>
        <w:t xml:space="preserve"> of </w:t>
      </w:r>
      <w:proofErr w:type="spellStart"/>
      <w:r w:rsidR="003D23B6">
        <w:rPr>
          <w:lang w:val="en-GB"/>
        </w:rPr>
        <w:t>gastro-intestinal</w:t>
      </w:r>
      <w:proofErr w:type="spellEnd"/>
      <w:r w:rsidR="003D23B6">
        <w:rPr>
          <w:lang w:val="en-GB"/>
        </w:rPr>
        <w:t xml:space="preserve"> problems, renal distal tubular acidosis and hyperparathyroidism</w:t>
      </w:r>
      <w:r w:rsidR="003D23B6" w:rsidRPr="00CA69FB">
        <w:rPr>
          <w:lang w:val="en-GB"/>
        </w:rPr>
        <w:t xml:space="preserve"> </w:t>
      </w:r>
      <w:r>
        <w:rPr>
          <w:lang w:val="en-GB"/>
        </w:rPr>
        <w:t xml:space="preserve">in our cohort was similar </w:t>
      </w:r>
      <w:r w:rsidR="00454268">
        <w:rPr>
          <w:lang w:val="en-GB"/>
        </w:rPr>
        <w:t xml:space="preserve">to </w:t>
      </w:r>
      <w:r w:rsidRPr="00CA69FB">
        <w:rPr>
          <w:lang w:val="en-GB"/>
        </w:rPr>
        <w:t xml:space="preserve"> </w:t>
      </w:r>
      <w:r w:rsidR="003D23B6">
        <w:rPr>
          <w:lang w:val="en-GB"/>
        </w:rPr>
        <w:t xml:space="preserve"> the study </w:t>
      </w:r>
      <w:r w:rsidR="00454268">
        <w:rPr>
          <w:lang w:val="en-GB"/>
        </w:rPr>
        <w:t>by</w:t>
      </w:r>
      <w:r w:rsidR="003D23B6">
        <w:rPr>
          <w:lang w:val="en-GB"/>
        </w:rPr>
        <w:t xml:space="preserve"> P</w:t>
      </w:r>
      <w:r w:rsidR="003D23B6" w:rsidRPr="00CA69FB">
        <w:rPr>
          <w:lang w:val="en-GB"/>
        </w:rPr>
        <w:t xml:space="preserve">arks and </w:t>
      </w:r>
      <w:r w:rsidR="003D23B6">
        <w:rPr>
          <w:lang w:val="en-GB"/>
        </w:rPr>
        <w:t>C</w:t>
      </w:r>
      <w:r w:rsidR="003D23B6" w:rsidRPr="00CA69FB">
        <w:rPr>
          <w:lang w:val="en-GB"/>
        </w:rPr>
        <w:t>o</w:t>
      </w:r>
      <w:r w:rsidR="003D23B6">
        <w:rPr>
          <w:lang w:val="en-GB"/>
        </w:rPr>
        <w:t xml:space="preserve">e (46). </w:t>
      </w:r>
      <w:r w:rsidR="003D23B6" w:rsidRPr="00915F2C">
        <w:rPr>
          <w:lang w:val="en-GB"/>
        </w:rPr>
        <w:t xml:space="preserve">As </w:t>
      </w:r>
      <w:r w:rsidR="00454268">
        <w:rPr>
          <w:lang w:val="en-GB"/>
        </w:rPr>
        <w:t>previously reported</w:t>
      </w:r>
      <w:r w:rsidR="00454268" w:rsidRPr="00915F2C">
        <w:rPr>
          <w:lang w:val="en-GB"/>
        </w:rPr>
        <w:t xml:space="preserve"> </w:t>
      </w:r>
      <w:r w:rsidR="003D23B6" w:rsidRPr="00915F2C">
        <w:rPr>
          <w:lang w:val="en-GB"/>
        </w:rPr>
        <w:t xml:space="preserve">by Pearl et al. </w:t>
      </w:r>
      <w:r w:rsidR="003D23B6" w:rsidRPr="00F0494D">
        <w:rPr>
          <w:lang w:val="en-GB"/>
        </w:rPr>
        <w:t xml:space="preserve">(7), we also </w:t>
      </w:r>
      <w:r w:rsidR="00A53AC4">
        <w:rPr>
          <w:lang w:val="en-GB"/>
        </w:rPr>
        <w:t>observed</w:t>
      </w:r>
      <w:r w:rsidR="00A53AC4" w:rsidRPr="00F0494D">
        <w:rPr>
          <w:lang w:val="en-GB"/>
        </w:rPr>
        <w:t xml:space="preserve"> </w:t>
      </w:r>
      <w:r w:rsidR="003D23B6" w:rsidRPr="00F0494D">
        <w:rPr>
          <w:lang w:val="en-GB"/>
        </w:rPr>
        <w:t>in our study that ESWL accounts for the majority of urological interventions, followed shortly after by URS</w:t>
      </w:r>
      <w:r w:rsidR="003D23B6">
        <w:rPr>
          <w:lang w:val="en-GB"/>
        </w:rPr>
        <w:t xml:space="preserve">, </w:t>
      </w:r>
      <w:r w:rsidR="003D23B6" w:rsidRPr="0035223E">
        <w:rPr>
          <w:lang w:val="en-GB"/>
        </w:rPr>
        <w:t>this at the expense of open surgery</w:t>
      </w:r>
      <w:r w:rsidR="003D23B6">
        <w:rPr>
          <w:lang w:val="en-GB"/>
        </w:rPr>
        <w:t>.</w:t>
      </w:r>
    </w:p>
    <w:p w14:paraId="3680D9FE" w14:textId="254022E8" w:rsidR="00416079" w:rsidRDefault="00301C54" w:rsidP="005769F3">
      <w:pPr>
        <w:spacing w:line="480" w:lineRule="auto"/>
        <w:jc w:val="both"/>
        <w:rPr>
          <w:lang w:val="en-GB"/>
        </w:rPr>
      </w:pPr>
      <w:r>
        <w:rPr>
          <w:lang w:val="en-GB"/>
        </w:rPr>
        <w:t>A first research question addressed in this study was t</w:t>
      </w:r>
      <w:r w:rsidRPr="00301C54">
        <w:rPr>
          <w:lang w:val="en-GB"/>
        </w:rPr>
        <w:t>o what extent preventive measures influence</w:t>
      </w:r>
      <w:r>
        <w:rPr>
          <w:lang w:val="en-GB"/>
        </w:rPr>
        <w:t>d</w:t>
      </w:r>
      <w:r w:rsidRPr="00301C54">
        <w:rPr>
          <w:lang w:val="en-GB"/>
        </w:rPr>
        <w:t xml:space="preserve"> urinary risk factors involved in stone </w:t>
      </w:r>
      <w:r>
        <w:rPr>
          <w:lang w:val="en-GB"/>
        </w:rPr>
        <w:t xml:space="preserve">formation. </w:t>
      </w:r>
      <w:r w:rsidR="004E3AE9">
        <w:rPr>
          <w:lang w:val="en-GB"/>
        </w:rPr>
        <w:t>Urinary risk factors are important determinants of kidney stone formation.</w:t>
      </w:r>
      <w:r w:rsidR="003D23B6">
        <w:rPr>
          <w:lang w:val="en-GB"/>
        </w:rPr>
        <w:t xml:space="preserve"> </w:t>
      </w:r>
      <w:r w:rsidR="003D23B6" w:rsidRPr="009C1461">
        <w:rPr>
          <w:lang w:val="en-GB"/>
        </w:rPr>
        <w:t xml:space="preserve">The first step in </w:t>
      </w:r>
      <w:r w:rsidR="003D23B6">
        <w:rPr>
          <w:lang w:val="en-GB"/>
        </w:rPr>
        <w:t>lithogenesis</w:t>
      </w:r>
      <w:r w:rsidR="003D23B6" w:rsidRPr="009C1461">
        <w:rPr>
          <w:lang w:val="en-GB"/>
        </w:rPr>
        <w:t xml:space="preserve"> is the formation of crystals in the urine, also known as crystalluria, due to urine supersaturation. </w:t>
      </w:r>
      <w:r w:rsidR="00416079">
        <w:rPr>
          <w:lang w:val="en-GB"/>
        </w:rPr>
        <w:t>T</w:t>
      </w:r>
      <w:r w:rsidR="00416079" w:rsidRPr="00416079">
        <w:rPr>
          <w:lang w:val="en-GB"/>
        </w:rPr>
        <w:t xml:space="preserve">hese crystals can </w:t>
      </w:r>
      <w:r w:rsidR="00416079">
        <w:rPr>
          <w:lang w:val="en-GB"/>
        </w:rPr>
        <w:t xml:space="preserve">subsequently </w:t>
      </w:r>
      <w:r w:rsidR="004E3AE9">
        <w:rPr>
          <w:lang w:val="en-GB"/>
        </w:rPr>
        <w:t>aggregate</w:t>
      </w:r>
      <w:r w:rsidR="00416079" w:rsidRPr="00416079">
        <w:rPr>
          <w:lang w:val="en-GB"/>
        </w:rPr>
        <w:t xml:space="preserve"> and </w:t>
      </w:r>
      <w:r w:rsidR="00272563">
        <w:rPr>
          <w:lang w:val="en-GB"/>
        </w:rPr>
        <w:t>evolve to</w:t>
      </w:r>
      <w:r w:rsidR="00272563" w:rsidRPr="00416079">
        <w:rPr>
          <w:lang w:val="en-GB"/>
        </w:rPr>
        <w:t xml:space="preserve"> </w:t>
      </w:r>
      <w:r w:rsidR="00416079" w:rsidRPr="00416079">
        <w:rPr>
          <w:lang w:val="en-GB"/>
        </w:rPr>
        <w:t>kidney stones</w:t>
      </w:r>
      <w:r w:rsidR="00416079">
        <w:rPr>
          <w:lang w:val="en-GB"/>
        </w:rPr>
        <w:t>.</w:t>
      </w:r>
    </w:p>
    <w:p w14:paraId="1C0A14F6" w14:textId="0AF138C9" w:rsidR="003D23B6" w:rsidRDefault="003D23B6" w:rsidP="005769F3">
      <w:pPr>
        <w:spacing w:line="480" w:lineRule="auto"/>
        <w:jc w:val="both"/>
        <w:rPr>
          <w:lang w:val="en-GB"/>
        </w:rPr>
      </w:pPr>
      <w:r w:rsidRPr="009C1461">
        <w:rPr>
          <w:lang w:val="en-GB"/>
        </w:rPr>
        <w:t xml:space="preserve">A possible cause of </w:t>
      </w:r>
      <w:r w:rsidR="006C0A29">
        <w:rPr>
          <w:lang w:val="en-GB"/>
        </w:rPr>
        <w:t>crystal formation</w:t>
      </w:r>
      <w:r w:rsidR="006C0A29" w:rsidRPr="009C1461">
        <w:rPr>
          <w:lang w:val="en-GB"/>
        </w:rPr>
        <w:t xml:space="preserve"> </w:t>
      </w:r>
      <w:r w:rsidRPr="009C1461">
        <w:rPr>
          <w:lang w:val="en-GB"/>
        </w:rPr>
        <w:t xml:space="preserve">is an excessive concentration of a substance in the urine, either due to an excessive intake of nutrients or medication, or to excessive endogenous production. A second way to achieve so-called supersaturation is </w:t>
      </w:r>
      <w:r w:rsidR="00E02F1B">
        <w:rPr>
          <w:lang w:val="en-GB"/>
        </w:rPr>
        <w:t xml:space="preserve">by </w:t>
      </w:r>
      <w:r w:rsidR="00171903">
        <w:rPr>
          <w:lang w:val="en-GB"/>
        </w:rPr>
        <w:t>insufficient</w:t>
      </w:r>
      <w:r w:rsidRPr="009C1461">
        <w:rPr>
          <w:lang w:val="en-GB"/>
        </w:rPr>
        <w:t xml:space="preserve"> urinary output</w:t>
      </w:r>
      <w:r w:rsidR="00416079">
        <w:rPr>
          <w:lang w:val="en-GB"/>
        </w:rPr>
        <w:t xml:space="preserve">. </w:t>
      </w:r>
      <w:r w:rsidRPr="009C1461">
        <w:rPr>
          <w:lang w:val="en-GB"/>
        </w:rPr>
        <w:t xml:space="preserve">However, occasionally </w:t>
      </w:r>
      <w:r w:rsidR="00A56C71">
        <w:rPr>
          <w:lang w:val="en-GB"/>
        </w:rPr>
        <w:t>stone formation can occur with normal solute concentrations when abnormal urinary</w:t>
      </w:r>
      <w:r w:rsidRPr="009C1461">
        <w:rPr>
          <w:lang w:val="en-GB"/>
        </w:rPr>
        <w:t xml:space="preserve"> pH </w:t>
      </w:r>
      <w:r w:rsidR="00D31726">
        <w:rPr>
          <w:lang w:val="en-GB"/>
        </w:rPr>
        <w:lastRenderedPageBreak/>
        <w:t>reduces</w:t>
      </w:r>
      <w:r w:rsidRPr="009C1461">
        <w:rPr>
          <w:lang w:val="en-GB"/>
        </w:rPr>
        <w:t xml:space="preserve"> their solubility and </w:t>
      </w:r>
      <w:r w:rsidR="00D31726">
        <w:rPr>
          <w:lang w:val="en-GB"/>
        </w:rPr>
        <w:t xml:space="preserve">promotes </w:t>
      </w:r>
      <w:r w:rsidR="00171903">
        <w:rPr>
          <w:lang w:val="en-GB"/>
        </w:rPr>
        <w:t>precipitation of</w:t>
      </w:r>
      <w:r w:rsidRPr="009C1461">
        <w:rPr>
          <w:lang w:val="en-GB"/>
        </w:rPr>
        <w:t xml:space="preserve"> crystals. </w:t>
      </w:r>
      <w:r w:rsidR="00B97F8F">
        <w:rPr>
          <w:lang w:val="en-GB"/>
        </w:rPr>
        <w:t xml:space="preserve">To prevent </w:t>
      </w:r>
      <w:r w:rsidR="00034C0F">
        <w:rPr>
          <w:lang w:val="en-GB"/>
        </w:rPr>
        <w:t>stone formation</w:t>
      </w:r>
      <w:r w:rsidR="00960708">
        <w:rPr>
          <w:lang w:val="en-GB"/>
        </w:rPr>
        <w:t>,</w:t>
      </w:r>
      <w:r w:rsidR="00034C0F">
        <w:rPr>
          <w:lang w:val="en-GB"/>
        </w:rPr>
        <w:t xml:space="preserve"> first</w:t>
      </w:r>
      <w:r w:rsidRPr="009C1461">
        <w:rPr>
          <w:lang w:val="en-GB"/>
        </w:rPr>
        <w:t xml:space="preserve"> urinary excretion of stone components such as oxalate, calcium, phosphate or uric acid </w:t>
      </w:r>
      <w:r w:rsidR="00960708">
        <w:rPr>
          <w:lang w:val="en-GB"/>
        </w:rPr>
        <w:t xml:space="preserve">has to be kept </w:t>
      </w:r>
      <w:r w:rsidRPr="009C1461">
        <w:rPr>
          <w:lang w:val="en-GB"/>
        </w:rPr>
        <w:t>as low as possible</w:t>
      </w:r>
      <w:r w:rsidR="008C35B2">
        <w:rPr>
          <w:lang w:val="en-GB"/>
        </w:rPr>
        <w:t xml:space="preserve">. </w:t>
      </w:r>
      <w:r w:rsidRPr="009C1461">
        <w:rPr>
          <w:lang w:val="en-GB"/>
        </w:rPr>
        <w:t xml:space="preserve"> </w:t>
      </w:r>
      <w:r w:rsidR="003267F0">
        <w:rPr>
          <w:lang w:val="en-GB"/>
        </w:rPr>
        <w:t>O</w:t>
      </w:r>
      <w:r w:rsidR="003267F0" w:rsidRPr="009C1461">
        <w:rPr>
          <w:lang w:val="en-GB"/>
        </w:rPr>
        <w:t xml:space="preserve">n the other hand </w:t>
      </w:r>
      <w:r w:rsidRPr="009C1461">
        <w:rPr>
          <w:lang w:val="en-GB"/>
        </w:rPr>
        <w:t>urinary output</w:t>
      </w:r>
      <w:r w:rsidR="003267F0">
        <w:rPr>
          <w:lang w:val="en-GB"/>
        </w:rPr>
        <w:t xml:space="preserve"> has to be increased</w:t>
      </w:r>
      <w:r w:rsidRPr="009C1461">
        <w:rPr>
          <w:lang w:val="en-GB"/>
        </w:rPr>
        <w:t xml:space="preserve"> in order to avoid supersaturation. </w:t>
      </w:r>
      <w:r w:rsidR="00563BC5">
        <w:rPr>
          <w:lang w:val="en-GB"/>
        </w:rPr>
        <w:t xml:space="preserve">Urinary </w:t>
      </w:r>
      <w:r w:rsidRPr="009C1461">
        <w:rPr>
          <w:lang w:val="en-GB"/>
        </w:rPr>
        <w:t>citrate also plays an important role as a crystallisation inhibitor of calcium salts</w:t>
      </w:r>
      <w:r w:rsidR="00302D98">
        <w:rPr>
          <w:lang w:val="en-GB"/>
        </w:rPr>
        <w:t xml:space="preserve"> and</w:t>
      </w:r>
      <w:r w:rsidR="00302D98" w:rsidRPr="009C1461">
        <w:rPr>
          <w:lang w:val="en-GB"/>
        </w:rPr>
        <w:t xml:space="preserve"> </w:t>
      </w:r>
      <w:r w:rsidRPr="009C1461">
        <w:rPr>
          <w:lang w:val="en-GB"/>
        </w:rPr>
        <w:t xml:space="preserve">its concentration must be kept high enough. Animal proteins and sodium excretion also </w:t>
      </w:r>
      <w:r w:rsidR="0096238E">
        <w:rPr>
          <w:lang w:val="en-GB"/>
        </w:rPr>
        <w:t xml:space="preserve">contribute to </w:t>
      </w:r>
      <w:r w:rsidR="0038599C">
        <w:rPr>
          <w:lang w:val="en-GB"/>
        </w:rPr>
        <w:t>stone formation</w:t>
      </w:r>
      <w:r w:rsidRPr="009C1461">
        <w:rPr>
          <w:lang w:val="en-GB"/>
        </w:rPr>
        <w:t xml:space="preserve"> by increasing calcium excretion and reducing citrate </w:t>
      </w:r>
      <w:r w:rsidR="0038599C">
        <w:rPr>
          <w:lang w:val="en-GB"/>
        </w:rPr>
        <w:t>concentration</w:t>
      </w:r>
      <w:r w:rsidR="0038599C" w:rsidRPr="009C1461">
        <w:rPr>
          <w:lang w:val="en-GB"/>
        </w:rPr>
        <w:t xml:space="preserve"> </w:t>
      </w:r>
      <w:r w:rsidRPr="009C1461">
        <w:rPr>
          <w:lang w:val="en-GB"/>
        </w:rPr>
        <w:t>in the urine</w:t>
      </w:r>
      <w:r>
        <w:rPr>
          <w:lang w:val="en-GB"/>
        </w:rPr>
        <w:t xml:space="preserve"> (5</w:t>
      </w:r>
      <w:r w:rsidR="004C183B">
        <w:rPr>
          <w:lang w:val="en-GB"/>
        </w:rPr>
        <w:t>7</w:t>
      </w:r>
      <w:r>
        <w:rPr>
          <w:lang w:val="en-GB"/>
        </w:rPr>
        <w:t>)</w:t>
      </w:r>
      <w:r w:rsidRPr="009C1461">
        <w:rPr>
          <w:lang w:val="en-GB"/>
        </w:rPr>
        <w:t>.</w:t>
      </w:r>
    </w:p>
    <w:p w14:paraId="49D2EEEB" w14:textId="4D5A3BFE" w:rsidR="003D23B6" w:rsidRDefault="003D23B6" w:rsidP="005769F3">
      <w:pPr>
        <w:spacing w:line="480" w:lineRule="auto"/>
        <w:jc w:val="both"/>
        <w:rPr>
          <w:lang w:val="en-GB"/>
        </w:rPr>
      </w:pPr>
      <w:r w:rsidRPr="003D64D5">
        <w:rPr>
          <w:lang w:val="en-GB"/>
        </w:rPr>
        <w:t xml:space="preserve">At baseline, 835 patients with nephrolithiasis or nephrocalcinosis </w:t>
      </w:r>
      <w:r w:rsidR="002350A8">
        <w:rPr>
          <w:lang w:val="en-GB"/>
        </w:rPr>
        <w:t>were</w:t>
      </w:r>
      <w:r w:rsidRPr="003D64D5">
        <w:rPr>
          <w:lang w:val="en-GB"/>
        </w:rPr>
        <w:t xml:space="preserve"> assessed for urinary risk factors.</w:t>
      </w:r>
      <w:r>
        <w:rPr>
          <w:lang w:val="en-GB"/>
        </w:rPr>
        <w:t xml:space="preserve"> </w:t>
      </w:r>
      <w:r w:rsidRPr="00194FC7">
        <w:rPr>
          <w:lang w:val="en-GB"/>
        </w:rPr>
        <w:t>The most commonly reported risk factors were an increased protein intake (77</w:t>
      </w:r>
      <w:r w:rsidR="00FC6DBB">
        <w:rPr>
          <w:lang w:val="en-GB"/>
        </w:rPr>
        <w:t>.</w:t>
      </w:r>
      <w:r w:rsidRPr="00194FC7">
        <w:rPr>
          <w:lang w:val="en-GB"/>
        </w:rPr>
        <w:t>0%), increased sodium excretion (59</w:t>
      </w:r>
      <w:r w:rsidR="00FC6DBB">
        <w:rPr>
          <w:lang w:val="en-GB"/>
        </w:rPr>
        <w:t>.</w:t>
      </w:r>
      <w:r w:rsidRPr="00194FC7">
        <w:rPr>
          <w:lang w:val="en-GB"/>
        </w:rPr>
        <w:t>9%) and low urinary output (59</w:t>
      </w:r>
      <w:r w:rsidR="00FC6DBB">
        <w:rPr>
          <w:lang w:val="en-GB"/>
        </w:rPr>
        <w:t>.</w:t>
      </w:r>
      <w:r w:rsidR="00416079">
        <w:rPr>
          <w:lang w:val="en-GB"/>
        </w:rPr>
        <w:t>0</w:t>
      </w:r>
      <w:r w:rsidRPr="00194FC7">
        <w:rPr>
          <w:lang w:val="en-GB"/>
        </w:rPr>
        <w:t xml:space="preserve">%). The </w:t>
      </w:r>
      <w:r w:rsidRPr="00492A64">
        <w:rPr>
          <w:lang w:val="en-GB"/>
        </w:rPr>
        <w:t>baseline urinary risk factors were found in a similar percentage of patients compared to values found in the literature</w:t>
      </w:r>
      <w:r>
        <w:rPr>
          <w:lang w:val="en-GB"/>
        </w:rPr>
        <w:t xml:space="preserve"> (44,5</w:t>
      </w:r>
      <w:r w:rsidR="004C183B">
        <w:rPr>
          <w:lang w:val="en-GB"/>
        </w:rPr>
        <w:t>8</w:t>
      </w:r>
      <w:r>
        <w:rPr>
          <w:lang w:val="en-GB"/>
        </w:rPr>
        <w:t>-6</w:t>
      </w:r>
      <w:r w:rsidR="004C183B">
        <w:rPr>
          <w:lang w:val="en-GB"/>
        </w:rPr>
        <w:t>2</w:t>
      </w:r>
      <w:r>
        <w:rPr>
          <w:lang w:val="en-GB"/>
        </w:rPr>
        <w:t>)</w:t>
      </w:r>
      <w:r w:rsidRPr="00492A64">
        <w:rPr>
          <w:lang w:val="en-GB"/>
        </w:rPr>
        <w:t xml:space="preserve">. Exceptions were </w:t>
      </w:r>
      <w:r>
        <w:rPr>
          <w:lang w:val="en-GB"/>
        </w:rPr>
        <w:t>hyper</w:t>
      </w:r>
      <w:r w:rsidRPr="00492A64">
        <w:rPr>
          <w:lang w:val="en-GB"/>
        </w:rPr>
        <w:t>calciuria, which was slightly less common in our population</w:t>
      </w:r>
      <w:r>
        <w:rPr>
          <w:lang w:val="en-GB"/>
        </w:rPr>
        <w:t xml:space="preserve"> (27</w:t>
      </w:r>
      <w:r w:rsidR="00FC6DBB">
        <w:rPr>
          <w:lang w:val="en-GB"/>
        </w:rPr>
        <w:t>.</w:t>
      </w:r>
      <w:r>
        <w:rPr>
          <w:lang w:val="en-GB"/>
        </w:rPr>
        <w:t>8% in our study population vs 33</w:t>
      </w:r>
      <w:r w:rsidR="00FC6DBB">
        <w:rPr>
          <w:lang w:val="en-GB"/>
        </w:rPr>
        <w:t>.</w:t>
      </w:r>
      <w:r w:rsidR="00416079">
        <w:rPr>
          <w:lang w:val="en-GB"/>
        </w:rPr>
        <w:t>0%</w:t>
      </w:r>
      <w:r>
        <w:rPr>
          <w:lang w:val="en-GB"/>
        </w:rPr>
        <w:t>-43</w:t>
      </w:r>
      <w:r w:rsidR="00FC6DBB">
        <w:rPr>
          <w:lang w:val="en-GB"/>
        </w:rPr>
        <w:t>.</w:t>
      </w:r>
      <w:r w:rsidR="00416079">
        <w:rPr>
          <w:lang w:val="en-GB"/>
        </w:rPr>
        <w:t>0</w:t>
      </w:r>
      <w:r>
        <w:rPr>
          <w:lang w:val="en-GB"/>
        </w:rPr>
        <w:t>% in other studies)</w:t>
      </w:r>
      <w:r w:rsidRPr="00492A64">
        <w:rPr>
          <w:lang w:val="en-GB"/>
        </w:rPr>
        <w:t xml:space="preserve">, and </w:t>
      </w:r>
      <w:r>
        <w:rPr>
          <w:lang w:val="en-GB"/>
        </w:rPr>
        <w:t xml:space="preserve">an increased </w:t>
      </w:r>
      <w:r w:rsidRPr="00492A64">
        <w:rPr>
          <w:lang w:val="en-GB"/>
        </w:rPr>
        <w:t>sodium excretion</w:t>
      </w:r>
      <w:r>
        <w:rPr>
          <w:lang w:val="en-GB"/>
        </w:rPr>
        <w:t>, which was found more common (</w:t>
      </w:r>
      <w:r w:rsidRPr="00F0776A">
        <w:rPr>
          <w:lang w:val="en-GB"/>
        </w:rPr>
        <w:t>59</w:t>
      </w:r>
      <w:r w:rsidR="00FC6DBB">
        <w:rPr>
          <w:lang w:val="en-GB"/>
        </w:rPr>
        <w:t>.</w:t>
      </w:r>
      <w:r w:rsidR="00416079">
        <w:rPr>
          <w:lang w:val="en-GB"/>
        </w:rPr>
        <w:t>9</w:t>
      </w:r>
      <w:r w:rsidRPr="00F0776A">
        <w:rPr>
          <w:lang w:val="en-GB"/>
        </w:rPr>
        <w:t>%</w:t>
      </w:r>
      <w:r>
        <w:rPr>
          <w:lang w:val="en-GB"/>
        </w:rPr>
        <w:t xml:space="preserve"> in our study population vs </w:t>
      </w:r>
      <w:r w:rsidRPr="00F0776A">
        <w:rPr>
          <w:lang w:val="en-GB"/>
        </w:rPr>
        <w:t>24</w:t>
      </w:r>
      <w:r w:rsidR="00FC6DBB">
        <w:rPr>
          <w:lang w:val="en-GB"/>
        </w:rPr>
        <w:t>.</w:t>
      </w:r>
      <w:r w:rsidR="00416079">
        <w:rPr>
          <w:lang w:val="en-GB"/>
        </w:rPr>
        <w:t>3</w:t>
      </w:r>
      <w:r w:rsidRPr="00F0776A">
        <w:rPr>
          <w:lang w:val="en-GB"/>
        </w:rPr>
        <w:t>%</w:t>
      </w:r>
      <w:r>
        <w:rPr>
          <w:lang w:val="en-GB"/>
        </w:rPr>
        <w:t xml:space="preserve"> in other studies)</w:t>
      </w:r>
      <w:r w:rsidRPr="00492A64">
        <w:rPr>
          <w:lang w:val="en-GB"/>
        </w:rPr>
        <w:t xml:space="preserve">. </w:t>
      </w:r>
      <w:r w:rsidRPr="00F0776A">
        <w:rPr>
          <w:lang w:val="en-GB"/>
        </w:rPr>
        <w:t>However, it should be noted that our definition of increased sodium excretion was &gt;150</w:t>
      </w:r>
      <w:r w:rsidR="00FC6DBB">
        <w:rPr>
          <w:lang w:val="en-GB"/>
        </w:rPr>
        <w:t>.0</w:t>
      </w:r>
      <w:r w:rsidRPr="00F0776A">
        <w:rPr>
          <w:lang w:val="en-GB"/>
        </w:rPr>
        <w:t xml:space="preserve"> mmol/24h while that of</w:t>
      </w:r>
      <w:r>
        <w:rPr>
          <w:lang w:val="en-GB"/>
        </w:rPr>
        <w:t xml:space="preserve"> the</w:t>
      </w:r>
      <w:r w:rsidRPr="00F0776A">
        <w:rPr>
          <w:lang w:val="en-GB"/>
        </w:rPr>
        <w:t xml:space="preserve"> other studies was &gt;200</w:t>
      </w:r>
      <w:r w:rsidR="00FC6DBB">
        <w:rPr>
          <w:lang w:val="en-GB"/>
        </w:rPr>
        <w:t>.0</w:t>
      </w:r>
      <w:r w:rsidRPr="00F0776A">
        <w:rPr>
          <w:lang w:val="en-GB"/>
        </w:rPr>
        <w:t xml:space="preserve"> mmol/24h.</w:t>
      </w:r>
      <w:r w:rsidR="00D47D39">
        <w:rPr>
          <w:lang w:val="en-GB"/>
        </w:rPr>
        <w:t xml:space="preserve"> Also, it is worth noting that </w:t>
      </w:r>
      <w:r w:rsidR="00D47D39" w:rsidRPr="00D47D39">
        <w:rPr>
          <w:lang w:val="en-GB"/>
        </w:rPr>
        <w:t>these are the abnormalities expected in a Western diet that is typically too high in salt and protein, which may help explain the increasing prevalence</w:t>
      </w:r>
      <w:r w:rsidR="00D47D39">
        <w:rPr>
          <w:lang w:val="en-GB"/>
        </w:rPr>
        <w:t xml:space="preserve"> of nephrolithiasis</w:t>
      </w:r>
      <w:r w:rsidR="00D47D39" w:rsidRPr="00D47D39">
        <w:rPr>
          <w:lang w:val="en-GB"/>
        </w:rPr>
        <w:t>.</w:t>
      </w:r>
    </w:p>
    <w:p w14:paraId="3C248723" w14:textId="534E1971" w:rsidR="003D23B6" w:rsidRDefault="003D23B6" w:rsidP="005769F3">
      <w:pPr>
        <w:spacing w:line="480" w:lineRule="auto"/>
        <w:jc w:val="both"/>
        <w:rPr>
          <w:lang w:val="en-GB"/>
        </w:rPr>
      </w:pPr>
      <w:r>
        <w:rPr>
          <w:lang w:val="en-GB"/>
        </w:rPr>
        <w:t>A significant reduction of the urinary sodium, calcium, phosphate</w:t>
      </w:r>
      <w:r w:rsidR="00972E53">
        <w:rPr>
          <w:lang w:val="en-GB"/>
        </w:rPr>
        <w:t xml:space="preserve"> and</w:t>
      </w:r>
      <w:r>
        <w:rPr>
          <w:lang w:val="en-GB"/>
        </w:rPr>
        <w:t xml:space="preserve"> uric acid excretion </w:t>
      </w:r>
      <w:r w:rsidR="00063D69">
        <w:rPr>
          <w:lang w:val="en-GB"/>
        </w:rPr>
        <w:t xml:space="preserve">was observed </w:t>
      </w:r>
      <w:r>
        <w:rPr>
          <w:lang w:val="en-GB"/>
        </w:rPr>
        <w:t xml:space="preserve">after start of preventive measures in </w:t>
      </w:r>
      <w:r w:rsidR="00B44CE8">
        <w:rPr>
          <w:lang w:val="en-GB"/>
        </w:rPr>
        <w:t xml:space="preserve">the overall cohort </w:t>
      </w:r>
      <w:r>
        <w:rPr>
          <w:lang w:val="en-GB"/>
        </w:rPr>
        <w:t xml:space="preserve">with at least </w:t>
      </w:r>
      <w:r w:rsidR="00FC6DBB">
        <w:rPr>
          <w:lang w:val="en-GB"/>
        </w:rPr>
        <w:t>six</w:t>
      </w:r>
      <w:r>
        <w:rPr>
          <w:lang w:val="en-GB"/>
        </w:rPr>
        <w:t xml:space="preserve"> months</w:t>
      </w:r>
      <w:r w:rsidR="00634CE0">
        <w:rPr>
          <w:lang w:val="en-GB"/>
        </w:rPr>
        <w:t xml:space="preserve"> of</w:t>
      </w:r>
      <w:r>
        <w:rPr>
          <w:lang w:val="en-GB"/>
        </w:rPr>
        <w:t xml:space="preserve"> clinical and biochemical follow-up. In addition, </w:t>
      </w:r>
      <w:r w:rsidR="005F5A7D">
        <w:rPr>
          <w:lang w:val="en-GB"/>
        </w:rPr>
        <w:t xml:space="preserve">follow up at the stone clinic was associated with </w:t>
      </w:r>
      <w:r>
        <w:rPr>
          <w:lang w:val="en-GB"/>
        </w:rPr>
        <w:t>a significant increase in urinary volume. There was no significant change in the urinary oxalate excretion</w:t>
      </w:r>
      <w:r w:rsidR="00E22A53">
        <w:rPr>
          <w:lang w:val="en-GB"/>
        </w:rPr>
        <w:t xml:space="preserve">, urinary citrate </w:t>
      </w:r>
      <w:r w:rsidR="00B44CE8">
        <w:rPr>
          <w:lang w:val="en-GB"/>
        </w:rPr>
        <w:t>excretion and</w:t>
      </w:r>
      <w:r w:rsidR="00E22A53">
        <w:rPr>
          <w:lang w:val="en-GB"/>
        </w:rPr>
        <w:t xml:space="preserve"> </w:t>
      </w:r>
      <w:r>
        <w:rPr>
          <w:lang w:val="en-GB"/>
        </w:rPr>
        <w:t>protein intake</w:t>
      </w:r>
      <w:r w:rsidR="00E22A53">
        <w:rPr>
          <w:lang w:val="en-GB"/>
        </w:rPr>
        <w:t xml:space="preserve"> </w:t>
      </w:r>
      <w:r>
        <w:rPr>
          <w:lang w:val="en-GB"/>
        </w:rPr>
        <w:t xml:space="preserve">in the </w:t>
      </w:r>
      <w:r w:rsidR="00B44CE8">
        <w:rPr>
          <w:lang w:val="en-GB"/>
        </w:rPr>
        <w:t xml:space="preserve">overall </w:t>
      </w:r>
      <w:r>
        <w:rPr>
          <w:lang w:val="en-GB"/>
        </w:rPr>
        <w:t xml:space="preserve">population with more than six months of follow-up. </w:t>
      </w:r>
      <w:r w:rsidR="00DA089F">
        <w:rPr>
          <w:lang w:val="en-GB"/>
        </w:rPr>
        <w:t>However, i</w:t>
      </w:r>
      <w:r>
        <w:rPr>
          <w:lang w:val="en-GB"/>
        </w:rPr>
        <w:t xml:space="preserve">n patients who presented </w:t>
      </w:r>
      <w:r w:rsidR="00FE13DA">
        <w:rPr>
          <w:lang w:val="en-GB"/>
        </w:rPr>
        <w:t>hyperoxaluria,</w:t>
      </w:r>
      <w:r w:rsidR="00E22A53">
        <w:rPr>
          <w:lang w:val="en-GB"/>
        </w:rPr>
        <w:t xml:space="preserve"> hypocitraturia,</w:t>
      </w:r>
      <w:r w:rsidR="00FE13DA">
        <w:rPr>
          <w:lang w:val="en-GB"/>
        </w:rPr>
        <w:t xml:space="preserve"> increased protein intake and low urinary pH </w:t>
      </w:r>
      <w:r w:rsidR="00DA089F">
        <w:rPr>
          <w:lang w:val="en-GB"/>
        </w:rPr>
        <w:t>at baseline</w:t>
      </w:r>
      <w:r>
        <w:rPr>
          <w:lang w:val="en-GB"/>
        </w:rPr>
        <w:t xml:space="preserve">, </w:t>
      </w:r>
      <w:r w:rsidRPr="00F905ED">
        <w:rPr>
          <w:lang w:val="en-GB"/>
        </w:rPr>
        <w:t>a significant reduction</w:t>
      </w:r>
      <w:r w:rsidR="00FE13DA">
        <w:rPr>
          <w:lang w:val="en-GB"/>
        </w:rPr>
        <w:t xml:space="preserve"> in </w:t>
      </w:r>
      <w:r w:rsidR="00E22A53">
        <w:rPr>
          <w:lang w:val="en-GB"/>
        </w:rPr>
        <w:t xml:space="preserve">urinary </w:t>
      </w:r>
      <w:r w:rsidR="00FE13DA">
        <w:rPr>
          <w:lang w:val="en-GB"/>
        </w:rPr>
        <w:t>oxalate</w:t>
      </w:r>
      <w:r w:rsidR="00E22A53">
        <w:rPr>
          <w:lang w:val="en-GB"/>
        </w:rPr>
        <w:t xml:space="preserve"> excretion</w:t>
      </w:r>
      <w:r w:rsidR="004967B2">
        <w:rPr>
          <w:lang w:val="en-GB"/>
        </w:rPr>
        <w:t xml:space="preserve"> </w:t>
      </w:r>
      <w:r w:rsidR="00E22A53">
        <w:rPr>
          <w:lang w:val="en-GB"/>
        </w:rPr>
        <w:t>and p</w:t>
      </w:r>
      <w:r w:rsidR="00FE13DA">
        <w:rPr>
          <w:lang w:val="en-GB"/>
        </w:rPr>
        <w:t>rotein intake</w:t>
      </w:r>
      <w:r w:rsidR="009B0C0E">
        <w:rPr>
          <w:lang w:val="en-GB"/>
        </w:rPr>
        <w:t xml:space="preserve"> as well as</w:t>
      </w:r>
      <w:r w:rsidR="00E22A53">
        <w:rPr>
          <w:lang w:val="en-GB"/>
        </w:rPr>
        <w:t xml:space="preserve"> </w:t>
      </w:r>
      <w:r w:rsidR="009B0C0E">
        <w:rPr>
          <w:lang w:val="en-GB"/>
        </w:rPr>
        <w:t xml:space="preserve">a significant  </w:t>
      </w:r>
      <w:r w:rsidR="00FE13DA">
        <w:rPr>
          <w:lang w:val="en-GB"/>
        </w:rPr>
        <w:t>increase in urinary pH</w:t>
      </w:r>
      <w:r w:rsidRPr="00F905ED">
        <w:rPr>
          <w:lang w:val="en-GB"/>
        </w:rPr>
        <w:t xml:space="preserve"> </w:t>
      </w:r>
      <w:r w:rsidR="009B0C0E">
        <w:rPr>
          <w:lang w:val="en-GB"/>
        </w:rPr>
        <w:t xml:space="preserve"> and</w:t>
      </w:r>
      <w:r w:rsidR="009F04A0">
        <w:rPr>
          <w:lang w:val="en-GB"/>
        </w:rPr>
        <w:t xml:space="preserve"> </w:t>
      </w:r>
      <w:r w:rsidR="009B0C0E">
        <w:rPr>
          <w:lang w:val="en-GB"/>
        </w:rPr>
        <w:t xml:space="preserve"> </w:t>
      </w:r>
      <w:r w:rsidR="004967B2">
        <w:rPr>
          <w:lang w:val="en-GB"/>
        </w:rPr>
        <w:t xml:space="preserve">urinary citrate excretion </w:t>
      </w:r>
      <w:r w:rsidR="00556510">
        <w:rPr>
          <w:lang w:val="en-GB"/>
        </w:rPr>
        <w:t>was observed during follow up</w:t>
      </w:r>
      <w:r>
        <w:rPr>
          <w:lang w:val="en-GB"/>
        </w:rPr>
        <w:t xml:space="preserve">. </w:t>
      </w:r>
      <w:r w:rsidR="00582136">
        <w:rPr>
          <w:lang w:val="en-GB"/>
        </w:rPr>
        <w:t>This</w:t>
      </w:r>
      <w:r w:rsidR="00582136" w:rsidRPr="00DA089F">
        <w:rPr>
          <w:lang w:val="en-GB"/>
        </w:rPr>
        <w:t xml:space="preserve"> </w:t>
      </w:r>
      <w:r w:rsidR="00DA089F">
        <w:rPr>
          <w:lang w:val="en-GB"/>
        </w:rPr>
        <w:lastRenderedPageBreak/>
        <w:t xml:space="preserve">illustrates </w:t>
      </w:r>
      <w:r w:rsidR="00DA089F" w:rsidRPr="00DA089F">
        <w:rPr>
          <w:lang w:val="en-GB"/>
        </w:rPr>
        <w:t xml:space="preserve">that extra guidance and emphasis on certain preventive measures </w:t>
      </w:r>
      <w:r w:rsidR="00F77006">
        <w:rPr>
          <w:lang w:val="en-GB"/>
        </w:rPr>
        <w:t xml:space="preserve">tailored to the underlying metabolic abnormality </w:t>
      </w:r>
      <w:r w:rsidR="00DA089F" w:rsidRPr="00DA089F">
        <w:rPr>
          <w:lang w:val="en-GB"/>
        </w:rPr>
        <w:t xml:space="preserve">does have </w:t>
      </w:r>
      <w:r w:rsidR="00675776">
        <w:rPr>
          <w:lang w:val="en-GB"/>
        </w:rPr>
        <w:t>positive</w:t>
      </w:r>
      <w:r w:rsidR="00DA089F" w:rsidRPr="00DA089F">
        <w:rPr>
          <w:lang w:val="en-GB"/>
        </w:rPr>
        <w:t xml:space="preserve"> effect</w:t>
      </w:r>
      <w:r w:rsidR="00E25F14">
        <w:rPr>
          <w:lang w:val="en-GB"/>
        </w:rPr>
        <w:t>s</w:t>
      </w:r>
      <w:r w:rsidR="00E22A53">
        <w:rPr>
          <w:lang w:val="en-GB"/>
        </w:rPr>
        <w:t xml:space="preserve">. </w:t>
      </w:r>
      <w:r w:rsidR="00E22A53" w:rsidRPr="00E22A53">
        <w:rPr>
          <w:lang w:val="en-GB"/>
        </w:rPr>
        <w:t xml:space="preserve">This conclusion is also supported by other studies which </w:t>
      </w:r>
      <w:r w:rsidR="00E22A53">
        <w:rPr>
          <w:lang w:val="en-GB"/>
        </w:rPr>
        <w:t>compared tailored to general dietary or pharmaceutical measures and concluded tailored preventive measures to be more effective (44-46).</w:t>
      </w:r>
    </w:p>
    <w:p w14:paraId="6061146B" w14:textId="0DC8F0C5" w:rsidR="003D23B6" w:rsidRDefault="003D23B6" w:rsidP="005769F3">
      <w:pPr>
        <w:spacing w:line="480" w:lineRule="auto"/>
        <w:jc w:val="both"/>
        <w:rPr>
          <w:lang w:val="en-GB"/>
        </w:rPr>
      </w:pPr>
      <w:r>
        <w:rPr>
          <w:lang w:val="en-GB"/>
        </w:rPr>
        <w:t>Other aims of this study were to examine to</w:t>
      </w:r>
      <w:r w:rsidRPr="00604063">
        <w:rPr>
          <w:lang w:val="en-GB"/>
        </w:rPr>
        <w:t xml:space="preserve"> what extent preventive measures influence</w:t>
      </w:r>
      <w:r w:rsidR="00301C54">
        <w:rPr>
          <w:lang w:val="en-GB"/>
        </w:rPr>
        <w:t>d the</w:t>
      </w:r>
      <w:r w:rsidRPr="00604063">
        <w:rPr>
          <w:lang w:val="en-GB"/>
        </w:rPr>
        <w:t xml:space="preserve"> </w:t>
      </w:r>
      <w:r w:rsidR="00AB1EEB">
        <w:rPr>
          <w:lang w:val="en-GB"/>
        </w:rPr>
        <w:t xml:space="preserve">rates of </w:t>
      </w:r>
      <w:r>
        <w:rPr>
          <w:lang w:val="en-GB"/>
        </w:rPr>
        <w:t xml:space="preserve">symptomatic renal colic, </w:t>
      </w:r>
      <w:r w:rsidRPr="00604063">
        <w:rPr>
          <w:lang w:val="en-GB"/>
        </w:rPr>
        <w:t>stone formation</w:t>
      </w:r>
      <w:r>
        <w:rPr>
          <w:lang w:val="en-GB"/>
        </w:rPr>
        <w:t xml:space="preserve"> and urological intervention </w:t>
      </w:r>
      <w:r w:rsidRPr="00604063">
        <w:rPr>
          <w:lang w:val="en-GB"/>
        </w:rPr>
        <w:t>in patients with nephrolithiasis</w:t>
      </w:r>
      <w:r>
        <w:rPr>
          <w:lang w:val="en-GB"/>
        </w:rPr>
        <w:t xml:space="preserve">. The symptomatic renal colic rates and urological intervention rate are of clinical importance for the patients given that they </w:t>
      </w:r>
      <w:r w:rsidRPr="00F70EE2">
        <w:rPr>
          <w:lang w:val="en-GB"/>
        </w:rPr>
        <w:t xml:space="preserve">reflect the burden that patients experience </w:t>
      </w:r>
      <w:r>
        <w:rPr>
          <w:lang w:val="en-GB"/>
        </w:rPr>
        <w:t xml:space="preserve">on annual basis </w:t>
      </w:r>
      <w:r w:rsidRPr="00F70EE2">
        <w:rPr>
          <w:lang w:val="en-GB"/>
        </w:rPr>
        <w:t>from nephrolithiasis.</w:t>
      </w:r>
      <w:r>
        <w:rPr>
          <w:lang w:val="en-GB"/>
        </w:rPr>
        <w:t xml:space="preserve"> T</w:t>
      </w:r>
      <w:r w:rsidRPr="009D26D8">
        <w:rPr>
          <w:lang w:val="en-GB"/>
        </w:rPr>
        <w:t xml:space="preserve">he importance of </w:t>
      </w:r>
      <w:r>
        <w:rPr>
          <w:lang w:val="en-GB"/>
        </w:rPr>
        <w:t>the stone formation rate should not be underestimated either, considering that it includes analysis of asymptomatic stone formation, which also play a key role in the burden of nephrolithiasis. As stated before, it was demonstrated by the cohort study by Boyce et al. (5) that 20</w:t>
      </w:r>
      <w:r w:rsidR="00FC6DBB">
        <w:rPr>
          <w:lang w:val="en-GB"/>
        </w:rPr>
        <w:t>.</w:t>
      </w:r>
      <w:r>
        <w:rPr>
          <w:lang w:val="en-GB"/>
        </w:rPr>
        <w:t xml:space="preserve">5% of asymptomatic nephrolithiasis patients experienced at least one symptomatic renal colic episode in the following </w:t>
      </w:r>
      <w:r w:rsidR="00D7749A">
        <w:rPr>
          <w:lang w:val="en-GB"/>
        </w:rPr>
        <w:t>ten</w:t>
      </w:r>
      <w:r>
        <w:rPr>
          <w:lang w:val="en-GB"/>
        </w:rPr>
        <w:t xml:space="preserve"> years of follow-up. Thus, reducing the amount of asymptomatic nephrolithiasis should also be </w:t>
      </w:r>
      <w:r w:rsidRPr="00CD36DE">
        <w:rPr>
          <w:lang w:val="en-GB"/>
        </w:rPr>
        <w:t xml:space="preserve">one of the goals of </w:t>
      </w:r>
      <w:r>
        <w:rPr>
          <w:lang w:val="en-GB"/>
        </w:rPr>
        <w:t xml:space="preserve">a </w:t>
      </w:r>
      <w:r w:rsidRPr="00CD36DE">
        <w:rPr>
          <w:lang w:val="en-GB"/>
        </w:rPr>
        <w:t>kidney stone prevention</w:t>
      </w:r>
      <w:r>
        <w:rPr>
          <w:lang w:val="en-GB"/>
        </w:rPr>
        <w:t xml:space="preserve"> programme.</w:t>
      </w:r>
      <w:r w:rsidRPr="00022A39">
        <w:rPr>
          <w:lang w:val="en-GB"/>
        </w:rPr>
        <w:t xml:space="preserve"> </w:t>
      </w:r>
    </w:p>
    <w:p w14:paraId="3B103871" w14:textId="14D273E1" w:rsidR="00AD4B29" w:rsidRDefault="00AF1925" w:rsidP="005769F3">
      <w:pPr>
        <w:spacing w:line="480" w:lineRule="auto"/>
        <w:jc w:val="both"/>
        <w:rPr>
          <w:lang w:val="en-GB"/>
        </w:rPr>
      </w:pPr>
      <w:r>
        <w:rPr>
          <w:lang w:val="en-GB"/>
        </w:rPr>
        <w:t>The present cohort study clearly showed a</w:t>
      </w:r>
      <w:r w:rsidR="007B4F9D">
        <w:rPr>
          <w:lang w:val="en-GB"/>
        </w:rPr>
        <w:t xml:space="preserve"> significant reduction in renal colic rate and </w:t>
      </w:r>
      <w:r w:rsidR="003D23B6">
        <w:rPr>
          <w:lang w:val="en-GB"/>
        </w:rPr>
        <w:t xml:space="preserve">urological intervention rate after </w:t>
      </w:r>
      <w:r w:rsidR="00C252A2">
        <w:rPr>
          <w:lang w:val="en-GB"/>
        </w:rPr>
        <w:t xml:space="preserve">implementing combined preventive measures </w:t>
      </w:r>
      <w:r w:rsidR="003D23B6">
        <w:rPr>
          <w:lang w:val="en-GB"/>
        </w:rPr>
        <w:t>in patients with nephrolithiasis</w:t>
      </w:r>
      <w:r w:rsidR="007B4F9D">
        <w:rPr>
          <w:lang w:val="en-GB"/>
        </w:rPr>
        <w:t xml:space="preserve">. </w:t>
      </w:r>
      <w:r>
        <w:rPr>
          <w:lang w:val="en-GB"/>
        </w:rPr>
        <w:t>This is in accordance with the previously reported</w:t>
      </w:r>
      <w:r w:rsidR="00DA089F" w:rsidRPr="00DA089F">
        <w:rPr>
          <w:lang w:val="en-GB"/>
        </w:rPr>
        <w:t xml:space="preserve"> findings</w:t>
      </w:r>
      <w:r w:rsidR="00DA089F">
        <w:rPr>
          <w:lang w:val="en-GB"/>
        </w:rPr>
        <w:t xml:space="preserve"> by Parks and Coe</w:t>
      </w:r>
      <w:r w:rsidR="00DA089F" w:rsidRPr="00DA089F">
        <w:rPr>
          <w:lang w:val="en-GB"/>
        </w:rPr>
        <w:t xml:space="preserve"> </w:t>
      </w:r>
      <w:r w:rsidR="00DA089F">
        <w:rPr>
          <w:lang w:val="en-GB"/>
        </w:rPr>
        <w:t>(47)</w:t>
      </w:r>
      <w:r w:rsidR="003D23B6">
        <w:rPr>
          <w:lang w:val="en-GB"/>
        </w:rPr>
        <w:t>.</w:t>
      </w:r>
      <w:r w:rsidR="00DA089F">
        <w:rPr>
          <w:lang w:val="en-GB"/>
        </w:rPr>
        <w:t xml:space="preserve"> </w:t>
      </w:r>
    </w:p>
    <w:p w14:paraId="59C552BF" w14:textId="17C41915" w:rsidR="00FD7352" w:rsidRDefault="007646D1" w:rsidP="00AD4B29">
      <w:pPr>
        <w:spacing w:line="480" w:lineRule="auto"/>
        <w:jc w:val="both"/>
        <w:rPr>
          <w:rFonts w:cstheme="minorHAnsi"/>
          <w:lang w:val="en-GB"/>
        </w:rPr>
      </w:pPr>
      <w:r>
        <w:rPr>
          <w:lang w:val="en-GB"/>
        </w:rPr>
        <w:t>However, our</w:t>
      </w:r>
      <w:r w:rsidR="007928CE" w:rsidRPr="00124774">
        <w:rPr>
          <w:lang w:val="en-GB"/>
        </w:rPr>
        <w:t xml:space="preserve"> study does not provide an unequivocal answer to the research question of whether the stone formation rate can be significantly reduced by implementing combined preventive measures.</w:t>
      </w:r>
      <w:r w:rsidR="007928CE">
        <w:rPr>
          <w:lang w:val="en-GB"/>
        </w:rPr>
        <w:t xml:space="preserve"> </w:t>
      </w:r>
      <w:r w:rsidR="009D7E6D">
        <w:rPr>
          <w:lang w:val="en-GB"/>
        </w:rPr>
        <w:t xml:space="preserve">This </w:t>
      </w:r>
      <w:r w:rsidR="009F63B0">
        <w:rPr>
          <w:lang w:val="en-GB"/>
        </w:rPr>
        <w:t>ambiguity</w:t>
      </w:r>
      <w:r w:rsidR="009D7E6D">
        <w:rPr>
          <w:lang w:val="en-GB"/>
        </w:rPr>
        <w:t xml:space="preserve"> result</w:t>
      </w:r>
      <w:r w:rsidR="009F63B0">
        <w:rPr>
          <w:lang w:val="en-GB"/>
        </w:rPr>
        <w:t>s</w:t>
      </w:r>
      <w:r w:rsidR="009D7E6D">
        <w:rPr>
          <w:lang w:val="en-GB"/>
        </w:rPr>
        <w:t xml:space="preserve"> from</w:t>
      </w:r>
      <w:r w:rsidR="009F63B0">
        <w:rPr>
          <w:lang w:val="en-GB"/>
        </w:rPr>
        <w:t xml:space="preserve"> the difficulty to correctly estimate the stone formation rate in the period before the follow up at the stone clinic was started. </w:t>
      </w:r>
      <w:r w:rsidR="006F7D9B">
        <w:rPr>
          <w:lang w:val="en-GB"/>
        </w:rPr>
        <w:t>Referral to the stone clinic often occurs after removal of multiple stones over a relatively short period</w:t>
      </w:r>
      <w:r w:rsidR="00424012">
        <w:rPr>
          <w:lang w:val="en-GB"/>
        </w:rPr>
        <w:t xml:space="preserve"> although these stones might have formed over several years. This can result in an overestimation of the stone formation rate before start of the follow up and a bias towards overestimating the protective effect of follow up at the stone clinic.</w:t>
      </w:r>
      <w:r w:rsidR="009D7E6D">
        <w:rPr>
          <w:lang w:val="en-GB"/>
        </w:rPr>
        <w:t xml:space="preserve"> </w:t>
      </w:r>
      <w:r w:rsidR="00F07338">
        <w:rPr>
          <w:lang w:val="en-GB"/>
        </w:rPr>
        <w:t xml:space="preserve">Without adjustment for the follow up period before </w:t>
      </w:r>
      <w:r w:rsidR="00B57D7F">
        <w:rPr>
          <w:lang w:val="en-GB"/>
        </w:rPr>
        <w:t>attending the stone clinic we indeed observed</w:t>
      </w:r>
      <w:r w:rsidR="007928CE" w:rsidRPr="007928CE">
        <w:rPr>
          <w:lang w:val="en-GB"/>
        </w:rPr>
        <w:t xml:space="preserve"> a </w:t>
      </w:r>
      <w:r w:rsidR="007928CE" w:rsidRPr="007928CE">
        <w:rPr>
          <w:lang w:val="en-GB"/>
        </w:rPr>
        <w:lastRenderedPageBreak/>
        <w:t xml:space="preserve">significant reduction </w:t>
      </w:r>
      <w:r w:rsidR="00B57D7F">
        <w:rPr>
          <w:lang w:val="en-GB"/>
        </w:rPr>
        <w:t xml:space="preserve">of the stone formation rate </w:t>
      </w:r>
      <w:r w:rsidR="007928CE">
        <w:rPr>
          <w:lang w:val="en-GB"/>
        </w:rPr>
        <w:t>(</w:t>
      </w:r>
      <w:r w:rsidR="00B776D3" w:rsidRPr="00B776D3">
        <w:rPr>
          <w:rFonts w:cstheme="minorHAnsi"/>
          <w:i/>
          <w:iCs/>
          <w:lang w:val="en-GB"/>
        </w:rPr>
        <w:t>P</w:t>
      </w:r>
      <w:r w:rsidR="00FC6DBB" w:rsidRPr="00FC6DBB">
        <w:rPr>
          <w:rFonts w:cstheme="minorHAnsi"/>
          <w:lang w:val="en-GB"/>
        </w:rPr>
        <w:t>&lt;0.01</w:t>
      </w:r>
      <w:r w:rsidR="007928CE">
        <w:rPr>
          <w:rFonts w:cstheme="minorHAnsi"/>
          <w:lang w:val="en-GB"/>
        </w:rPr>
        <w:t xml:space="preserve">). </w:t>
      </w:r>
      <w:r w:rsidR="00C82402">
        <w:rPr>
          <w:rFonts w:cstheme="minorHAnsi"/>
          <w:lang w:val="en-GB"/>
        </w:rPr>
        <w:t>T</w:t>
      </w:r>
      <w:r w:rsidR="00C82402" w:rsidRPr="00C82402">
        <w:rPr>
          <w:rFonts w:cstheme="minorHAnsi"/>
          <w:lang w:val="en-GB"/>
        </w:rPr>
        <w:t xml:space="preserve">his confirms the results of Parks and </w:t>
      </w:r>
      <w:r w:rsidR="00FD7352">
        <w:rPr>
          <w:rFonts w:cstheme="minorHAnsi"/>
          <w:lang w:val="en-GB"/>
        </w:rPr>
        <w:t>C</w:t>
      </w:r>
      <w:r w:rsidR="00C82402" w:rsidRPr="00C82402">
        <w:rPr>
          <w:rFonts w:cstheme="minorHAnsi"/>
          <w:lang w:val="en-GB"/>
        </w:rPr>
        <w:t xml:space="preserve">oe who </w:t>
      </w:r>
      <w:r w:rsidR="00FD7352">
        <w:rPr>
          <w:rFonts w:cstheme="minorHAnsi"/>
          <w:lang w:val="en-GB"/>
        </w:rPr>
        <w:t>applied</w:t>
      </w:r>
      <w:r w:rsidR="00C82402" w:rsidRPr="00C82402">
        <w:rPr>
          <w:rFonts w:cstheme="minorHAnsi"/>
          <w:lang w:val="en-GB"/>
        </w:rPr>
        <w:t xml:space="preserve"> the same </w:t>
      </w:r>
      <w:r w:rsidR="00FD7352">
        <w:rPr>
          <w:rFonts w:cstheme="minorHAnsi"/>
          <w:lang w:val="en-GB"/>
        </w:rPr>
        <w:t>methodology for the calculations</w:t>
      </w:r>
      <w:r w:rsidR="00C82402">
        <w:rPr>
          <w:rFonts w:cstheme="minorHAnsi"/>
          <w:lang w:val="en-GB"/>
        </w:rPr>
        <w:t xml:space="preserve"> (47). </w:t>
      </w:r>
      <w:r w:rsidR="007928CE">
        <w:rPr>
          <w:rFonts w:cstheme="minorHAnsi"/>
          <w:lang w:val="en-GB"/>
        </w:rPr>
        <w:t xml:space="preserve">In order to </w:t>
      </w:r>
      <w:r w:rsidR="007928CE" w:rsidRPr="007928CE">
        <w:rPr>
          <w:rFonts w:cstheme="minorHAnsi"/>
          <w:lang w:val="en-GB"/>
        </w:rPr>
        <w:t>avoid potential bias</w:t>
      </w:r>
      <w:r w:rsidR="004812EA">
        <w:rPr>
          <w:rFonts w:cstheme="minorHAnsi"/>
          <w:lang w:val="en-GB"/>
        </w:rPr>
        <w:t xml:space="preserve"> due to short treatment interval we performed to adjusted </w:t>
      </w:r>
      <w:r w:rsidR="007928CE" w:rsidRPr="007928CE">
        <w:rPr>
          <w:rFonts w:cstheme="minorHAnsi"/>
          <w:lang w:val="en-GB"/>
        </w:rPr>
        <w:t>calculation</w:t>
      </w:r>
      <w:r w:rsidR="00324175">
        <w:rPr>
          <w:rFonts w:cstheme="minorHAnsi"/>
          <w:lang w:val="en-GB"/>
        </w:rPr>
        <w:t>s</w:t>
      </w:r>
      <w:r w:rsidR="007928CE" w:rsidRPr="007928CE">
        <w:rPr>
          <w:rFonts w:cstheme="minorHAnsi"/>
          <w:lang w:val="en-GB"/>
        </w:rPr>
        <w:t xml:space="preserve"> </w:t>
      </w:r>
      <w:r w:rsidR="00324175">
        <w:rPr>
          <w:rFonts w:cstheme="minorHAnsi"/>
          <w:lang w:val="en-GB"/>
        </w:rPr>
        <w:t>of the stone formation rate</w:t>
      </w:r>
      <w:r w:rsidR="007928CE">
        <w:rPr>
          <w:rFonts w:cstheme="minorHAnsi"/>
          <w:lang w:val="en-GB"/>
        </w:rPr>
        <w:t xml:space="preserve">. </w:t>
      </w:r>
      <w:r w:rsidR="00C41F9F">
        <w:rPr>
          <w:rFonts w:cstheme="minorHAnsi"/>
          <w:lang w:val="en-GB"/>
        </w:rPr>
        <w:t>In one we arbitrarily calculated pre-treatment rates based on follow up times of five years</w:t>
      </w:r>
      <w:r w:rsidR="007928CE" w:rsidRPr="007928CE">
        <w:rPr>
          <w:rFonts w:cstheme="minorHAnsi"/>
          <w:lang w:val="en-GB"/>
        </w:rPr>
        <w:t xml:space="preserve"> in patients with less than five years pre-treatment interval</w:t>
      </w:r>
      <w:r w:rsidR="00C41F9F">
        <w:rPr>
          <w:rFonts w:cstheme="minorHAnsi"/>
          <w:lang w:val="en-GB"/>
        </w:rPr>
        <w:t xml:space="preserve">. In the second </w:t>
      </w:r>
      <w:r w:rsidR="005A0493">
        <w:rPr>
          <w:rFonts w:cstheme="minorHAnsi"/>
          <w:lang w:val="en-GB"/>
        </w:rPr>
        <w:t xml:space="preserve">analysis </w:t>
      </w:r>
      <w:r w:rsidR="00C41F9F">
        <w:rPr>
          <w:rFonts w:cstheme="minorHAnsi"/>
          <w:lang w:val="en-GB"/>
        </w:rPr>
        <w:t>we only included patients with</w:t>
      </w:r>
      <w:r w:rsidR="00145E7A">
        <w:rPr>
          <w:rFonts w:cstheme="minorHAnsi"/>
          <w:lang w:val="en-GB"/>
        </w:rPr>
        <w:t xml:space="preserve"> at least</w:t>
      </w:r>
      <w:r w:rsidR="00A02B71">
        <w:rPr>
          <w:rFonts w:cstheme="minorHAnsi"/>
          <w:lang w:val="en-GB"/>
        </w:rPr>
        <w:t xml:space="preserve"> </w:t>
      </w:r>
      <w:r w:rsidR="007928CE" w:rsidRPr="007928CE">
        <w:rPr>
          <w:rFonts w:cstheme="minorHAnsi"/>
          <w:lang w:val="en-GB"/>
        </w:rPr>
        <w:t xml:space="preserve"> three years pre-treatment</w:t>
      </w:r>
      <w:r w:rsidR="00AD0D90">
        <w:rPr>
          <w:rFonts w:cstheme="minorHAnsi"/>
          <w:lang w:val="en-GB"/>
        </w:rPr>
        <w:t xml:space="preserve"> follow up. </w:t>
      </w:r>
      <w:r w:rsidR="00B67698">
        <w:rPr>
          <w:rFonts w:cstheme="minorHAnsi"/>
          <w:lang w:val="en-GB"/>
        </w:rPr>
        <w:t>Contrary to the unadjusted analysis we c</w:t>
      </w:r>
      <w:r w:rsidR="007928CE" w:rsidRPr="007928CE">
        <w:rPr>
          <w:rFonts w:cstheme="minorHAnsi"/>
          <w:lang w:val="en-GB"/>
        </w:rPr>
        <w:t xml:space="preserve">ould not </w:t>
      </w:r>
      <w:r w:rsidR="00B67698">
        <w:rPr>
          <w:rFonts w:cstheme="minorHAnsi"/>
          <w:lang w:val="en-GB"/>
        </w:rPr>
        <w:t>confirm</w:t>
      </w:r>
      <w:r w:rsidR="00B67698" w:rsidRPr="007928CE">
        <w:rPr>
          <w:rFonts w:cstheme="minorHAnsi"/>
          <w:lang w:val="en-GB"/>
        </w:rPr>
        <w:t xml:space="preserve"> </w:t>
      </w:r>
      <w:r w:rsidR="007928CE" w:rsidRPr="007928CE">
        <w:rPr>
          <w:rFonts w:cstheme="minorHAnsi"/>
          <w:lang w:val="en-GB"/>
        </w:rPr>
        <w:t xml:space="preserve">a significant </w:t>
      </w:r>
      <w:r w:rsidR="00B67698">
        <w:rPr>
          <w:rFonts w:cstheme="minorHAnsi"/>
          <w:lang w:val="en-GB"/>
        </w:rPr>
        <w:t xml:space="preserve">reduction in the stone formation rate in the adjusted analyses </w:t>
      </w:r>
      <w:r w:rsidR="007928CE">
        <w:rPr>
          <w:rFonts w:cstheme="minorHAnsi"/>
          <w:lang w:val="en-GB"/>
        </w:rPr>
        <w:t>(p=</w:t>
      </w:r>
      <w:r w:rsidR="00FC6DBB">
        <w:rPr>
          <w:rFonts w:cstheme="minorHAnsi"/>
          <w:lang w:val="en-GB"/>
        </w:rPr>
        <w:t>0</w:t>
      </w:r>
      <w:r w:rsidR="00755456">
        <w:rPr>
          <w:rFonts w:cstheme="minorHAnsi"/>
          <w:lang w:val="en-GB"/>
        </w:rPr>
        <w:t>.</w:t>
      </w:r>
      <w:r w:rsidR="007928CE" w:rsidRPr="007928CE">
        <w:rPr>
          <w:rFonts w:cstheme="minorHAnsi"/>
          <w:lang w:val="en-GB"/>
        </w:rPr>
        <w:t>2</w:t>
      </w:r>
      <w:r w:rsidR="00FC6DBB">
        <w:rPr>
          <w:rFonts w:cstheme="minorHAnsi"/>
          <w:lang w:val="en-GB"/>
        </w:rPr>
        <w:t xml:space="preserve"> and 0</w:t>
      </w:r>
      <w:r w:rsidR="00755456">
        <w:rPr>
          <w:rFonts w:cstheme="minorHAnsi"/>
          <w:lang w:val="en-GB"/>
        </w:rPr>
        <w:t>.</w:t>
      </w:r>
      <w:r w:rsidR="00FC6DBB">
        <w:rPr>
          <w:rFonts w:cstheme="minorHAnsi"/>
          <w:lang w:val="en-GB"/>
        </w:rPr>
        <w:t>5</w:t>
      </w:r>
      <w:r w:rsidR="007928CE">
        <w:rPr>
          <w:rFonts w:cstheme="minorHAnsi"/>
          <w:vertAlign w:val="superscript"/>
          <w:lang w:val="en-GB"/>
        </w:rPr>
        <w:t xml:space="preserve"> </w:t>
      </w:r>
      <w:r w:rsidR="007928CE">
        <w:rPr>
          <w:rFonts w:cstheme="minorHAnsi"/>
          <w:lang w:val="en-GB"/>
        </w:rPr>
        <w:t xml:space="preserve">respectively). We can therefore conclude that </w:t>
      </w:r>
      <w:r w:rsidR="00595E15">
        <w:rPr>
          <w:rFonts w:cstheme="minorHAnsi"/>
          <w:lang w:val="en-GB"/>
        </w:rPr>
        <w:t xml:space="preserve">although the stone formation rate decreased </w:t>
      </w:r>
      <w:r w:rsidR="00517605">
        <w:rPr>
          <w:rFonts w:cstheme="minorHAnsi"/>
          <w:lang w:val="en-GB"/>
        </w:rPr>
        <w:t xml:space="preserve">after follow up at the stone clinic it is not excluded that this might be the result of bias secondary to underestimating the time required for stone formation before follow up at the stone clinic. </w:t>
      </w:r>
      <w:r w:rsidR="00552257">
        <w:rPr>
          <w:rFonts w:cstheme="minorHAnsi"/>
          <w:lang w:val="en-GB"/>
        </w:rPr>
        <w:t xml:space="preserve">The retrospective nature of the present study does </w:t>
      </w:r>
      <w:r w:rsidR="003C2AC8">
        <w:rPr>
          <w:rFonts w:cstheme="minorHAnsi"/>
          <w:lang w:val="en-GB"/>
        </w:rPr>
        <w:t>not provide an</w:t>
      </w:r>
      <w:r w:rsidR="007928CE">
        <w:rPr>
          <w:rFonts w:cstheme="minorHAnsi"/>
          <w:lang w:val="en-GB"/>
        </w:rPr>
        <w:t xml:space="preserve"> optimal way to </w:t>
      </w:r>
      <w:r w:rsidR="001F5720">
        <w:rPr>
          <w:rFonts w:cstheme="minorHAnsi"/>
          <w:lang w:val="en-GB"/>
        </w:rPr>
        <w:t>assess</w:t>
      </w:r>
      <w:r w:rsidR="007928CE">
        <w:rPr>
          <w:rFonts w:cstheme="minorHAnsi"/>
          <w:lang w:val="en-GB"/>
        </w:rPr>
        <w:t xml:space="preserve"> this </w:t>
      </w:r>
      <w:r w:rsidR="00133349">
        <w:rPr>
          <w:rFonts w:cstheme="minorHAnsi"/>
          <w:lang w:val="en-GB"/>
        </w:rPr>
        <w:t>outcome</w:t>
      </w:r>
      <w:r w:rsidR="001F5720">
        <w:rPr>
          <w:lang w:val="en-GB"/>
        </w:rPr>
        <w:t>,</w:t>
      </w:r>
      <w:r w:rsidR="009F04A0">
        <w:rPr>
          <w:lang w:val="en-GB"/>
        </w:rPr>
        <w:t xml:space="preserve"> e</w:t>
      </w:r>
      <w:r w:rsidR="009F04A0" w:rsidRPr="009F04A0">
        <w:rPr>
          <w:lang w:val="en-GB"/>
        </w:rPr>
        <w:t>specially as this rate could be determined in a lower number of patients</w:t>
      </w:r>
      <w:r w:rsidR="009F04A0">
        <w:rPr>
          <w:lang w:val="en-GB"/>
        </w:rPr>
        <w:t xml:space="preserve"> compared to the other rates</w:t>
      </w:r>
      <w:r w:rsidR="007928CE">
        <w:rPr>
          <w:rFonts w:cstheme="minorHAnsi"/>
          <w:lang w:val="en-GB"/>
        </w:rPr>
        <w:t xml:space="preserve">. </w:t>
      </w:r>
    </w:p>
    <w:p w14:paraId="5B1C56CA" w14:textId="72A6E4C4" w:rsidR="00AD4B29" w:rsidRDefault="00C82402" w:rsidP="00AD4B29">
      <w:pPr>
        <w:spacing w:line="480" w:lineRule="auto"/>
        <w:jc w:val="both"/>
        <w:rPr>
          <w:lang w:val="en-GB"/>
        </w:rPr>
      </w:pPr>
      <w:r>
        <w:rPr>
          <w:rFonts w:cstheme="minorHAnsi"/>
          <w:lang w:val="en-GB"/>
        </w:rPr>
        <w:t>However</w:t>
      </w:r>
      <w:r w:rsidR="00FD7352">
        <w:rPr>
          <w:rFonts w:cstheme="minorHAnsi"/>
          <w:lang w:val="en-GB"/>
        </w:rPr>
        <w:t>,</w:t>
      </w:r>
      <w:r>
        <w:rPr>
          <w:rFonts w:cstheme="minorHAnsi"/>
          <w:lang w:val="en-GB"/>
        </w:rPr>
        <w:t xml:space="preserve"> it should also be mentioned that</w:t>
      </w:r>
      <w:r>
        <w:rPr>
          <w:lang w:val="en-GB"/>
        </w:rPr>
        <w:t xml:space="preserve"> </w:t>
      </w:r>
      <w:r w:rsidRPr="00DA089F">
        <w:rPr>
          <w:lang w:val="en-GB"/>
        </w:rPr>
        <w:t xml:space="preserve">the importance of preventive medical therapy </w:t>
      </w:r>
      <w:r>
        <w:rPr>
          <w:lang w:val="en-GB"/>
        </w:rPr>
        <w:t xml:space="preserve">to reduce the stone formation rates in patients with and without residual stone fragments </w:t>
      </w:r>
      <w:r w:rsidRPr="00DA089F">
        <w:rPr>
          <w:lang w:val="en-GB"/>
        </w:rPr>
        <w:t>after ESWL and PNL was</w:t>
      </w:r>
      <w:r w:rsidR="00FD7352">
        <w:rPr>
          <w:lang w:val="en-GB"/>
        </w:rPr>
        <w:t xml:space="preserve"> </w:t>
      </w:r>
      <w:r w:rsidR="00FD7352">
        <w:rPr>
          <w:rFonts w:cstheme="minorHAnsi"/>
          <w:lang w:val="en-GB"/>
        </w:rPr>
        <w:t>previously</w:t>
      </w:r>
      <w:r w:rsidRPr="00DA089F">
        <w:rPr>
          <w:lang w:val="en-GB"/>
        </w:rPr>
        <w:t xml:space="preserve"> demonstrated</w:t>
      </w:r>
      <w:r>
        <w:rPr>
          <w:lang w:val="en-GB"/>
        </w:rPr>
        <w:t xml:space="preserve"> (45-46). </w:t>
      </w:r>
      <w:r w:rsidR="00FD7352" w:rsidRPr="00FD7352">
        <w:rPr>
          <w:lang w:val="en-GB"/>
        </w:rPr>
        <w:t xml:space="preserve">These studies did not encounter the same problem of pre-treatment rates as they compared a group of patients </w:t>
      </w:r>
      <w:r w:rsidR="00FD7352">
        <w:rPr>
          <w:lang w:val="en-GB"/>
        </w:rPr>
        <w:t xml:space="preserve">who implemented medical therapy to those who did not. </w:t>
      </w:r>
      <w:r w:rsidR="00FD7352" w:rsidRPr="00FD7352">
        <w:rPr>
          <w:lang w:val="en-GB"/>
        </w:rPr>
        <w:t>We can therefore conclude that although there is no unambiguous</w:t>
      </w:r>
      <w:r w:rsidR="00FD7352">
        <w:rPr>
          <w:lang w:val="en-GB"/>
        </w:rPr>
        <w:t xml:space="preserve"> </w:t>
      </w:r>
      <w:r w:rsidR="00FD7352" w:rsidRPr="00FD7352">
        <w:rPr>
          <w:lang w:val="en-GB"/>
        </w:rPr>
        <w:t>answer to the question of whether we were able to</w:t>
      </w:r>
      <w:r w:rsidR="00FD7352">
        <w:rPr>
          <w:lang w:val="en-GB"/>
        </w:rPr>
        <w:t xml:space="preserve"> statistically significantly</w:t>
      </w:r>
      <w:r w:rsidR="00FD7352" w:rsidRPr="00FD7352">
        <w:rPr>
          <w:lang w:val="en-GB"/>
        </w:rPr>
        <w:t xml:space="preserve"> reduce stone formation rates in this study, </w:t>
      </w:r>
      <w:r w:rsidR="00E54DB6">
        <w:rPr>
          <w:lang w:val="en-GB"/>
        </w:rPr>
        <w:t xml:space="preserve">lowering </w:t>
      </w:r>
      <w:r w:rsidR="00FD7352">
        <w:rPr>
          <w:lang w:val="en-GB"/>
        </w:rPr>
        <w:t>this</w:t>
      </w:r>
      <w:r w:rsidR="00E54DB6">
        <w:rPr>
          <w:lang w:val="en-GB"/>
        </w:rPr>
        <w:t xml:space="preserve"> rate should be an important objective </w:t>
      </w:r>
      <w:r w:rsidR="007B4F9D" w:rsidRPr="007B4F9D">
        <w:rPr>
          <w:lang w:val="en-GB"/>
        </w:rPr>
        <w:t>pursued by kidney stone prevention programmes</w:t>
      </w:r>
      <w:r w:rsidR="000C3B37">
        <w:rPr>
          <w:lang w:val="en-GB"/>
        </w:rPr>
        <w:t xml:space="preserve"> </w:t>
      </w:r>
      <w:r w:rsidR="000C3B37" w:rsidRPr="000C3B37">
        <w:rPr>
          <w:lang w:val="en-GB"/>
        </w:rPr>
        <w:t xml:space="preserve">given the clinical importance indicated </w:t>
      </w:r>
      <w:r w:rsidR="00CF2456">
        <w:rPr>
          <w:lang w:val="en-GB"/>
        </w:rPr>
        <w:t>before.</w:t>
      </w:r>
      <w:r w:rsidR="00AD4B29">
        <w:rPr>
          <w:lang w:val="en-GB"/>
        </w:rPr>
        <w:t xml:space="preserve"> </w:t>
      </w:r>
    </w:p>
    <w:p w14:paraId="02BBBF75" w14:textId="3AC5DB7B" w:rsidR="003D23B6" w:rsidRDefault="003D23B6" w:rsidP="005769F3">
      <w:pPr>
        <w:spacing w:line="480" w:lineRule="auto"/>
        <w:jc w:val="both"/>
        <w:rPr>
          <w:lang w:val="en-GB"/>
        </w:rPr>
      </w:pPr>
      <w:r w:rsidRPr="004608F7">
        <w:rPr>
          <w:lang w:val="en-GB"/>
        </w:rPr>
        <w:t xml:space="preserve">By reducing the number of urological interventions and symptomatic renal colics, we expect not only that the costs related to nephrolithiasis will decrease, but also that the quality of life of the patients will improve. After all, it has previously been shown that it </w:t>
      </w:r>
      <w:r>
        <w:rPr>
          <w:lang w:val="en-GB"/>
        </w:rPr>
        <w:t>is</w:t>
      </w:r>
      <w:r w:rsidRPr="004608F7">
        <w:rPr>
          <w:lang w:val="en-GB"/>
        </w:rPr>
        <w:t xml:space="preserve"> mainly</w:t>
      </w:r>
      <w:r>
        <w:rPr>
          <w:lang w:val="en-GB"/>
        </w:rPr>
        <w:t xml:space="preserve"> in</w:t>
      </w:r>
      <w:r w:rsidRPr="004608F7">
        <w:rPr>
          <w:lang w:val="en-GB"/>
        </w:rPr>
        <w:t xml:space="preserve"> patients with</w:t>
      </w:r>
      <w:r>
        <w:rPr>
          <w:lang w:val="en-GB"/>
        </w:rPr>
        <w:t xml:space="preserve"> a higher number of spontaneously passed stones or number of procedures that the quality of life decreased (20). </w:t>
      </w:r>
    </w:p>
    <w:p w14:paraId="77AC9469" w14:textId="02EA19AC" w:rsidR="003D23B6" w:rsidRDefault="003D23B6" w:rsidP="005769F3">
      <w:pPr>
        <w:spacing w:line="480" w:lineRule="auto"/>
        <w:jc w:val="both"/>
        <w:rPr>
          <w:lang w:val="en-GB"/>
        </w:rPr>
      </w:pPr>
      <w:r w:rsidRPr="00D13C0F">
        <w:rPr>
          <w:lang w:val="en-GB"/>
        </w:rPr>
        <w:lastRenderedPageBreak/>
        <w:t xml:space="preserve">Kidney stone patients have an increased risk of developing ESRD (17) and this risk is higher in recurrent stone formers compared to incident stone formers (18). Therefore, a reduction in the progression to ESRD can also be expected after implementation of kidney stone prevention, </w:t>
      </w:r>
      <w:r w:rsidR="004318C7">
        <w:rPr>
          <w:lang w:val="en-GB"/>
        </w:rPr>
        <w:t>as</w:t>
      </w:r>
      <w:r w:rsidRPr="00D13C0F">
        <w:rPr>
          <w:lang w:val="en-GB"/>
        </w:rPr>
        <w:t xml:space="preserve"> our study shows that </w:t>
      </w:r>
      <w:r w:rsidR="004318C7" w:rsidRPr="004318C7">
        <w:rPr>
          <w:lang w:val="en-GB"/>
        </w:rPr>
        <w:t>a decrease in recurrence</w:t>
      </w:r>
      <w:r w:rsidR="004318C7">
        <w:rPr>
          <w:lang w:val="en-GB"/>
        </w:rPr>
        <w:t xml:space="preserve"> rate</w:t>
      </w:r>
      <w:r w:rsidR="004318C7" w:rsidRPr="004318C7">
        <w:rPr>
          <w:lang w:val="en-GB"/>
        </w:rPr>
        <w:t>s can be expected</w:t>
      </w:r>
      <w:r w:rsidRPr="00D13C0F">
        <w:rPr>
          <w:lang w:val="en-GB"/>
        </w:rPr>
        <w:t>.</w:t>
      </w:r>
      <w:r>
        <w:rPr>
          <w:lang w:val="en-GB"/>
        </w:rPr>
        <w:t xml:space="preserve"> Further research is needed to confirm this assumption and to </w:t>
      </w:r>
      <w:r w:rsidRPr="00F37947">
        <w:rPr>
          <w:lang w:val="en-GB"/>
        </w:rPr>
        <w:t>determine the effect on</w:t>
      </w:r>
      <w:r>
        <w:rPr>
          <w:lang w:val="en-GB"/>
        </w:rPr>
        <w:t xml:space="preserve"> other associated diseases as well.</w:t>
      </w:r>
    </w:p>
    <w:p w14:paraId="32C68718" w14:textId="7329EF6B" w:rsidR="003D23B6" w:rsidRDefault="003D23B6" w:rsidP="005769F3">
      <w:pPr>
        <w:spacing w:line="480" w:lineRule="auto"/>
        <w:jc w:val="both"/>
        <w:rPr>
          <w:lang w:val="en-GB"/>
        </w:rPr>
      </w:pPr>
      <w:r w:rsidRPr="00BD302E">
        <w:rPr>
          <w:lang w:val="en-GB"/>
        </w:rPr>
        <w:t xml:space="preserve">Reducing </w:t>
      </w:r>
      <w:r>
        <w:rPr>
          <w:lang w:val="en-GB"/>
        </w:rPr>
        <w:t>stone recurrence</w:t>
      </w:r>
      <w:r w:rsidRPr="00BD302E">
        <w:rPr>
          <w:lang w:val="en-GB"/>
        </w:rPr>
        <w:t xml:space="preserve"> </w:t>
      </w:r>
      <w:r>
        <w:rPr>
          <w:lang w:val="en-GB"/>
        </w:rPr>
        <w:t xml:space="preserve">and urological intervention </w:t>
      </w:r>
      <w:r w:rsidRPr="00BD302E">
        <w:rPr>
          <w:lang w:val="en-GB"/>
        </w:rPr>
        <w:t>rates could logically improve not only the associated morbidit</w:t>
      </w:r>
      <w:r>
        <w:rPr>
          <w:lang w:val="en-GB"/>
        </w:rPr>
        <w:t>y</w:t>
      </w:r>
      <w:r w:rsidRPr="00BD302E">
        <w:rPr>
          <w:lang w:val="en-GB"/>
        </w:rPr>
        <w:t xml:space="preserve"> and reduced quality of life of kidney stone patients, but also </w:t>
      </w:r>
      <w:r>
        <w:rPr>
          <w:lang w:val="en-GB"/>
        </w:rPr>
        <w:t xml:space="preserve">the </w:t>
      </w:r>
      <w:r w:rsidRPr="00BD302E">
        <w:rPr>
          <w:lang w:val="en-GB"/>
        </w:rPr>
        <w:t>health</w:t>
      </w:r>
      <w:r>
        <w:rPr>
          <w:lang w:val="en-GB"/>
        </w:rPr>
        <w:t>care</w:t>
      </w:r>
      <w:r w:rsidR="00964E60">
        <w:rPr>
          <w:lang w:val="en-GB"/>
        </w:rPr>
        <w:t>-</w:t>
      </w:r>
      <w:r>
        <w:rPr>
          <w:lang w:val="en-GB"/>
        </w:rPr>
        <w:t xml:space="preserve"> </w:t>
      </w:r>
      <w:r w:rsidRPr="00BD302E">
        <w:rPr>
          <w:lang w:val="en-GB"/>
        </w:rPr>
        <w:t>related costs.</w:t>
      </w:r>
      <w:r>
        <w:rPr>
          <w:lang w:val="en-GB"/>
        </w:rPr>
        <w:t xml:space="preserve"> As mentioned before, the</w:t>
      </w:r>
      <w:r w:rsidRPr="00305FBA">
        <w:rPr>
          <w:lang w:val="en-GB"/>
        </w:rPr>
        <w:t xml:space="preserve"> retrospective analysis of the use of healthcare resources by Pearl et al. (7) </w:t>
      </w:r>
      <w:r>
        <w:rPr>
          <w:lang w:val="en-GB"/>
        </w:rPr>
        <w:t>q</w:t>
      </w:r>
      <w:r w:rsidRPr="00305FBA">
        <w:rPr>
          <w:lang w:val="en-GB"/>
        </w:rPr>
        <w:t>uantif</w:t>
      </w:r>
      <w:r>
        <w:rPr>
          <w:lang w:val="en-GB"/>
        </w:rPr>
        <w:t xml:space="preserve">ied the economic burden of nephrolithiasis in the United States. Direct costs consisted mainly of </w:t>
      </w:r>
      <w:r w:rsidRPr="00FA5F0B">
        <w:rPr>
          <w:lang w:val="en-GB"/>
        </w:rPr>
        <w:t>emergency room visits, hospitalizations, medical imaging, urological interventions and follow-up consultations</w:t>
      </w:r>
      <w:r>
        <w:rPr>
          <w:lang w:val="en-GB"/>
        </w:rPr>
        <w:t xml:space="preserve">. Our study demonstrates a </w:t>
      </w:r>
      <w:r w:rsidR="00675776">
        <w:rPr>
          <w:lang w:val="en-GB"/>
        </w:rPr>
        <w:t xml:space="preserve">significant </w:t>
      </w:r>
      <w:r>
        <w:rPr>
          <w:lang w:val="en-GB"/>
        </w:rPr>
        <w:t xml:space="preserve">reduction in symptomatic renal colic rates, </w:t>
      </w:r>
      <w:r w:rsidRPr="00C3799B">
        <w:rPr>
          <w:lang w:val="en-GB"/>
        </w:rPr>
        <w:t>which could logically lead to</w:t>
      </w:r>
      <w:r>
        <w:rPr>
          <w:lang w:val="en-GB"/>
        </w:rPr>
        <w:t xml:space="preserve"> a decrease in the number of emergency room visits. </w:t>
      </w:r>
      <w:r w:rsidRPr="00295858">
        <w:rPr>
          <w:lang w:val="en-GB"/>
        </w:rPr>
        <w:t xml:space="preserve">The same reasoning can be applied to the number of urological interventions </w:t>
      </w:r>
      <w:r>
        <w:rPr>
          <w:lang w:val="en-GB"/>
        </w:rPr>
        <w:t xml:space="preserve">as a consequence of the reduced </w:t>
      </w:r>
      <w:r w:rsidRPr="00295858">
        <w:rPr>
          <w:lang w:val="en-GB"/>
        </w:rPr>
        <w:t>urological intervention rat</w:t>
      </w:r>
      <w:r>
        <w:rPr>
          <w:lang w:val="en-GB"/>
        </w:rPr>
        <w:t>e</w:t>
      </w:r>
      <w:r w:rsidRPr="00295858">
        <w:rPr>
          <w:lang w:val="en-GB"/>
        </w:rPr>
        <w:t>s.</w:t>
      </w:r>
    </w:p>
    <w:p w14:paraId="0539735F" w14:textId="3B49D393" w:rsidR="003D23B6" w:rsidRPr="000F7111" w:rsidRDefault="003D23B6" w:rsidP="005769F3">
      <w:pPr>
        <w:spacing w:line="480" w:lineRule="auto"/>
        <w:jc w:val="both"/>
        <w:rPr>
          <w:i/>
          <w:iCs/>
          <w:color w:val="FF0000"/>
          <w:lang w:val="en-GB"/>
        </w:rPr>
      </w:pPr>
      <w:r>
        <w:rPr>
          <w:lang w:val="en-GB"/>
        </w:rPr>
        <w:t>Since kidney stone prevention can</w:t>
      </w:r>
      <w:r w:rsidRPr="00D422E2">
        <w:rPr>
          <w:lang w:val="en-GB"/>
        </w:rPr>
        <w:t xml:space="preserve"> reduce both </w:t>
      </w:r>
      <w:r>
        <w:rPr>
          <w:lang w:val="en-GB"/>
        </w:rPr>
        <w:t xml:space="preserve">the number of </w:t>
      </w:r>
      <w:r w:rsidRPr="00D422E2">
        <w:rPr>
          <w:lang w:val="en-GB"/>
        </w:rPr>
        <w:t>renal colic</w:t>
      </w:r>
      <w:r>
        <w:rPr>
          <w:lang w:val="en-GB"/>
        </w:rPr>
        <w:t>s</w:t>
      </w:r>
      <w:r w:rsidRPr="00D422E2">
        <w:rPr>
          <w:lang w:val="en-GB"/>
        </w:rPr>
        <w:t xml:space="preserve"> and urological intervention</w:t>
      </w:r>
      <w:r>
        <w:rPr>
          <w:lang w:val="en-GB"/>
        </w:rPr>
        <w:t>s patients experience, it could also result in a lower hospitalisation duration and leave of absences. Thus,</w:t>
      </w:r>
      <w:r w:rsidRPr="00E30910">
        <w:rPr>
          <w:lang w:val="en-GB"/>
        </w:rPr>
        <w:t xml:space="preserve"> not only the direct, but also the indirect costs related to kidney stones c</w:t>
      </w:r>
      <w:r>
        <w:rPr>
          <w:lang w:val="en-GB"/>
        </w:rPr>
        <w:t>ould</w:t>
      </w:r>
      <w:r w:rsidRPr="00E30910">
        <w:rPr>
          <w:lang w:val="en-GB"/>
        </w:rPr>
        <w:t xml:space="preserve"> be reduce</w:t>
      </w:r>
      <w:r w:rsidR="00675776">
        <w:rPr>
          <w:lang w:val="en-GB"/>
        </w:rPr>
        <w:t>d.</w:t>
      </w:r>
      <w:r w:rsidRPr="00946EA6">
        <w:rPr>
          <w:lang w:val="en-GB"/>
        </w:rPr>
        <w:t xml:space="preserve"> </w:t>
      </w:r>
      <w:r w:rsidR="00675776">
        <w:rPr>
          <w:lang w:val="en-GB"/>
        </w:rPr>
        <w:t>A</w:t>
      </w:r>
      <w:r w:rsidRPr="00946EA6">
        <w:rPr>
          <w:lang w:val="en-GB"/>
        </w:rPr>
        <w:t>ccording to Pearl et al</w:t>
      </w:r>
      <w:r>
        <w:rPr>
          <w:lang w:val="en-GB"/>
        </w:rPr>
        <w:t>. (7)</w:t>
      </w:r>
      <w:r w:rsidRPr="00946EA6">
        <w:rPr>
          <w:lang w:val="en-GB"/>
        </w:rPr>
        <w:t>, the</w:t>
      </w:r>
      <w:r>
        <w:rPr>
          <w:lang w:val="en-GB"/>
        </w:rPr>
        <w:t>se</w:t>
      </w:r>
      <w:r w:rsidRPr="00946EA6">
        <w:rPr>
          <w:lang w:val="en-GB"/>
        </w:rPr>
        <w:t xml:space="preserve"> mainly consisted of </w:t>
      </w:r>
      <w:r>
        <w:rPr>
          <w:lang w:val="en-GB"/>
        </w:rPr>
        <w:t>hours of work lost</w:t>
      </w:r>
      <w:r w:rsidRPr="00946EA6">
        <w:rPr>
          <w:lang w:val="en-GB"/>
        </w:rPr>
        <w:t>.</w:t>
      </w:r>
      <w:r>
        <w:rPr>
          <w:lang w:val="en-GB"/>
        </w:rPr>
        <w:t xml:space="preserve"> Therefore</w:t>
      </w:r>
      <w:r w:rsidRPr="008B20E3">
        <w:rPr>
          <w:lang w:val="en-GB"/>
        </w:rPr>
        <w:t xml:space="preserve">, we can conclude that kidney stone prevention </w:t>
      </w:r>
      <w:r>
        <w:rPr>
          <w:lang w:val="en-GB"/>
        </w:rPr>
        <w:t xml:space="preserve">could presumably </w:t>
      </w:r>
      <w:r w:rsidRPr="008B20E3">
        <w:rPr>
          <w:lang w:val="en-GB"/>
        </w:rPr>
        <w:t xml:space="preserve">not only </w:t>
      </w:r>
      <w:r>
        <w:rPr>
          <w:lang w:val="en-GB"/>
        </w:rPr>
        <w:t xml:space="preserve">benefit </w:t>
      </w:r>
      <w:r w:rsidRPr="008B20E3">
        <w:rPr>
          <w:lang w:val="en-GB"/>
        </w:rPr>
        <w:t>individual patients but also the whole society</w:t>
      </w:r>
      <w:r>
        <w:rPr>
          <w:lang w:val="en-GB"/>
        </w:rPr>
        <w:t xml:space="preserve">. However, </w:t>
      </w:r>
      <w:r w:rsidRPr="00D13C0F">
        <w:rPr>
          <w:lang w:val="en-GB"/>
        </w:rPr>
        <w:t xml:space="preserve">further research is needed to confirm and </w:t>
      </w:r>
      <w:r>
        <w:rPr>
          <w:lang w:val="en-GB"/>
        </w:rPr>
        <w:t>quantify</w:t>
      </w:r>
      <w:r w:rsidRPr="00D13C0F">
        <w:rPr>
          <w:lang w:val="en-GB"/>
        </w:rPr>
        <w:t xml:space="preserve"> this</w:t>
      </w:r>
      <w:r w:rsidR="00675776">
        <w:rPr>
          <w:lang w:val="en-GB"/>
        </w:rPr>
        <w:t>.</w:t>
      </w:r>
    </w:p>
    <w:p w14:paraId="335B5233" w14:textId="1C991CA9" w:rsidR="00E71589" w:rsidRDefault="009966FF" w:rsidP="005769F3">
      <w:pPr>
        <w:spacing w:line="480" w:lineRule="auto"/>
        <w:jc w:val="both"/>
        <w:rPr>
          <w:lang w:val="en-GB"/>
        </w:rPr>
      </w:pPr>
      <w:r>
        <w:rPr>
          <w:lang w:val="en-GB"/>
        </w:rPr>
        <w:t>The present</w:t>
      </w:r>
      <w:r w:rsidR="00AA6FE7">
        <w:rPr>
          <w:lang w:val="en-GB"/>
        </w:rPr>
        <w:t xml:space="preserve"> study </w:t>
      </w:r>
      <w:r>
        <w:rPr>
          <w:lang w:val="en-GB"/>
        </w:rPr>
        <w:t>investigated a large cohort of patients</w:t>
      </w:r>
      <w:r w:rsidR="00AA6FE7">
        <w:rPr>
          <w:lang w:val="en-GB"/>
        </w:rPr>
        <w:t xml:space="preserve">, which led to reliable </w:t>
      </w:r>
      <w:r>
        <w:rPr>
          <w:lang w:val="en-GB"/>
        </w:rPr>
        <w:t xml:space="preserve">effect estimate </w:t>
      </w:r>
      <w:r w:rsidR="00AA6FE7">
        <w:rPr>
          <w:lang w:val="en-GB"/>
        </w:rPr>
        <w:t xml:space="preserve">and </w:t>
      </w:r>
      <w:r>
        <w:rPr>
          <w:lang w:val="en-GB"/>
        </w:rPr>
        <w:t xml:space="preserve">sufficient </w:t>
      </w:r>
      <w:r w:rsidR="00AA6FE7">
        <w:rPr>
          <w:lang w:val="en-GB"/>
        </w:rPr>
        <w:t xml:space="preserve">statistically </w:t>
      </w:r>
      <w:r>
        <w:rPr>
          <w:lang w:val="en-GB"/>
        </w:rPr>
        <w:t>power for hypothesis testing</w:t>
      </w:r>
      <w:r w:rsidR="00AA6FE7">
        <w:rPr>
          <w:lang w:val="en-GB"/>
        </w:rPr>
        <w:t xml:space="preserve">. </w:t>
      </w:r>
      <w:r w:rsidR="00CF7F89">
        <w:rPr>
          <w:lang w:val="en-GB"/>
        </w:rPr>
        <w:t xml:space="preserve">In contrast to most </w:t>
      </w:r>
      <w:r w:rsidR="007418E1">
        <w:rPr>
          <w:lang w:val="en-GB"/>
        </w:rPr>
        <w:t xml:space="preserve">previous </w:t>
      </w:r>
      <w:r w:rsidR="00CF7F89">
        <w:rPr>
          <w:lang w:val="en-GB"/>
        </w:rPr>
        <w:t xml:space="preserve">studies, </w:t>
      </w:r>
      <w:r w:rsidR="00D71EEF">
        <w:rPr>
          <w:lang w:val="en-GB"/>
        </w:rPr>
        <w:t xml:space="preserve">our approach was innovating because it investigated the combined effect of </w:t>
      </w:r>
      <w:r w:rsidR="00CF7F89">
        <w:rPr>
          <w:lang w:val="en-GB"/>
        </w:rPr>
        <w:t xml:space="preserve">multiple preventive measures </w:t>
      </w:r>
      <w:r w:rsidR="004472AA">
        <w:rPr>
          <w:lang w:val="en-GB"/>
        </w:rPr>
        <w:t>on several clinically relevant</w:t>
      </w:r>
      <w:r w:rsidR="00CF7F89">
        <w:rPr>
          <w:lang w:val="en-GB"/>
        </w:rPr>
        <w:t xml:space="preserve"> outcomes </w:t>
      </w:r>
      <w:r w:rsidR="00AA6FE7">
        <w:rPr>
          <w:lang w:val="en-GB"/>
        </w:rPr>
        <w:t xml:space="preserve">in a real-life </w:t>
      </w:r>
      <w:r w:rsidR="004472AA">
        <w:rPr>
          <w:lang w:val="en-GB"/>
        </w:rPr>
        <w:t>setting</w:t>
      </w:r>
      <w:r w:rsidR="00CF7F89">
        <w:rPr>
          <w:lang w:val="en-GB"/>
        </w:rPr>
        <w:t xml:space="preserve">. </w:t>
      </w:r>
      <w:r w:rsidR="003D23B6">
        <w:rPr>
          <w:lang w:val="en-GB"/>
        </w:rPr>
        <w:t xml:space="preserve">Patients were closely monitored according to the </w:t>
      </w:r>
      <w:r w:rsidR="003D23B6" w:rsidRPr="004E1BFC">
        <w:rPr>
          <w:lang w:val="en-GB"/>
        </w:rPr>
        <w:t>European Association of Urology guidelines</w:t>
      </w:r>
      <w:r w:rsidR="000E255D">
        <w:rPr>
          <w:lang w:val="en-GB"/>
        </w:rPr>
        <w:t xml:space="preserve">, </w:t>
      </w:r>
      <w:r w:rsidR="003D23B6">
        <w:rPr>
          <w:lang w:val="en-GB"/>
        </w:rPr>
        <w:t xml:space="preserve">that can be easily implemented in everyday practice and </w:t>
      </w:r>
      <w:r w:rsidR="003D23B6">
        <w:rPr>
          <w:lang w:val="en-GB"/>
        </w:rPr>
        <w:lastRenderedPageBreak/>
        <w:t xml:space="preserve">understood by </w:t>
      </w:r>
      <w:r w:rsidR="003D23B6" w:rsidRPr="00472FBA">
        <w:rPr>
          <w:lang w:val="en-GB"/>
        </w:rPr>
        <w:t xml:space="preserve">people who have not often come into contact with the </w:t>
      </w:r>
      <w:r w:rsidR="003D23B6">
        <w:rPr>
          <w:lang w:val="en-GB"/>
        </w:rPr>
        <w:t xml:space="preserve">kidney stone prevention </w:t>
      </w:r>
      <w:r w:rsidR="003D23B6" w:rsidRPr="00472FBA">
        <w:rPr>
          <w:lang w:val="en-GB"/>
        </w:rPr>
        <w:t>field before</w:t>
      </w:r>
      <w:r w:rsidR="003D23B6">
        <w:rPr>
          <w:lang w:val="en-GB"/>
        </w:rPr>
        <w:t xml:space="preserve">.  </w:t>
      </w:r>
    </w:p>
    <w:p w14:paraId="1BA8AB1E" w14:textId="3AACEFAA" w:rsidR="003D23B6" w:rsidRDefault="003D23B6" w:rsidP="005769F3">
      <w:pPr>
        <w:spacing w:line="480" w:lineRule="auto"/>
        <w:jc w:val="both"/>
        <w:rPr>
          <w:lang w:val="en-GB"/>
        </w:rPr>
      </w:pPr>
      <w:r>
        <w:rPr>
          <w:lang w:val="en-GB"/>
        </w:rPr>
        <w:t>Our study has several inherent weaknesses. First of all</w:t>
      </w:r>
      <w:r w:rsidR="004E6714">
        <w:rPr>
          <w:lang w:val="en-GB"/>
        </w:rPr>
        <w:t>,</w:t>
      </w:r>
      <w:r>
        <w:rPr>
          <w:lang w:val="en-GB"/>
        </w:rPr>
        <w:t xml:space="preserve"> it is a retrospective study, which entails an </w:t>
      </w:r>
      <w:r w:rsidRPr="00144069">
        <w:rPr>
          <w:lang w:val="en-GB"/>
        </w:rPr>
        <w:t>inferior level of evidence compared with prospective studies.</w:t>
      </w:r>
      <w:r>
        <w:rPr>
          <w:lang w:val="en-GB"/>
        </w:rPr>
        <w:t xml:space="preserve"> However, contrary to clinical trials, this </w:t>
      </w:r>
      <w:r w:rsidRPr="0076359A">
        <w:rPr>
          <w:lang w:val="en-GB"/>
        </w:rPr>
        <w:t>methodological choice</w:t>
      </w:r>
      <w:r>
        <w:rPr>
          <w:lang w:val="en-GB"/>
        </w:rPr>
        <w:t xml:space="preserve"> has the advantage of </w:t>
      </w:r>
      <w:r w:rsidRPr="000251AF">
        <w:rPr>
          <w:lang w:val="en-GB"/>
        </w:rPr>
        <w:t>illustrating what actually happens</w:t>
      </w:r>
      <w:r>
        <w:rPr>
          <w:lang w:val="en-GB"/>
        </w:rPr>
        <w:t xml:space="preserve"> in everyday clinical practice. There was no control population available, which is why we worked with rates and compared them before and after preventive measures were established. For this, we used all available data stated in the patient’s medical file</w:t>
      </w:r>
      <w:r w:rsidR="004416A2">
        <w:rPr>
          <w:lang w:val="en-GB"/>
        </w:rPr>
        <w:t xml:space="preserve"> and complemented this by data collected during anamnesis</w:t>
      </w:r>
      <w:r>
        <w:rPr>
          <w:lang w:val="en-GB"/>
        </w:rPr>
        <w:t xml:space="preserve">. </w:t>
      </w:r>
    </w:p>
    <w:p w14:paraId="7C6B0EF5" w14:textId="7846085B" w:rsidR="008466AE" w:rsidRDefault="009C044A" w:rsidP="005769F3">
      <w:pPr>
        <w:spacing w:line="480" w:lineRule="auto"/>
        <w:jc w:val="both"/>
        <w:rPr>
          <w:lang w:val="en-GB"/>
        </w:rPr>
      </w:pPr>
      <w:r w:rsidRPr="009C044A">
        <w:rPr>
          <w:lang w:val="en-GB"/>
        </w:rPr>
        <w:t>In order to avoid overestimating the pre-treatment stone formatio</w:t>
      </w:r>
      <w:r w:rsidR="008466AE">
        <w:rPr>
          <w:lang w:val="en-GB"/>
        </w:rPr>
        <w:t xml:space="preserve">n </w:t>
      </w:r>
      <w:r w:rsidRPr="009C044A">
        <w:rPr>
          <w:lang w:val="en-GB"/>
        </w:rPr>
        <w:t>ratio,</w:t>
      </w:r>
      <w:r w:rsidR="00D07A0A">
        <w:rPr>
          <w:lang w:val="en-GB"/>
        </w:rPr>
        <w:t xml:space="preserve"> three different </w:t>
      </w:r>
      <w:r w:rsidR="00EC3219">
        <w:rPr>
          <w:lang w:val="en-GB"/>
        </w:rPr>
        <w:t xml:space="preserve">types of analysis </w:t>
      </w:r>
      <w:r w:rsidR="00D07A0A">
        <w:rPr>
          <w:lang w:val="en-GB"/>
        </w:rPr>
        <w:t>were used to assess the kidney stone formation rate.</w:t>
      </w:r>
      <w:r w:rsidR="008466AE">
        <w:rPr>
          <w:lang w:val="en-GB"/>
        </w:rPr>
        <w:t xml:space="preserve"> </w:t>
      </w:r>
      <w:r w:rsidR="008466AE" w:rsidRPr="008466AE">
        <w:rPr>
          <w:lang w:val="en-GB"/>
        </w:rPr>
        <w:t xml:space="preserve">However, it remains impossible to know the exact time interval during which the stones visible on medical imaging </w:t>
      </w:r>
      <w:r w:rsidR="008466AE">
        <w:rPr>
          <w:lang w:val="en-GB"/>
        </w:rPr>
        <w:t xml:space="preserve">were </w:t>
      </w:r>
      <w:r w:rsidR="008466AE" w:rsidRPr="008466AE">
        <w:rPr>
          <w:lang w:val="en-GB"/>
        </w:rPr>
        <w:t>formed pre-treatment.</w:t>
      </w:r>
    </w:p>
    <w:p w14:paraId="5392BD98" w14:textId="3DECC9F5" w:rsidR="003D23B6" w:rsidRPr="00A25937" w:rsidRDefault="009C044A" w:rsidP="005769F3">
      <w:pPr>
        <w:spacing w:line="480" w:lineRule="auto"/>
        <w:jc w:val="both"/>
        <w:rPr>
          <w:lang w:val="en-GB"/>
        </w:rPr>
      </w:pPr>
      <w:r>
        <w:rPr>
          <w:lang w:val="en-GB"/>
        </w:rPr>
        <w:t>Thus</w:t>
      </w:r>
      <w:r w:rsidR="003D3075">
        <w:rPr>
          <w:lang w:val="en-GB"/>
        </w:rPr>
        <w:t>,</w:t>
      </w:r>
      <w:r>
        <w:rPr>
          <w:lang w:val="en-GB"/>
        </w:rPr>
        <w:t xml:space="preserve"> </w:t>
      </w:r>
      <w:r w:rsidRPr="00765B73">
        <w:rPr>
          <w:lang w:val="en-GB"/>
        </w:rPr>
        <w:t>we must take into account a possible margin of error</w:t>
      </w:r>
      <w:r>
        <w:rPr>
          <w:lang w:val="en-GB"/>
        </w:rPr>
        <w:t xml:space="preserve"> for the pre-treatment stone formation rate calculated, likely overestimating the pre-treatment stone formation rate. </w:t>
      </w:r>
      <w:r w:rsidR="00AA6FE7">
        <w:rPr>
          <w:lang w:val="en-GB"/>
        </w:rPr>
        <w:t>On the other hand, the pre-treatment stone formation rate is based on patient’s history being verified only once, resulting in a possible underestimation due to recall bias.</w:t>
      </w:r>
      <w:r w:rsidR="00F0468B">
        <w:rPr>
          <w:lang w:val="en-GB"/>
        </w:rPr>
        <w:t xml:space="preserve"> Whereas </w:t>
      </w:r>
      <w:r w:rsidR="003D23B6" w:rsidRPr="00A25937">
        <w:rPr>
          <w:lang w:val="en-GB"/>
        </w:rPr>
        <w:t>the post-treatment stone formation rate</w:t>
      </w:r>
      <w:r w:rsidR="003D23B6">
        <w:rPr>
          <w:lang w:val="en-GB"/>
        </w:rPr>
        <w:t xml:space="preserve"> will logically</w:t>
      </w:r>
      <w:r w:rsidR="003D23B6" w:rsidRPr="00A25937">
        <w:rPr>
          <w:lang w:val="en-GB"/>
        </w:rPr>
        <w:t xml:space="preserve">, given frequent follow-up with a thorough anamnesis and the use of medical imaging, give a much more correct value of the number of stones formed. </w:t>
      </w:r>
    </w:p>
    <w:p w14:paraId="4AF16E7C" w14:textId="15659F82" w:rsidR="00B44220" w:rsidRDefault="00B44220" w:rsidP="005769F3">
      <w:pPr>
        <w:spacing w:line="480" w:lineRule="auto"/>
        <w:jc w:val="both"/>
        <w:rPr>
          <w:lang w:val="en-GB"/>
        </w:rPr>
      </w:pPr>
      <w:r>
        <w:rPr>
          <w:lang w:val="en-GB"/>
        </w:rPr>
        <w:t>T</w:t>
      </w:r>
      <w:r w:rsidR="00DC173A">
        <w:rPr>
          <w:lang w:val="en-GB"/>
        </w:rPr>
        <w:t xml:space="preserve">he greatest obstacle for stone prevention </w:t>
      </w:r>
      <w:r w:rsidR="00DC173A" w:rsidRPr="005D4BD8">
        <w:rPr>
          <w:lang w:val="en-GB"/>
        </w:rPr>
        <w:t xml:space="preserve">programmes is </w:t>
      </w:r>
      <w:r w:rsidR="00810852">
        <w:rPr>
          <w:lang w:val="en-GB"/>
        </w:rPr>
        <w:t>the high frequency of drop-outs</w:t>
      </w:r>
      <w:r>
        <w:rPr>
          <w:lang w:val="en-GB"/>
        </w:rPr>
        <w:t xml:space="preserve">/loss to follow-up. </w:t>
      </w:r>
      <w:r w:rsidR="000E255D" w:rsidRPr="000E255D">
        <w:rPr>
          <w:lang w:val="en-GB"/>
        </w:rPr>
        <w:t xml:space="preserve">Thus, Parks and Coe (48) </w:t>
      </w:r>
      <w:r w:rsidR="000E255D">
        <w:rPr>
          <w:lang w:val="en-GB"/>
        </w:rPr>
        <w:t xml:space="preserve">noted </w:t>
      </w:r>
      <w:r w:rsidR="000E255D" w:rsidRPr="000E255D">
        <w:rPr>
          <w:lang w:val="en-GB"/>
        </w:rPr>
        <w:t xml:space="preserve">a </w:t>
      </w:r>
      <w:r w:rsidR="000E255D">
        <w:rPr>
          <w:lang w:val="en-GB"/>
        </w:rPr>
        <w:t>yearly loss to follow-up rate of 20</w:t>
      </w:r>
      <w:r w:rsidR="00FC6DBB">
        <w:rPr>
          <w:lang w:val="en-GB"/>
        </w:rPr>
        <w:t>.0</w:t>
      </w:r>
      <w:r w:rsidR="000E255D">
        <w:rPr>
          <w:lang w:val="en-GB"/>
        </w:rPr>
        <w:t>-38</w:t>
      </w:r>
      <w:r w:rsidR="00FC6DBB">
        <w:rPr>
          <w:lang w:val="en-GB"/>
        </w:rPr>
        <w:t>.0</w:t>
      </w:r>
      <w:r w:rsidR="000E255D">
        <w:rPr>
          <w:lang w:val="en-GB"/>
        </w:rPr>
        <w:t xml:space="preserve">% was noted.  </w:t>
      </w:r>
      <w:r>
        <w:rPr>
          <w:lang w:val="en-GB"/>
        </w:rPr>
        <w:t xml:space="preserve">In our study, </w:t>
      </w:r>
      <w:r w:rsidR="003D23B6" w:rsidRPr="00155BF1">
        <w:rPr>
          <w:lang w:val="en-GB"/>
        </w:rPr>
        <w:t xml:space="preserve">only 42.5% of the baseline population </w:t>
      </w:r>
      <w:r>
        <w:rPr>
          <w:lang w:val="en-GB"/>
        </w:rPr>
        <w:t xml:space="preserve">had a minimum </w:t>
      </w:r>
      <w:r w:rsidR="00FC6DBB">
        <w:rPr>
          <w:lang w:val="en-GB"/>
        </w:rPr>
        <w:t>six</w:t>
      </w:r>
      <w:r>
        <w:rPr>
          <w:lang w:val="en-GB"/>
        </w:rPr>
        <w:t xml:space="preserve"> months clinical and biochemical follow-up, suggesting a large proportion of drop-outs.</w:t>
      </w:r>
      <w:r w:rsidR="003D23B6" w:rsidRPr="005D3CC5">
        <w:rPr>
          <w:lang w:val="en-GB"/>
        </w:rPr>
        <w:t xml:space="preserve"> </w:t>
      </w:r>
      <w:r w:rsidR="000E255D">
        <w:rPr>
          <w:lang w:val="en-GB"/>
        </w:rPr>
        <w:t>A</w:t>
      </w:r>
      <w:r w:rsidRPr="00471BBE">
        <w:rPr>
          <w:lang w:val="en-GB"/>
        </w:rPr>
        <w:t xml:space="preserve">nother interesting </w:t>
      </w:r>
      <w:r>
        <w:rPr>
          <w:lang w:val="en-GB"/>
        </w:rPr>
        <w:t>research topic</w:t>
      </w:r>
      <w:r w:rsidRPr="00471BBE">
        <w:rPr>
          <w:lang w:val="en-GB"/>
        </w:rPr>
        <w:t xml:space="preserve"> </w:t>
      </w:r>
      <w:r>
        <w:rPr>
          <w:lang w:val="en-GB"/>
        </w:rPr>
        <w:t xml:space="preserve">in the future </w:t>
      </w:r>
      <w:r w:rsidRPr="00471BBE">
        <w:rPr>
          <w:lang w:val="en-GB"/>
        </w:rPr>
        <w:t xml:space="preserve">would be </w:t>
      </w:r>
      <w:r>
        <w:rPr>
          <w:lang w:val="en-GB"/>
        </w:rPr>
        <w:t xml:space="preserve">to determine </w:t>
      </w:r>
      <w:r w:rsidRPr="00471BBE">
        <w:rPr>
          <w:lang w:val="en-GB"/>
        </w:rPr>
        <w:t>which patient profile</w:t>
      </w:r>
      <w:r>
        <w:rPr>
          <w:lang w:val="en-GB"/>
        </w:rPr>
        <w:t>s</w:t>
      </w:r>
      <w:r w:rsidRPr="00471BBE">
        <w:rPr>
          <w:lang w:val="en-GB"/>
        </w:rPr>
        <w:t xml:space="preserve"> </w:t>
      </w:r>
      <w:r>
        <w:rPr>
          <w:lang w:val="en-GB"/>
        </w:rPr>
        <w:t>are</w:t>
      </w:r>
      <w:r w:rsidRPr="00471BBE">
        <w:rPr>
          <w:lang w:val="en-GB"/>
        </w:rPr>
        <w:t xml:space="preserve"> more susceptible to a loss of follow-up</w:t>
      </w:r>
      <w:r>
        <w:rPr>
          <w:lang w:val="en-GB"/>
        </w:rPr>
        <w:t>, as well as to investigate</w:t>
      </w:r>
      <w:r w:rsidR="00D47D39">
        <w:rPr>
          <w:lang w:val="en-GB"/>
        </w:rPr>
        <w:t xml:space="preserve"> </w:t>
      </w:r>
      <w:r>
        <w:rPr>
          <w:lang w:val="en-GB"/>
        </w:rPr>
        <w:t xml:space="preserve">which interventions could be useful to lower the patient drop-out rates and when they are best applied. </w:t>
      </w:r>
    </w:p>
    <w:p w14:paraId="06073EA8" w14:textId="0889DDD1" w:rsidR="003D23B6" w:rsidRPr="006A64B3" w:rsidRDefault="00B44220" w:rsidP="005769F3">
      <w:pPr>
        <w:spacing w:line="480" w:lineRule="auto"/>
        <w:jc w:val="both"/>
        <w:rPr>
          <w:lang w:val="en-GB"/>
        </w:rPr>
      </w:pPr>
      <w:r>
        <w:rPr>
          <w:lang w:val="en-GB"/>
        </w:rPr>
        <w:lastRenderedPageBreak/>
        <w:t>Additionally, g</w:t>
      </w:r>
      <w:r w:rsidR="003D23B6" w:rsidRPr="006A64B3">
        <w:rPr>
          <w:lang w:val="en-GB"/>
        </w:rPr>
        <w:t>iven that crystal formation precedes stone for</w:t>
      </w:r>
      <w:r w:rsidR="003D23B6">
        <w:rPr>
          <w:lang w:val="en-GB"/>
        </w:rPr>
        <w:t>mation, it would be valuable to examine the effect of preventive measures on the crystalluria</w:t>
      </w:r>
      <w:r w:rsidR="007F0BD1">
        <w:rPr>
          <w:lang w:val="en-GB"/>
        </w:rPr>
        <w:t>, which is a</w:t>
      </w:r>
      <w:r w:rsidR="003D23B6" w:rsidRPr="00F64395">
        <w:rPr>
          <w:lang w:val="en-GB"/>
        </w:rPr>
        <w:t xml:space="preserve"> parameter already included in the database</w:t>
      </w:r>
      <w:r w:rsidR="003D23B6">
        <w:rPr>
          <w:lang w:val="en-GB"/>
        </w:rPr>
        <w:t xml:space="preserve">, but </w:t>
      </w:r>
      <w:r w:rsidR="003D23B6" w:rsidRPr="00F64395">
        <w:rPr>
          <w:lang w:val="en-GB"/>
        </w:rPr>
        <w:t>beyond the scope of this study to</w:t>
      </w:r>
      <w:r w:rsidR="003D23B6">
        <w:rPr>
          <w:lang w:val="en-GB"/>
        </w:rPr>
        <w:t xml:space="preserve"> evaluate. </w:t>
      </w:r>
    </w:p>
    <w:p w14:paraId="6F72A58F" w14:textId="1476CAD4" w:rsidR="003D23B6" w:rsidRDefault="003D23B6" w:rsidP="005769F3">
      <w:pPr>
        <w:spacing w:line="480" w:lineRule="auto"/>
        <w:jc w:val="both"/>
        <w:rPr>
          <w:lang w:val="en-GB"/>
        </w:rPr>
      </w:pPr>
      <w:r w:rsidRPr="00892342">
        <w:rPr>
          <w:lang w:val="en-GB"/>
        </w:rPr>
        <w:t>In order to further optimise the quality of care, research should also be carried out into software that displays clinical results, data from medical imaging, and findings from urine and blood analyses longitudinally and clearly. This could be a useful tool to show patients the effect of their efforts, which could also have a positive effect on continuity of care.</w:t>
      </w:r>
      <w:r w:rsidR="00DC173A">
        <w:rPr>
          <w:lang w:val="en-GB"/>
        </w:rPr>
        <w:t xml:space="preserve"> </w:t>
      </w:r>
    </w:p>
    <w:p w14:paraId="0F8379AE" w14:textId="0481CC93" w:rsidR="00E71589" w:rsidRDefault="009F451A" w:rsidP="005769F3">
      <w:pPr>
        <w:spacing w:line="480" w:lineRule="auto"/>
        <w:jc w:val="both"/>
        <w:rPr>
          <w:lang w:val="en-GB"/>
        </w:rPr>
      </w:pPr>
      <w:r>
        <w:rPr>
          <w:lang w:val="en-GB"/>
        </w:rPr>
        <w:t>T</w:t>
      </w:r>
      <w:r w:rsidR="00E71589">
        <w:rPr>
          <w:lang w:val="en-GB"/>
        </w:rPr>
        <w:t xml:space="preserve">hese results could be used to convince patients, in UZ Brussel as well as in other hospitals, that the </w:t>
      </w:r>
      <w:r w:rsidR="00E71589" w:rsidRPr="00691F19">
        <w:rPr>
          <w:lang w:val="en-GB"/>
        </w:rPr>
        <w:t>investment of time</w:t>
      </w:r>
      <w:r w:rsidR="00E71589">
        <w:rPr>
          <w:lang w:val="en-GB"/>
        </w:rPr>
        <w:t xml:space="preserve"> </w:t>
      </w:r>
      <w:r w:rsidR="00E71589" w:rsidRPr="00691F19">
        <w:rPr>
          <w:lang w:val="en-GB"/>
        </w:rPr>
        <w:t>and money</w:t>
      </w:r>
      <w:r w:rsidR="00E71589">
        <w:rPr>
          <w:lang w:val="en-GB"/>
        </w:rPr>
        <w:t xml:space="preserve"> in preventive programs is well worthwhile. </w:t>
      </w:r>
      <w:r w:rsidR="00E71589" w:rsidRPr="0030510A">
        <w:rPr>
          <w:lang w:val="en-GB"/>
        </w:rPr>
        <w:t>On the other hand, other services such as the emergency department, general practitioners and colleagues from the urology department could be informed about the usefulness of kidney stone prevention in daily practice. This would allow more patients to be referred to the kidney stone prevention clinic for further help</w:t>
      </w:r>
      <w:r w:rsidR="000E255D">
        <w:rPr>
          <w:lang w:val="en-GB"/>
        </w:rPr>
        <w:t xml:space="preserve"> and shortening the time-interval between the diagnosis and first consultation.</w:t>
      </w:r>
    </w:p>
    <w:p w14:paraId="1C4642E8" w14:textId="477365DA" w:rsidR="003D23B6" w:rsidRDefault="00DC173A" w:rsidP="005769F3">
      <w:pPr>
        <w:spacing w:line="480" w:lineRule="auto"/>
        <w:jc w:val="both"/>
        <w:rPr>
          <w:lang w:val="en-GB"/>
        </w:rPr>
      </w:pPr>
      <w:r w:rsidRPr="00DC173A">
        <w:rPr>
          <w:lang w:val="en-GB"/>
        </w:rPr>
        <w:t>There is also room for improvement in the organisation of kidney stone care</w:t>
      </w:r>
      <w:r>
        <w:rPr>
          <w:lang w:val="en-GB"/>
        </w:rPr>
        <w:t xml:space="preserve"> and prevention</w:t>
      </w:r>
      <w:r w:rsidRPr="00DC173A">
        <w:rPr>
          <w:lang w:val="en-GB"/>
        </w:rPr>
        <w:t xml:space="preserve">. </w:t>
      </w:r>
      <w:r w:rsidR="00F21972" w:rsidRPr="00DC173A">
        <w:rPr>
          <w:lang w:val="en-GB"/>
        </w:rPr>
        <w:t>Within hospitals</w:t>
      </w:r>
      <w:r w:rsidRPr="00DC173A">
        <w:rPr>
          <w:lang w:val="en-GB"/>
        </w:rPr>
        <w:t>, better cooperation between different services such as the urolog</w:t>
      </w:r>
      <w:r>
        <w:rPr>
          <w:lang w:val="en-GB"/>
        </w:rPr>
        <w:t xml:space="preserve">y </w:t>
      </w:r>
      <w:r w:rsidRPr="00DC173A">
        <w:rPr>
          <w:lang w:val="en-GB"/>
        </w:rPr>
        <w:t>department, the emergency department and nephrology should be promoted.</w:t>
      </w:r>
      <w:r>
        <w:rPr>
          <w:lang w:val="en-GB"/>
        </w:rPr>
        <w:t xml:space="preserve"> C</w:t>
      </w:r>
      <w:r w:rsidRPr="00DC173A">
        <w:rPr>
          <w:lang w:val="en-GB"/>
        </w:rPr>
        <w:t xml:space="preserve">ollaborations between different hospitals can also be beneficial </w:t>
      </w:r>
      <w:r>
        <w:rPr>
          <w:lang w:val="en-GB"/>
        </w:rPr>
        <w:t xml:space="preserve">for nephrolithiasis prevention. </w:t>
      </w:r>
      <w:r w:rsidR="003D23B6" w:rsidRPr="005D4BD8">
        <w:rPr>
          <w:lang w:val="en-GB"/>
        </w:rPr>
        <w:t xml:space="preserve">A study by </w:t>
      </w:r>
      <w:proofErr w:type="spellStart"/>
      <w:r w:rsidR="003D23B6" w:rsidRPr="005D4BD8">
        <w:rPr>
          <w:lang w:val="en-GB"/>
        </w:rPr>
        <w:t>Lingeman</w:t>
      </w:r>
      <w:proofErr w:type="spellEnd"/>
      <w:r w:rsidR="003D23B6" w:rsidRPr="005D4BD8">
        <w:rPr>
          <w:lang w:val="en-GB"/>
        </w:rPr>
        <w:t xml:space="preserve"> et al</w:t>
      </w:r>
      <w:r w:rsidR="003D23B6">
        <w:rPr>
          <w:lang w:val="en-GB"/>
        </w:rPr>
        <w:t>.</w:t>
      </w:r>
      <w:r w:rsidR="003D23B6" w:rsidRPr="005D4BD8">
        <w:rPr>
          <w:lang w:val="en-GB"/>
        </w:rPr>
        <w:t xml:space="preserve"> </w:t>
      </w:r>
      <w:r w:rsidR="003D23B6">
        <w:rPr>
          <w:lang w:val="en-GB"/>
        </w:rPr>
        <w:t>(6</w:t>
      </w:r>
      <w:r w:rsidR="004C183B">
        <w:rPr>
          <w:lang w:val="en-GB"/>
        </w:rPr>
        <w:t>3</w:t>
      </w:r>
      <w:r w:rsidR="003D23B6">
        <w:rPr>
          <w:lang w:val="en-GB"/>
        </w:rPr>
        <w:t>) demonstrated t</w:t>
      </w:r>
      <w:r w:rsidR="003D23B6" w:rsidRPr="005D4BD8">
        <w:rPr>
          <w:lang w:val="en-GB"/>
        </w:rPr>
        <w:t xml:space="preserve">hat when the Chicago research centre of Parks and </w:t>
      </w:r>
      <w:r w:rsidR="003D23B6">
        <w:rPr>
          <w:lang w:val="en-GB"/>
        </w:rPr>
        <w:t>C</w:t>
      </w:r>
      <w:r w:rsidR="003D23B6" w:rsidRPr="005D4BD8">
        <w:rPr>
          <w:lang w:val="en-GB"/>
        </w:rPr>
        <w:t>oe networked with other treatment centres, similar results could be obtained in these centres as well.</w:t>
      </w:r>
      <w:r w:rsidR="003D23B6">
        <w:rPr>
          <w:lang w:val="en-GB"/>
        </w:rPr>
        <w:t xml:space="preserve"> </w:t>
      </w:r>
      <w:r w:rsidR="003D23B6" w:rsidRPr="00366FF5">
        <w:rPr>
          <w:lang w:val="en-GB"/>
        </w:rPr>
        <w:t>This shows that combining forces and expertise could lead to reaching more patients, thus increasing the impact and scale of kidney stone prevention</w:t>
      </w:r>
      <w:r w:rsidR="003D23B6">
        <w:rPr>
          <w:lang w:val="en-GB"/>
        </w:rPr>
        <w:t xml:space="preserve"> programmes</w:t>
      </w:r>
      <w:r w:rsidR="003D23B6" w:rsidRPr="00366FF5">
        <w:rPr>
          <w:lang w:val="en-GB"/>
        </w:rPr>
        <w:t xml:space="preserve"> in Belgium.</w:t>
      </w:r>
    </w:p>
    <w:bookmarkEnd w:id="116"/>
    <w:p w14:paraId="2AB6EA14" w14:textId="77777777" w:rsidR="00540A95" w:rsidRDefault="00540A95" w:rsidP="00540A95">
      <w:pPr>
        <w:pStyle w:val="Kop1"/>
        <w:spacing w:line="480" w:lineRule="auto"/>
        <w:rPr>
          <w:lang w:val="en-GB"/>
        </w:rPr>
      </w:pPr>
    </w:p>
    <w:p w14:paraId="71AB0C09" w14:textId="6566BDC3" w:rsidR="00540A95" w:rsidRDefault="00540A95" w:rsidP="00540A95">
      <w:pPr>
        <w:rPr>
          <w:lang w:val="en-GB"/>
        </w:rPr>
      </w:pPr>
    </w:p>
    <w:p w14:paraId="318ACE7D" w14:textId="3520536C" w:rsidR="00540A95" w:rsidRDefault="00540A95" w:rsidP="00540A95">
      <w:pPr>
        <w:rPr>
          <w:lang w:val="en-GB"/>
        </w:rPr>
      </w:pPr>
    </w:p>
    <w:p w14:paraId="342D310C" w14:textId="44BF78E5" w:rsidR="00540A95" w:rsidRPr="00540A95" w:rsidRDefault="00540A95" w:rsidP="00540A95">
      <w:pPr>
        <w:rPr>
          <w:lang w:val="en-GB"/>
        </w:rPr>
      </w:pPr>
    </w:p>
    <w:p w14:paraId="28DC3076" w14:textId="73880190" w:rsidR="008164B1" w:rsidRDefault="008164B1" w:rsidP="00540A95">
      <w:pPr>
        <w:pStyle w:val="Kop1"/>
        <w:spacing w:line="480" w:lineRule="auto"/>
        <w:rPr>
          <w:lang w:val="en-GB"/>
        </w:rPr>
      </w:pPr>
      <w:bookmarkStart w:id="117" w:name="_Toc70238573"/>
      <w:r>
        <w:rPr>
          <w:lang w:val="en-GB"/>
        </w:rPr>
        <w:lastRenderedPageBreak/>
        <w:t>CONCLUSION</w:t>
      </w:r>
      <w:bookmarkEnd w:id="117"/>
    </w:p>
    <w:p w14:paraId="02D1D305" w14:textId="1E3B02FC" w:rsidR="0007683B" w:rsidRDefault="0007683B" w:rsidP="005769F3">
      <w:pPr>
        <w:spacing w:line="480" w:lineRule="auto"/>
        <w:jc w:val="both"/>
        <w:rPr>
          <w:lang w:val="en-GB"/>
        </w:rPr>
      </w:pPr>
      <w:bookmarkStart w:id="118" w:name="_Hlk66697288"/>
      <w:r w:rsidRPr="002D25AB">
        <w:rPr>
          <w:lang w:val="en-GB"/>
        </w:rPr>
        <w:t xml:space="preserve">By analysing the data from the patient database of the kidney stone prevention clinic, this thesis </w:t>
      </w:r>
      <w:r w:rsidR="00647720">
        <w:rPr>
          <w:lang w:val="en-GB"/>
        </w:rPr>
        <w:t>demonstrates</w:t>
      </w:r>
      <w:r w:rsidR="00647720" w:rsidRPr="002D25AB">
        <w:rPr>
          <w:lang w:val="en-GB"/>
        </w:rPr>
        <w:t xml:space="preserve"> </w:t>
      </w:r>
      <w:r w:rsidRPr="002D25AB">
        <w:rPr>
          <w:lang w:val="en-GB"/>
        </w:rPr>
        <w:t xml:space="preserve">that combined preventive measures have a </w:t>
      </w:r>
      <w:r w:rsidR="00CF7CC5">
        <w:rPr>
          <w:lang w:val="en-GB"/>
        </w:rPr>
        <w:t>significant</w:t>
      </w:r>
      <w:r w:rsidRPr="002D25AB">
        <w:rPr>
          <w:lang w:val="en-GB"/>
        </w:rPr>
        <w:t xml:space="preserve"> effect on </w:t>
      </w:r>
      <w:r>
        <w:rPr>
          <w:lang w:val="en-GB"/>
        </w:rPr>
        <w:t xml:space="preserve">reducing the </w:t>
      </w:r>
      <w:r w:rsidRPr="002D25AB">
        <w:rPr>
          <w:lang w:val="en-GB"/>
        </w:rPr>
        <w:t>urinary risk factors</w:t>
      </w:r>
      <w:r>
        <w:rPr>
          <w:lang w:val="en-GB"/>
        </w:rPr>
        <w:t xml:space="preserve"> in patients with nephrolithiasis and nephrocalcinosis</w:t>
      </w:r>
      <w:r w:rsidR="00CF7CC5">
        <w:rPr>
          <w:lang w:val="en-GB"/>
        </w:rPr>
        <w:t>, especially when tailored to the patient’s initial metabolic evaluation</w:t>
      </w:r>
      <w:r>
        <w:rPr>
          <w:lang w:val="en-GB"/>
        </w:rPr>
        <w:t xml:space="preserve">. </w:t>
      </w:r>
    </w:p>
    <w:p w14:paraId="46990A08" w14:textId="341F72DD" w:rsidR="0007683B" w:rsidRDefault="0007683B" w:rsidP="005769F3">
      <w:pPr>
        <w:spacing w:line="480" w:lineRule="auto"/>
        <w:jc w:val="both"/>
        <w:rPr>
          <w:lang w:val="en-GB"/>
        </w:rPr>
      </w:pPr>
      <w:r>
        <w:rPr>
          <w:lang w:val="en-GB"/>
        </w:rPr>
        <w:t xml:space="preserve">This research also aimed to identify the effect of kidney stone prevention on </w:t>
      </w:r>
      <w:r w:rsidR="00CF7CC5">
        <w:rPr>
          <w:lang w:val="en-GB"/>
        </w:rPr>
        <w:t xml:space="preserve">clinically significant outcomes for the patient, including </w:t>
      </w:r>
      <w:r w:rsidRPr="002D25AB">
        <w:rPr>
          <w:lang w:val="en-GB"/>
        </w:rPr>
        <w:t>symptomatic renal colic rate, urological intervention rate and stone formation rate.</w:t>
      </w:r>
      <w:r>
        <w:rPr>
          <w:lang w:val="en-GB"/>
        </w:rPr>
        <w:t xml:space="preserve"> </w:t>
      </w:r>
      <w:r w:rsidRPr="00A52FB3">
        <w:rPr>
          <w:lang w:val="en-GB"/>
        </w:rPr>
        <w:t>The results indicate</w:t>
      </w:r>
      <w:r>
        <w:rPr>
          <w:lang w:val="en-GB"/>
        </w:rPr>
        <w:t xml:space="preserve"> that </w:t>
      </w:r>
      <w:r w:rsidR="00CF7CC5">
        <w:rPr>
          <w:lang w:val="en-GB"/>
        </w:rPr>
        <w:t>symptomatic renal colic rates</w:t>
      </w:r>
      <w:r w:rsidR="000C3B37">
        <w:rPr>
          <w:lang w:val="en-GB"/>
        </w:rPr>
        <w:t xml:space="preserve"> and </w:t>
      </w:r>
      <w:r w:rsidR="00CF7CC5">
        <w:rPr>
          <w:lang w:val="en-GB"/>
        </w:rPr>
        <w:t>urological intervention rates</w:t>
      </w:r>
      <w:r>
        <w:rPr>
          <w:lang w:val="en-GB"/>
        </w:rPr>
        <w:t xml:space="preserve"> can</w:t>
      </w:r>
      <w:r w:rsidR="00CF7CC5">
        <w:rPr>
          <w:lang w:val="en-GB"/>
        </w:rPr>
        <w:t xml:space="preserve"> significantly </w:t>
      </w:r>
      <w:r>
        <w:rPr>
          <w:lang w:val="en-GB"/>
        </w:rPr>
        <w:t>be reduced in patients with nephrolithiasis</w:t>
      </w:r>
      <w:r w:rsidR="00CF7CC5">
        <w:rPr>
          <w:lang w:val="en-GB"/>
        </w:rPr>
        <w:t xml:space="preserve"> after implementing combined preventive measures</w:t>
      </w:r>
      <w:r>
        <w:rPr>
          <w:lang w:val="en-GB"/>
        </w:rPr>
        <w:t xml:space="preserve">. </w:t>
      </w:r>
      <w:r w:rsidR="000C3B37">
        <w:rPr>
          <w:lang w:val="en-GB"/>
        </w:rPr>
        <w:t xml:space="preserve">Additionally, </w:t>
      </w:r>
      <w:r w:rsidR="000C3B37" w:rsidRPr="000C3B37">
        <w:rPr>
          <w:lang w:val="en-GB"/>
        </w:rPr>
        <w:t xml:space="preserve">the same effect can be expected on the stone formation rate, but no unambiguous answer </w:t>
      </w:r>
      <w:r w:rsidR="000C3B37">
        <w:rPr>
          <w:lang w:val="en-GB"/>
        </w:rPr>
        <w:t xml:space="preserve">to this research question </w:t>
      </w:r>
      <w:r w:rsidR="000C3B37" w:rsidRPr="000C3B37">
        <w:rPr>
          <w:lang w:val="en-GB"/>
        </w:rPr>
        <w:t>could be given.</w:t>
      </w:r>
    </w:p>
    <w:p w14:paraId="7822BCFB" w14:textId="163C0024" w:rsidR="0007683B" w:rsidRDefault="0007683B" w:rsidP="005769F3">
      <w:pPr>
        <w:spacing w:line="480" w:lineRule="auto"/>
        <w:jc w:val="both"/>
        <w:rPr>
          <w:lang w:val="en-GB"/>
        </w:rPr>
      </w:pPr>
      <w:r w:rsidRPr="00A52FB3">
        <w:rPr>
          <w:lang w:val="en-GB"/>
        </w:rPr>
        <w:t xml:space="preserve">Based on these conclusions, practitioners should </w:t>
      </w:r>
      <w:r>
        <w:rPr>
          <w:lang w:val="en-GB"/>
        </w:rPr>
        <w:t>refer nephrolithiasis and nephrocalcinosis patients to a kidney stone prevention programme</w:t>
      </w:r>
      <w:r w:rsidR="00E71589">
        <w:rPr>
          <w:lang w:val="en-GB"/>
        </w:rPr>
        <w:t xml:space="preserve">, to </w:t>
      </w:r>
      <w:r>
        <w:rPr>
          <w:lang w:val="en-GB"/>
        </w:rPr>
        <w:t xml:space="preserve"> </w:t>
      </w:r>
      <w:r w:rsidRPr="004A73E8">
        <w:rPr>
          <w:lang w:val="en-GB"/>
        </w:rPr>
        <w:t>reduce both the recurrence rate and associated health care burden of nephrolithiasis.</w:t>
      </w:r>
      <w:r w:rsidR="00D4610D">
        <w:rPr>
          <w:lang w:val="en-GB"/>
        </w:rPr>
        <w:t xml:space="preserve"> </w:t>
      </w:r>
      <w:r w:rsidR="00D4610D" w:rsidRPr="00D4610D">
        <w:rPr>
          <w:lang w:val="en-GB"/>
        </w:rPr>
        <w:t xml:space="preserve">A reduction in healthcare costs </w:t>
      </w:r>
      <w:r w:rsidR="00D4610D">
        <w:rPr>
          <w:lang w:val="en-GB"/>
        </w:rPr>
        <w:t xml:space="preserve">related to nephrolithiasis </w:t>
      </w:r>
      <w:r w:rsidR="00D4610D" w:rsidRPr="00D4610D">
        <w:rPr>
          <w:lang w:val="en-GB"/>
        </w:rPr>
        <w:t xml:space="preserve">can </w:t>
      </w:r>
      <w:r w:rsidR="00D4610D">
        <w:rPr>
          <w:lang w:val="en-GB"/>
        </w:rPr>
        <w:t xml:space="preserve">also </w:t>
      </w:r>
      <w:r w:rsidR="00D4610D" w:rsidRPr="00D4610D">
        <w:rPr>
          <w:lang w:val="en-GB"/>
        </w:rPr>
        <w:t>be expected</w:t>
      </w:r>
      <w:r w:rsidR="00492A64">
        <w:rPr>
          <w:lang w:val="en-GB"/>
        </w:rPr>
        <w:t xml:space="preserve">, </w:t>
      </w:r>
      <w:r w:rsidR="00492A64" w:rsidRPr="00492A64">
        <w:rPr>
          <w:lang w:val="en-GB"/>
        </w:rPr>
        <w:t>for the benefit of</w:t>
      </w:r>
      <w:r w:rsidR="00647720">
        <w:rPr>
          <w:lang w:val="en-GB"/>
        </w:rPr>
        <w:t xml:space="preserve"> individual patients as well as</w:t>
      </w:r>
      <w:r w:rsidR="00492A64" w:rsidRPr="00492A64">
        <w:rPr>
          <w:lang w:val="en-GB"/>
        </w:rPr>
        <w:t xml:space="preserve"> society as a whole</w:t>
      </w:r>
      <w:r w:rsidR="00492A64">
        <w:rPr>
          <w:lang w:val="en-GB"/>
        </w:rPr>
        <w:t xml:space="preserve">. </w:t>
      </w:r>
    </w:p>
    <w:p w14:paraId="67B8E57D" w14:textId="5C50CC1B" w:rsidR="0007683B" w:rsidRDefault="0007683B" w:rsidP="005769F3">
      <w:pPr>
        <w:spacing w:line="480" w:lineRule="auto"/>
        <w:jc w:val="both"/>
        <w:rPr>
          <w:lang w:val="en-GB"/>
        </w:rPr>
      </w:pPr>
      <w:r w:rsidRPr="00A52FB3">
        <w:rPr>
          <w:lang w:val="en-GB"/>
        </w:rPr>
        <w:t>However, it also became clear that continuing to motivate patients to remain in follow-up is a major bottleneck.</w:t>
      </w:r>
      <w:r>
        <w:rPr>
          <w:lang w:val="en-GB"/>
        </w:rPr>
        <w:t xml:space="preserve"> Further research </w:t>
      </w:r>
      <w:r w:rsidR="00D4610D">
        <w:rPr>
          <w:lang w:val="en-GB"/>
        </w:rPr>
        <w:t xml:space="preserve">should </w:t>
      </w:r>
      <w:r w:rsidRPr="00A52FB3">
        <w:rPr>
          <w:lang w:val="en-GB"/>
        </w:rPr>
        <w:t xml:space="preserve">examine which patients are most susceptible </w:t>
      </w:r>
      <w:r>
        <w:rPr>
          <w:lang w:val="en-GB"/>
        </w:rPr>
        <w:t xml:space="preserve">to loss of follow-up </w:t>
      </w:r>
      <w:r w:rsidRPr="00A52FB3">
        <w:rPr>
          <w:lang w:val="en-GB"/>
        </w:rPr>
        <w:t xml:space="preserve">and how </w:t>
      </w:r>
      <w:r>
        <w:rPr>
          <w:lang w:val="en-GB"/>
        </w:rPr>
        <w:t xml:space="preserve">these </w:t>
      </w:r>
      <w:r w:rsidR="00CF7CC5">
        <w:rPr>
          <w:lang w:val="en-GB"/>
        </w:rPr>
        <w:t>loss to follow-up</w:t>
      </w:r>
      <w:r>
        <w:rPr>
          <w:lang w:val="en-GB"/>
        </w:rPr>
        <w:t xml:space="preserve"> rates</w:t>
      </w:r>
      <w:r w:rsidRPr="00A52FB3">
        <w:rPr>
          <w:lang w:val="en-GB"/>
        </w:rPr>
        <w:t xml:space="preserve"> could be improved</w:t>
      </w:r>
      <w:r>
        <w:rPr>
          <w:lang w:val="en-GB"/>
        </w:rPr>
        <w:t>. Other</w:t>
      </w:r>
      <w:r w:rsidRPr="004A73E8">
        <w:rPr>
          <w:lang w:val="en-GB"/>
        </w:rPr>
        <w:t xml:space="preserve"> topic</w:t>
      </w:r>
      <w:r>
        <w:rPr>
          <w:lang w:val="en-GB"/>
        </w:rPr>
        <w:t xml:space="preserve">s </w:t>
      </w:r>
      <w:r w:rsidRPr="004A73E8">
        <w:rPr>
          <w:lang w:val="en-GB"/>
        </w:rPr>
        <w:t xml:space="preserve">that </w:t>
      </w:r>
      <w:r w:rsidR="00CF7CC5">
        <w:rPr>
          <w:lang w:val="en-GB"/>
        </w:rPr>
        <w:t>should</w:t>
      </w:r>
      <w:r>
        <w:rPr>
          <w:lang w:val="en-GB"/>
        </w:rPr>
        <w:t xml:space="preserve"> </w:t>
      </w:r>
      <w:r w:rsidRPr="004A73E8">
        <w:rPr>
          <w:lang w:val="en-GB"/>
        </w:rPr>
        <w:t xml:space="preserve">be </w:t>
      </w:r>
      <w:r>
        <w:rPr>
          <w:lang w:val="en-GB"/>
        </w:rPr>
        <w:t>addressed</w:t>
      </w:r>
      <w:r w:rsidRPr="004A73E8">
        <w:rPr>
          <w:lang w:val="en-GB"/>
        </w:rPr>
        <w:t xml:space="preserve"> </w:t>
      </w:r>
      <w:r>
        <w:rPr>
          <w:lang w:val="en-GB"/>
        </w:rPr>
        <w:t>are</w:t>
      </w:r>
      <w:r w:rsidRPr="004A73E8">
        <w:rPr>
          <w:lang w:val="en-GB"/>
        </w:rPr>
        <w:t xml:space="preserve"> the effect of these combined preventive measures</w:t>
      </w:r>
      <w:r>
        <w:rPr>
          <w:lang w:val="en-GB"/>
        </w:rPr>
        <w:t xml:space="preserve"> in primary prevention and</w:t>
      </w:r>
      <w:r w:rsidRPr="004A73E8">
        <w:rPr>
          <w:lang w:val="en-GB"/>
        </w:rPr>
        <w:t xml:space="preserve"> on the diseases associated with </w:t>
      </w:r>
      <w:r>
        <w:rPr>
          <w:lang w:val="en-GB"/>
        </w:rPr>
        <w:t>nephrolithiasis</w:t>
      </w:r>
      <w:r w:rsidRPr="004A73E8">
        <w:rPr>
          <w:lang w:val="en-GB"/>
        </w:rPr>
        <w:t xml:space="preserve"> and nephrocalcinosis</w:t>
      </w:r>
      <w:r w:rsidR="003D25CE">
        <w:rPr>
          <w:lang w:val="en-GB"/>
        </w:rPr>
        <w:t xml:space="preserve"> such as ESRD and CKD</w:t>
      </w:r>
      <w:r w:rsidRPr="004A73E8">
        <w:rPr>
          <w:lang w:val="en-GB"/>
        </w:rPr>
        <w:t>.</w:t>
      </w:r>
      <w:r>
        <w:rPr>
          <w:lang w:val="en-GB"/>
        </w:rPr>
        <w:t xml:space="preserve"> </w:t>
      </w:r>
      <w:r w:rsidR="00492A64">
        <w:rPr>
          <w:lang w:val="en-GB"/>
        </w:rPr>
        <w:t xml:space="preserve">Furthermore, the </w:t>
      </w:r>
      <w:r w:rsidR="00492A64" w:rsidRPr="00492A64">
        <w:rPr>
          <w:lang w:val="en-GB"/>
        </w:rPr>
        <w:t xml:space="preserve">impact </w:t>
      </w:r>
      <w:r w:rsidR="00492A64">
        <w:rPr>
          <w:lang w:val="en-GB"/>
        </w:rPr>
        <w:t xml:space="preserve">of kidney stone prevention </w:t>
      </w:r>
      <w:r w:rsidR="00D13C0F">
        <w:rPr>
          <w:lang w:val="en-GB"/>
        </w:rPr>
        <w:t xml:space="preserve">on healthcare related costs </w:t>
      </w:r>
      <w:r w:rsidR="00492A64">
        <w:rPr>
          <w:lang w:val="en-GB"/>
        </w:rPr>
        <w:t>s</w:t>
      </w:r>
      <w:r w:rsidR="00492A64" w:rsidRPr="00492A64">
        <w:rPr>
          <w:lang w:val="en-GB"/>
        </w:rPr>
        <w:t xml:space="preserve">hould also be </w:t>
      </w:r>
      <w:r w:rsidR="00D13C0F">
        <w:rPr>
          <w:lang w:val="en-GB"/>
        </w:rPr>
        <w:t xml:space="preserve">unravelled and </w:t>
      </w:r>
      <w:r w:rsidR="00492A64" w:rsidRPr="00492A64">
        <w:rPr>
          <w:lang w:val="en-GB"/>
        </w:rPr>
        <w:t>quantified.</w:t>
      </w:r>
    </w:p>
    <w:p w14:paraId="22B301A6" w14:textId="77777777" w:rsidR="005769F3" w:rsidRDefault="005769F3" w:rsidP="005769F3">
      <w:pPr>
        <w:spacing w:line="480" w:lineRule="auto"/>
        <w:jc w:val="both"/>
        <w:rPr>
          <w:lang w:val="en-GB"/>
        </w:rPr>
      </w:pPr>
    </w:p>
    <w:p w14:paraId="54856DCA" w14:textId="7A4B96B3" w:rsidR="008164B1" w:rsidRPr="008164B1" w:rsidRDefault="008164B1" w:rsidP="00FD7352">
      <w:pPr>
        <w:pStyle w:val="Kop1"/>
        <w:spacing w:line="480" w:lineRule="auto"/>
        <w:rPr>
          <w:lang w:val="en-GB"/>
        </w:rPr>
      </w:pPr>
      <w:bookmarkStart w:id="119" w:name="_Toc70238574"/>
      <w:bookmarkEnd w:id="118"/>
      <w:r w:rsidRPr="008164B1">
        <w:rPr>
          <w:lang w:val="en-GB"/>
        </w:rPr>
        <w:lastRenderedPageBreak/>
        <w:t>ACKNOWLEDGEMENTS</w:t>
      </w:r>
      <w:bookmarkEnd w:id="119"/>
    </w:p>
    <w:p w14:paraId="40A9CD76" w14:textId="5B6AE2C4" w:rsidR="00D4610D" w:rsidRPr="00D4610D" w:rsidRDefault="00D4610D" w:rsidP="005769F3">
      <w:pPr>
        <w:spacing w:line="480" w:lineRule="auto"/>
        <w:jc w:val="both"/>
        <w:rPr>
          <w:lang w:val="en-GB"/>
        </w:rPr>
      </w:pPr>
      <w:r w:rsidRPr="00D4610D">
        <w:rPr>
          <w:lang w:val="en-GB"/>
        </w:rPr>
        <w:t xml:space="preserve">I wish to express my sincere appreciation to my </w:t>
      </w:r>
      <w:r>
        <w:rPr>
          <w:lang w:val="en-GB"/>
        </w:rPr>
        <w:t xml:space="preserve">promotor, </w:t>
      </w:r>
      <w:r w:rsidRPr="00D4610D">
        <w:rPr>
          <w:lang w:val="en-GB"/>
        </w:rPr>
        <w:t xml:space="preserve">Prof. </w:t>
      </w:r>
      <w:proofErr w:type="spellStart"/>
      <w:r w:rsidRPr="00D4610D">
        <w:rPr>
          <w:lang w:val="en-GB"/>
        </w:rPr>
        <w:t>Dr.</w:t>
      </w:r>
      <w:proofErr w:type="spellEnd"/>
      <w:r w:rsidRPr="00D4610D">
        <w:rPr>
          <w:lang w:val="en-GB"/>
        </w:rPr>
        <w:t xml:space="preserve"> </w:t>
      </w:r>
      <w:proofErr w:type="spellStart"/>
      <w:r w:rsidRPr="00D4610D">
        <w:rPr>
          <w:lang w:val="en-GB"/>
        </w:rPr>
        <w:t>Wissing</w:t>
      </w:r>
      <w:proofErr w:type="spellEnd"/>
      <w:r w:rsidRPr="00D4610D">
        <w:rPr>
          <w:lang w:val="en-GB"/>
        </w:rPr>
        <w:t>, for his valuable guidance</w:t>
      </w:r>
      <w:r w:rsidR="00C27A37">
        <w:rPr>
          <w:lang w:val="en-GB"/>
        </w:rPr>
        <w:t>, contributions to the statistical analysis</w:t>
      </w:r>
      <w:r w:rsidRPr="00D4610D">
        <w:rPr>
          <w:lang w:val="en-GB"/>
        </w:rPr>
        <w:t xml:space="preserve"> and the opportunity to complete my thesis in the nephrology department.  </w:t>
      </w:r>
    </w:p>
    <w:p w14:paraId="4D3C024E" w14:textId="1FE0A46B" w:rsidR="00D4610D" w:rsidRDefault="00D4610D" w:rsidP="005769F3">
      <w:pPr>
        <w:spacing w:line="480" w:lineRule="auto"/>
        <w:jc w:val="both"/>
        <w:rPr>
          <w:lang w:val="en-GB"/>
        </w:rPr>
      </w:pPr>
      <w:r w:rsidRPr="00D4610D">
        <w:rPr>
          <w:lang w:val="en-GB"/>
        </w:rPr>
        <w:t xml:space="preserve">I could not have completed this </w:t>
      </w:r>
      <w:r w:rsidR="00492A64">
        <w:rPr>
          <w:lang w:val="en-GB"/>
        </w:rPr>
        <w:t>thesis</w:t>
      </w:r>
      <w:r w:rsidR="00492A64" w:rsidRPr="00D4610D">
        <w:rPr>
          <w:lang w:val="en-GB"/>
        </w:rPr>
        <w:t xml:space="preserve"> </w:t>
      </w:r>
      <w:r w:rsidRPr="00D4610D">
        <w:rPr>
          <w:lang w:val="en-GB"/>
        </w:rPr>
        <w:t xml:space="preserve">without the help of my co-promotor </w:t>
      </w:r>
      <w:proofErr w:type="spellStart"/>
      <w:r w:rsidRPr="00D4610D">
        <w:rPr>
          <w:lang w:val="en-GB"/>
        </w:rPr>
        <w:t>Dr.</w:t>
      </w:r>
      <w:proofErr w:type="spellEnd"/>
      <w:r w:rsidRPr="00D4610D">
        <w:rPr>
          <w:lang w:val="en-GB"/>
        </w:rPr>
        <w:t xml:space="preserve"> Van de Perre. Therefore, I would like to thank her for her endless patience, great accessibility and comprehensive feedback. Following her consultations has also enabled me to see the value of kidney stone prevention in practice.</w:t>
      </w:r>
      <w:r>
        <w:rPr>
          <w:lang w:val="en-GB"/>
        </w:rPr>
        <w:t xml:space="preserve"> </w:t>
      </w:r>
    </w:p>
    <w:p w14:paraId="30982E47" w14:textId="07607150" w:rsidR="00D90F8B" w:rsidRDefault="00D13C0F" w:rsidP="005769F3">
      <w:pPr>
        <w:spacing w:line="480" w:lineRule="auto"/>
        <w:jc w:val="both"/>
        <w:rPr>
          <w:lang w:val="en-GB"/>
        </w:rPr>
      </w:pPr>
      <w:r>
        <w:rPr>
          <w:lang w:val="en-GB"/>
        </w:rPr>
        <w:t>Last but not least, t</w:t>
      </w:r>
      <w:r w:rsidR="00D4610D">
        <w:rPr>
          <w:lang w:val="en-GB"/>
        </w:rPr>
        <w:t xml:space="preserve">he contributions and adjustments </w:t>
      </w:r>
      <w:r>
        <w:rPr>
          <w:lang w:val="en-GB"/>
        </w:rPr>
        <w:t xml:space="preserve">made </w:t>
      </w:r>
      <w:r w:rsidR="00D4610D">
        <w:rPr>
          <w:lang w:val="en-GB"/>
        </w:rPr>
        <w:t xml:space="preserve">to the Kidney stone prevention database by </w:t>
      </w:r>
      <w:r w:rsidR="00D4610D" w:rsidRPr="00D4610D">
        <w:rPr>
          <w:lang w:val="en-GB"/>
        </w:rPr>
        <w:t xml:space="preserve">Luc </w:t>
      </w:r>
      <w:proofErr w:type="spellStart"/>
      <w:r w:rsidR="00D4610D" w:rsidRPr="00D4610D">
        <w:rPr>
          <w:lang w:val="en-GB"/>
        </w:rPr>
        <w:t>Vonckx</w:t>
      </w:r>
      <w:proofErr w:type="spellEnd"/>
      <w:r w:rsidR="00D4610D" w:rsidRPr="00D4610D">
        <w:rPr>
          <w:lang w:val="en-GB"/>
        </w:rPr>
        <w:t xml:space="preserve"> </w:t>
      </w:r>
      <w:r w:rsidR="00675776">
        <w:rPr>
          <w:lang w:val="en-GB"/>
        </w:rPr>
        <w:t xml:space="preserve">and Prof. </w:t>
      </w:r>
      <w:proofErr w:type="spellStart"/>
      <w:r w:rsidR="00675776">
        <w:rPr>
          <w:lang w:val="en-GB"/>
        </w:rPr>
        <w:t>Tielemans</w:t>
      </w:r>
      <w:proofErr w:type="spellEnd"/>
      <w:r w:rsidR="00675776">
        <w:rPr>
          <w:lang w:val="en-GB"/>
        </w:rPr>
        <w:t xml:space="preserve"> </w:t>
      </w:r>
      <w:r w:rsidR="00D4610D">
        <w:rPr>
          <w:lang w:val="en-GB"/>
        </w:rPr>
        <w:t>were indispensable and truly appreciated.</w:t>
      </w:r>
    </w:p>
    <w:p w14:paraId="19E7BA8B" w14:textId="69EC2DFA" w:rsidR="00540A95" w:rsidRDefault="00540A95" w:rsidP="005769F3">
      <w:pPr>
        <w:spacing w:line="480" w:lineRule="auto"/>
        <w:jc w:val="both"/>
        <w:rPr>
          <w:lang w:val="en-GB"/>
        </w:rPr>
      </w:pPr>
    </w:p>
    <w:p w14:paraId="24ACB49A" w14:textId="15E95182" w:rsidR="00540A95" w:rsidRDefault="00540A95" w:rsidP="005769F3">
      <w:pPr>
        <w:spacing w:line="480" w:lineRule="auto"/>
        <w:jc w:val="both"/>
        <w:rPr>
          <w:lang w:val="en-GB"/>
        </w:rPr>
      </w:pPr>
    </w:p>
    <w:p w14:paraId="32E8A48C" w14:textId="58E5DE0A" w:rsidR="00540A95" w:rsidRDefault="00540A95" w:rsidP="005769F3">
      <w:pPr>
        <w:spacing w:line="480" w:lineRule="auto"/>
        <w:jc w:val="both"/>
        <w:rPr>
          <w:lang w:val="en-GB"/>
        </w:rPr>
      </w:pPr>
    </w:p>
    <w:p w14:paraId="05841E32" w14:textId="164B341A" w:rsidR="00540A95" w:rsidRDefault="00540A95" w:rsidP="005769F3">
      <w:pPr>
        <w:spacing w:line="480" w:lineRule="auto"/>
        <w:jc w:val="both"/>
        <w:rPr>
          <w:lang w:val="en-GB"/>
        </w:rPr>
      </w:pPr>
    </w:p>
    <w:p w14:paraId="5E1A7CC5" w14:textId="5E356BCD" w:rsidR="00540A95" w:rsidRDefault="00540A95" w:rsidP="005769F3">
      <w:pPr>
        <w:spacing w:line="480" w:lineRule="auto"/>
        <w:jc w:val="both"/>
        <w:rPr>
          <w:lang w:val="en-GB"/>
        </w:rPr>
      </w:pPr>
    </w:p>
    <w:p w14:paraId="427590A2" w14:textId="6A89E6EB" w:rsidR="00540A95" w:rsidRDefault="00540A95" w:rsidP="005769F3">
      <w:pPr>
        <w:spacing w:line="480" w:lineRule="auto"/>
        <w:jc w:val="both"/>
        <w:rPr>
          <w:lang w:val="en-GB"/>
        </w:rPr>
      </w:pPr>
    </w:p>
    <w:p w14:paraId="476CA940" w14:textId="132282D4" w:rsidR="00540A95" w:rsidRDefault="00540A95" w:rsidP="005769F3">
      <w:pPr>
        <w:spacing w:line="480" w:lineRule="auto"/>
        <w:jc w:val="both"/>
        <w:rPr>
          <w:lang w:val="en-GB"/>
        </w:rPr>
      </w:pPr>
    </w:p>
    <w:p w14:paraId="2E01BF3B" w14:textId="462F6A88" w:rsidR="00540A95" w:rsidRDefault="00540A95" w:rsidP="005769F3">
      <w:pPr>
        <w:spacing w:line="480" w:lineRule="auto"/>
        <w:jc w:val="both"/>
        <w:rPr>
          <w:lang w:val="en-GB"/>
        </w:rPr>
      </w:pPr>
    </w:p>
    <w:p w14:paraId="2416BE4C" w14:textId="6B9188AB" w:rsidR="00540A95" w:rsidRDefault="00540A95" w:rsidP="005769F3">
      <w:pPr>
        <w:spacing w:line="480" w:lineRule="auto"/>
        <w:jc w:val="both"/>
        <w:rPr>
          <w:lang w:val="en-GB"/>
        </w:rPr>
      </w:pPr>
    </w:p>
    <w:p w14:paraId="4934EF4C" w14:textId="13D60364" w:rsidR="00540A95" w:rsidRDefault="00540A95" w:rsidP="005769F3">
      <w:pPr>
        <w:spacing w:line="480" w:lineRule="auto"/>
        <w:jc w:val="both"/>
        <w:rPr>
          <w:lang w:val="en-GB"/>
        </w:rPr>
      </w:pPr>
    </w:p>
    <w:p w14:paraId="144CD27F" w14:textId="77777777" w:rsidR="00540A95" w:rsidRDefault="00540A95" w:rsidP="005769F3">
      <w:pPr>
        <w:spacing w:line="480" w:lineRule="auto"/>
        <w:jc w:val="both"/>
        <w:rPr>
          <w:lang w:val="en-GB"/>
        </w:rPr>
      </w:pPr>
    </w:p>
    <w:p w14:paraId="1BC0E8BF" w14:textId="2345A6EB" w:rsidR="00712247" w:rsidRPr="009B6615" w:rsidRDefault="00510DDE" w:rsidP="00540A95">
      <w:pPr>
        <w:pStyle w:val="Kop1"/>
        <w:spacing w:line="480" w:lineRule="auto"/>
        <w:rPr>
          <w:lang w:val="en-GB"/>
        </w:rPr>
      </w:pPr>
      <w:bookmarkStart w:id="120" w:name="_Toc66957495"/>
      <w:bookmarkStart w:id="121" w:name="_Toc70238575"/>
      <w:bookmarkStart w:id="122" w:name="_Hlk67467736"/>
      <w:r>
        <w:rPr>
          <w:lang w:val="en-GB"/>
        </w:rPr>
        <w:lastRenderedPageBreak/>
        <w:t>REFERENCES</w:t>
      </w:r>
      <w:bookmarkEnd w:id="120"/>
      <w:bookmarkEnd w:id="121"/>
    </w:p>
    <w:bookmarkEnd w:id="122"/>
    <w:p w14:paraId="4FBD9D53"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Scales CD, Smith AC, Hanley JM, Saigal CS. Prevalence of Kidney Stones in the United States. Eur Urol. 2012;62(1):160-5.</w:t>
      </w:r>
    </w:p>
    <w:p w14:paraId="38496AD2" w14:textId="129E0400"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Sorokin I, Mamoulakis C, Miyazawa K, Rodgers A, Talati J, Lotan Y. Epidemiology of stone disease across the world. World Journal of Urology. 2017;35(9):1301-20.</w:t>
      </w:r>
    </w:p>
    <w:p w14:paraId="530C4034" w14:textId="137A5E30" w:rsidR="00DF604A" w:rsidRPr="00BE1C8C" w:rsidRDefault="00DF604A"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Ahmad F, Nada M, Farid A, Haleem M, Razack S. Epidemiology of urolithiasis with emphasis on ultrasound detection: A retrospective analysis of 5371 cases in Saudi Arabia. Saudi Journal of Kidney Diseases and Transplantation. 2015;26(2):386.</w:t>
      </w:r>
    </w:p>
    <w:p w14:paraId="7393C2D1" w14:textId="1024B814"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Robertson W.G., Hughes H. Epidemiology of Urinary Stone Disease in Saudi Arabia. Urolithiasis 2. 1994;</w:t>
      </w:r>
      <w:r w:rsidR="00D07A0A">
        <w:rPr>
          <w:rFonts w:asciiTheme="minorHAnsi" w:hAnsiTheme="minorHAnsi" w:cstheme="minorHAnsi"/>
        </w:rPr>
        <w:t>17(1):</w:t>
      </w:r>
      <w:r w:rsidRPr="00BE1C8C">
        <w:rPr>
          <w:rFonts w:asciiTheme="minorHAnsi" w:hAnsiTheme="minorHAnsi" w:cstheme="minorHAnsi"/>
        </w:rPr>
        <w:t>453-55.</w:t>
      </w:r>
    </w:p>
    <w:p w14:paraId="06A5C58A"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Stamatelou KK, Francis ME, Jones CA, Nyberg LM, Curhan GC. Time Trends in Reported Prevalence of Kidney Stones in the United States: 1976-1994. Kidney International. 2003;63(5):1817–23.</w:t>
      </w:r>
    </w:p>
    <w:p w14:paraId="2097EB1E"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Boyce CJ, Pickhardt PJ, Lawrence EM, Kim DH, Bruce RJ. Prevalence of Urolithiasis in Asymptomatic Adults: Objective Determination Using Low Dose Noncontrast Computerized Tomography. The Journal of Urology. 2010;183(3):1017-21.</w:t>
      </w:r>
    </w:p>
    <w:p w14:paraId="7F23A946" w14:textId="763F610F" w:rsidR="00775247" w:rsidRPr="00D07A0A" w:rsidRDefault="001C0065" w:rsidP="00CC6FA2">
      <w:pPr>
        <w:pStyle w:val="EndNoteBibliography"/>
        <w:numPr>
          <w:ilvl w:val="0"/>
          <w:numId w:val="10"/>
        </w:numPr>
        <w:spacing w:after="0" w:line="360" w:lineRule="auto"/>
        <w:jc w:val="both"/>
        <w:rPr>
          <w:rFonts w:asciiTheme="minorHAnsi" w:hAnsiTheme="minorHAnsi" w:cstheme="minorHAnsi"/>
        </w:rPr>
      </w:pPr>
      <w:r w:rsidRPr="00D07A0A">
        <w:rPr>
          <w:rFonts w:asciiTheme="minorHAnsi" w:hAnsiTheme="minorHAnsi" w:cstheme="minorHAnsi"/>
          <w:color w:val="000000"/>
          <w:shd w:val="clear" w:color="auto" w:fill="FFFFFF"/>
        </w:rPr>
        <w:t>Daudon M, Jungers P, Bazin D, Williams J. Recurrence rates of urinary calculi according to stone composition and morphology. Urolithiasis. 2018;46(5):459-70</w:t>
      </w:r>
      <w:r w:rsidR="00775247" w:rsidRPr="00D07A0A">
        <w:rPr>
          <w:rFonts w:asciiTheme="minorHAnsi" w:hAnsiTheme="minorHAnsi" w:cstheme="minorHAnsi"/>
        </w:rPr>
        <w:t>.</w:t>
      </w:r>
    </w:p>
    <w:p w14:paraId="1621D84B" w14:textId="787B692B" w:rsidR="00775247" w:rsidRPr="00D07A0A" w:rsidRDefault="00775247" w:rsidP="00CC6FA2">
      <w:pPr>
        <w:pStyle w:val="EndNoteBibliography"/>
        <w:numPr>
          <w:ilvl w:val="0"/>
          <w:numId w:val="10"/>
        </w:numPr>
        <w:spacing w:after="0" w:line="360" w:lineRule="auto"/>
        <w:jc w:val="both"/>
        <w:rPr>
          <w:rFonts w:asciiTheme="minorHAnsi" w:hAnsiTheme="minorHAnsi" w:cstheme="minorHAnsi"/>
        </w:rPr>
      </w:pPr>
      <w:r w:rsidRPr="00D07A0A">
        <w:rPr>
          <w:rFonts w:asciiTheme="minorHAnsi" w:hAnsiTheme="minorHAnsi" w:cstheme="minorHAnsi"/>
        </w:rPr>
        <w:t>Pearle MS, Calhoun EA, Curhan GC; Urologic Diseases of America Project. Urologic diseases in America project: urolithiasis. J Urol. 2005;173(3):848–57.</w:t>
      </w:r>
    </w:p>
    <w:p w14:paraId="2B738472"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lang w:val="nl-BE"/>
        </w:rPr>
      </w:pPr>
      <w:r w:rsidRPr="00BE1C8C">
        <w:rPr>
          <w:rFonts w:asciiTheme="minorHAnsi" w:hAnsiTheme="minorHAnsi" w:cstheme="minorHAnsi"/>
        </w:rPr>
        <w:t xml:space="preserve">Antonelli JA, Maalouf NM, Pearle MS, Lotan Y. Use of the National Health and Nutrition Examination Survey to Calculate the Impact of Obesity and Diabetes on Cost and Prevalence of Urolithiasis in 2030. </w:t>
      </w:r>
      <w:r w:rsidRPr="00BE1C8C">
        <w:rPr>
          <w:rFonts w:asciiTheme="minorHAnsi" w:hAnsiTheme="minorHAnsi" w:cstheme="minorHAnsi"/>
          <w:lang w:val="nl-BE"/>
        </w:rPr>
        <w:t>Eur Urol. 2014;66(4):724-9.</w:t>
      </w:r>
    </w:p>
    <w:p w14:paraId="09ACE308"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lang w:val="nl-BE"/>
        </w:rPr>
        <w:t xml:space="preserve">Lieske JC, de la Vega LSP, Gettman MT, Slezak JM, Bergstralh EJ, Melton LJ, III, et al. </w:t>
      </w:r>
      <w:r w:rsidRPr="00BE1C8C">
        <w:rPr>
          <w:rFonts w:asciiTheme="minorHAnsi" w:hAnsiTheme="minorHAnsi" w:cstheme="minorHAnsi"/>
        </w:rPr>
        <w:t>Diabetes Mellitus and the Risk of Urinary Tract Stones: A Population-Based Case-Control Study. American journal of kidney diseases. 2006;48(6):897-904.</w:t>
      </w:r>
    </w:p>
    <w:p w14:paraId="488E66AC"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9F04A0">
        <w:rPr>
          <w:rFonts w:asciiTheme="minorHAnsi" w:hAnsiTheme="minorHAnsi" w:cstheme="minorHAnsi"/>
          <w:lang w:val="de-DE"/>
        </w:rPr>
        <w:t xml:space="preserve">Taylor EN, Stampfer MJ, Curhan GC. </w:t>
      </w:r>
      <w:r w:rsidRPr="00BE1C8C">
        <w:rPr>
          <w:rFonts w:asciiTheme="minorHAnsi" w:hAnsiTheme="minorHAnsi" w:cstheme="minorHAnsi"/>
        </w:rPr>
        <w:t>Obesity, Weight Gain, and the Risk of Kidney Stones. JAMA. 2005;293(4):455-62.</w:t>
      </w:r>
    </w:p>
    <w:p w14:paraId="1A05BA3D"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West B, Luke A, Durazo-Arvizu RA, Cao G, Shoham D, Kramer H. Metabolic Syndrome and Self-Reported History of Kidney Stones: The National Health and Nutrition Examination Survey (NHANES III) 1988-1994. American journal of kidney disease. 2008;51(5):741-7.</w:t>
      </w:r>
    </w:p>
    <w:p w14:paraId="68C68342" w14:textId="317E860A"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Maalouf N. Metabolic Syndrome and the Genesis of Uric Acid Stones. Journal of Renal Nutrition. 2011;21(1):128-31.</w:t>
      </w:r>
    </w:p>
    <w:p w14:paraId="22A677A9" w14:textId="72E44230"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lastRenderedPageBreak/>
        <w:t>Taylor E, Feskanich D, Paik J, Curhan G. Nephrolithiasis and Risk of Incident Bone Fracture. Journal of Urology. 2016;195(5):1482-6</w:t>
      </w:r>
      <w:r w:rsidRPr="00BE1C8C">
        <w:rPr>
          <w:rFonts w:asciiTheme="minorHAnsi" w:hAnsiTheme="minorHAnsi" w:cstheme="minorHAnsi"/>
          <w:color w:val="000000"/>
          <w:sz w:val="20"/>
          <w:szCs w:val="20"/>
          <w:shd w:val="clear" w:color="auto" w:fill="FFFFFF"/>
        </w:rPr>
        <w:t>.</w:t>
      </w:r>
    </w:p>
    <w:p w14:paraId="67494B76" w14:textId="71985328"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 xml:space="preserve">Yü T, Gutman AB. Uric acid nephrolithiasis in gout. Predisposing factors. Ann Intern Med. 1967;67(6):1133-48. </w:t>
      </w:r>
    </w:p>
    <w:p w14:paraId="01E0C922" w14:textId="7BBB1B1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Tsai SH, Stoller ML, Sherer BA, Chao ZH, Tung TH. Risk of nephrolithiasis in patients with sleep apnea: a population-based cohort study. J Clin Sleep Med. 2018;14(5):767–73.</w:t>
      </w:r>
    </w:p>
    <w:p w14:paraId="2790D9F8" w14:textId="6B111ABF"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D07A0A">
        <w:rPr>
          <w:rFonts w:asciiTheme="minorHAnsi" w:hAnsiTheme="minorHAnsi" w:cstheme="minorHAnsi"/>
          <w:lang w:val="fr-BE"/>
        </w:rPr>
        <w:t>Borghi L, Meschi T, Guerra A</w:t>
      </w:r>
      <w:r w:rsidR="00D07A0A" w:rsidRPr="00D07A0A">
        <w:rPr>
          <w:rFonts w:asciiTheme="minorHAnsi" w:hAnsiTheme="minorHAnsi" w:cstheme="minorHAnsi"/>
          <w:lang w:val="fr-BE"/>
        </w:rPr>
        <w:t>, Briganti A, Schianchi T, Allegri F</w:t>
      </w:r>
      <w:r w:rsidR="00D07A0A">
        <w:rPr>
          <w:rFonts w:asciiTheme="minorHAnsi" w:hAnsiTheme="minorHAnsi" w:cstheme="minorHAnsi"/>
          <w:lang w:val="fr-BE"/>
        </w:rPr>
        <w:t>,</w:t>
      </w:r>
      <w:r w:rsidRPr="00D07A0A">
        <w:rPr>
          <w:rFonts w:asciiTheme="minorHAnsi" w:hAnsiTheme="minorHAnsi" w:cstheme="minorHAnsi"/>
          <w:lang w:val="fr-BE"/>
        </w:rPr>
        <w:t xml:space="preserve"> et al</w:t>
      </w:r>
      <w:r w:rsidR="00D07A0A" w:rsidRPr="00D07A0A">
        <w:rPr>
          <w:rFonts w:asciiTheme="minorHAnsi" w:hAnsiTheme="minorHAnsi" w:cstheme="minorHAnsi"/>
          <w:lang w:val="fr-BE"/>
        </w:rPr>
        <w:t>.</w:t>
      </w:r>
      <w:r w:rsidRPr="00D07A0A">
        <w:rPr>
          <w:rFonts w:asciiTheme="minorHAnsi" w:hAnsiTheme="minorHAnsi" w:cstheme="minorHAnsi"/>
          <w:lang w:val="fr-BE"/>
        </w:rPr>
        <w:t xml:space="preserve"> </w:t>
      </w:r>
      <w:r w:rsidRPr="00D07A0A">
        <w:rPr>
          <w:rFonts w:asciiTheme="minorHAnsi" w:hAnsiTheme="minorHAnsi" w:cstheme="minorHAnsi"/>
        </w:rPr>
        <w:t xml:space="preserve">Essential arterial hypertension and stone disease. </w:t>
      </w:r>
      <w:r w:rsidRPr="00BE1C8C">
        <w:rPr>
          <w:rFonts w:asciiTheme="minorHAnsi" w:hAnsiTheme="minorHAnsi" w:cstheme="minorHAnsi"/>
        </w:rPr>
        <w:t>Kidney Int</w:t>
      </w:r>
      <w:r w:rsidR="00D07A0A">
        <w:rPr>
          <w:rFonts w:asciiTheme="minorHAnsi" w:hAnsiTheme="minorHAnsi" w:cstheme="minorHAnsi"/>
        </w:rPr>
        <w:t>. 1999;</w:t>
      </w:r>
      <w:r w:rsidRPr="00BE1C8C">
        <w:rPr>
          <w:rFonts w:asciiTheme="minorHAnsi" w:hAnsiTheme="minorHAnsi" w:cstheme="minorHAnsi"/>
        </w:rPr>
        <w:t>55</w:t>
      </w:r>
      <w:r w:rsidR="00D07A0A">
        <w:rPr>
          <w:rFonts w:asciiTheme="minorHAnsi" w:hAnsiTheme="minorHAnsi" w:cstheme="minorHAnsi"/>
        </w:rPr>
        <w:t>(6)</w:t>
      </w:r>
      <w:r w:rsidRPr="00BE1C8C">
        <w:rPr>
          <w:rFonts w:asciiTheme="minorHAnsi" w:hAnsiTheme="minorHAnsi" w:cstheme="minorHAnsi"/>
        </w:rPr>
        <w:t>:2397–</w:t>
      </w:r>
      <w:r w:rsidR="00D07A0A">
        <w:rPr>
          <w:rFonts w:asciiTheme="minorHAnsi" w:hAnsiTheme="minorHAnsi" w:cstheme="minorHAnsi"/>
        </w:rPr>
        <w:t>2</w:t>
      </w:r>
      <w:r w:rsidRPr="00BE1C8C">
        <w:rPr>
          <w:rFonts w:asciiTheme="minorHAnsi" w:hAnsiTheme="minorHAnsi" w:cstheme="minorHAnsi"/>
        </w:rPr>
        <w:t>406.</w:t>
      </w:r>
    </w:p>
    <w:p w14:paraId="7B06D6E9" w14:textId="1E740C4E"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311773">
        <w:rPr>
          <w:rFonts w:asciiTheme="minorHAnsi" w:hAnsiTheme="minorHAnsi" w:cstheme="minorHAnsi"/>
        </w:rPr>
        <w:t xml:space="preserve">El-Zoghby ZM, Lieske JC, Foley RN, Bergstralh EJ, Li X, Melton LJ, et al. </w:t>
      </w:r>
      <w:r w:rsidRPr="00BE1C8C">
        <w:rPr>
          <w:rFonts w:asciiTheme="minorHAnsi" w:hAnsiTheme="minorHAnsi" w:cstheme="minorHAnsi"/>
        </w:rPr>
        <w:t>Urolithiasis and the Risk of ESRD.  Clin J Am Soc Nephrol. 2012</w:t>
      </w:r>
      <w:r w:rsidR="00D07A0A">
        <w:rPr>
          <w:rFonts w:asciiTheme="minorHAnsi" w:hAnsiTheme="minorHAnsi" w:cstheme="minorHAnsi"/>
        </w:rPr>
        <w:t>;7(9):</w:t>
      </w:r>
      <w:r w:rsidRPr="00BE1C8C">
        <w:rPr>
          <w:rFonts w:asciiTheme="minorHAnsi" w:hAnsiTheme="minorHAnsi" w:cstheme="minorHAnsi"/>
        </w:rPr>
        <w:t>1409-15.</w:t>
      </w:r>
    </w:p>
    <w:p w14:paraId="506F94FD"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Dhondup T, Kittanamongkolchai W, Vaughan LE, Mehta RA, Chhina JK, Enders FT, et al. Risk of ESRD and Mortality in Kidney and Bladder Stone Formers. Am J Kidney Dis. 2018;72(6):790-7.</w:t>
      </w:r>
    </w:p>
    <w:p w14:paraId="63B3A0EC" w14:textId="0A3C1018"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Ferraro P, Taylor E, Eisner B, Gambaro G, Rimm E, Mukamal K</w:t>
      </w:r>
      <w:r w:rsidR="00D07A0A">
        <w:rPr>
          <w:rFonts w:asciiTheme="minorHAnsi" w:hAnsiTheme="minorHAnsi" w:cstheme="minorHAnsi"/>
        </w:rPr>
        <w:t>,</w:t>
      </w:r>
      <w:r w:rsidRPr="00BE1C8C">
        <w:rPr>
          <w:rFonts w:asciiTheme="minorHAnsi" w:hAnsiTheme="minorHAnsi" w:cstheme="minorHAnsi"/>
        </w:rPr>
        <w:t xml:space="preserve"> et al. History of Kidney Stones and the Risk of Coronary Heart Disease. JAMA. 2013;310(4):408.</w:t>
      </w:r>
    </w:p>
    <w:p w14:paraId="7D3176F7" w14:textId="6508D22B"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Alexander R, Hemmelgarn B, Wiebe N, Bello A, Samuel S, Klarenbach S</w:t>
      </w:r>
      <w:r w:rsidR="00D07A0A">
        <w:rPr>
          <w:rFonts w:asciiTheme="minorHAnsi" w:hAnsiTheme="minorHAnsi" w:cstheme="minorHAnsi"/>
        </w:rPr>
        <w:t>,</w:t>
      </w:r>
      <w:r w:rsidRPr="00BE1C8C">
        <w:rPr>
          <w:rFonts w:asciiTheme="minorHAnsi" w:hAnsiTheme="minorHAnsi" w:cstheme="minorHAnsi"/>
        </w:rPr>
        <w:t xml:space="preserve"> et al. Kidney Stones and Cardiovascular Events: A Cohort Study. Clinical Journal of the American Society of Nephrology. 2013;9(3):506-12.</w:t>
      </w:r>
    </w:p>
    <w:p w14:paraId="6DADDDE2" w14:textId="1E73A08D"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Reiner A, Kahn A, Eisner B, Pletcher M, Sadetsky N, Williams O</w:t>
      </w:r>
      <w:r w:rsidR="00D07A0A">
        <w:rPr>
          <w:rFonts w:asciiTheme="minorHAnsi" w:hAnsiTheme="minorHAnsi" w:cstheme="minorHAnsi"/>
        </w:rPr>
        <w:t>,</w:t>
      </w:r>
      <w:r w:rsidRPr="00BE1C8C">
        <w:rPr>
          <w:rFonts w:asciiTheme="minorHAnsi" w:hAnsiTheme="minorHAnsi" w:cstheme="minorHAnsi"/>
        </w:rPr>
        <w:t xml:space="preserve"> et al. Kidney Stones and Subclinical Atherosclerosis in Young Adults: The CARDIA Study. Journal of Urology. 2011;185(3):920-5.</w:t>
      </w:r>
    </w:p>
    <w:p w14:paraId="4226268E" w14:textId="54E30E66"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Shavit L, Girfoglio D, Vijay V, Goldsmith D, Ferraro P, Moochhala S</w:t>
      </w:r>
      <w:r w:rsidR="00D07A0A">
        <w:rPr>
          <w:rFonts w:asciiTheme="minorHAnsi" w:hAnsiTheme="minorHAnsi" w:cstheme="minorHAnsi"/>
        </w:rPr>
        <w:t>,</w:t>
      </w:r>
      <w:r w:rsidRPr="00BE1C8C">
        <w:rPr>
          <w:rFonts w:asciiTheme="minorHAnsi" w:hAnsiTheme="minorHAnsi" w:cstheme="minorHAnsi"/>
        </w:rPr>
        <w:t xml:space="preserve"> et al. Vascular Calcification and Bone Mineral Density in Recurrent Kidney Stone Formers. Clinical Journal of the American Society of Nephrology. 2015;10(2):278-85.</w:t>
      </w:r>
    </w:p>
    <w:p w14:paraId="4CA1EE60"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Bensalah K, Tuncel A, Gupta A, Raman JD, Pearle MS, Lotan Y. Determinants of Quality of Life for Patients With Kidney Stones. The Journal of urology. 2008;179(6):2238-43.</w:t>
      </w:r>
    </w:p>
    <w:p w14:paraId="7B42BC14"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Skolarikos A, Straub M, Knoll T, Sarica K, Seitz C, Petřík A, et al. Metabolic Evaluation and Recurrence Prevention for Urinary Stone Patients: EAU Guidelines. European Urology. 2015;67(4):750–63.</w:t>
      </w:r>
    </w:p>
    <w:p w14:paraId="4A3637FC" w14:textId="64D997A0"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Borghi L, Meschi T, Amato F, Briganti A, Novarini A, Giannini A. Urinary volume, water and recurrences in idiopathic calcium nephrolithiasis: a 5-year randomized prospective study. The Journal of Urology. 1996;155</w:t>
      </w:r>
      <w:r w:rsidR="00D07A0A">
        <w:rPr>
          <w:rFonts w:asciiTheme="minorHAnsi" w:hAnsiTheme="minorHAnsi" w:cstheme="minorHAnsi"/>
        </w:rPr>
        <w:t>(3)</w:t>
      </w:r>
      <w:r w:rsidRPr="00BE1C8C">
        <w:rPr>
          <w:rFonts w:asciiTheme="minorHAnsi" w:hAnsiTheme="minorHAnsi" w:cstheme="minorHAnsi"/>
        </w:rPr>
        <w:t>:839-43.</w:t>
      </w:r>
    </w:p>
    <w:p w14:paraId="1D0EADF8"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Massey LK. Dietary Salt, Urinary Calcium, and Kidney Stone Risk. Nutrition Reviews. 1995;53(5):131-4.</w:t>
      </w:r>
    </w:p>
    <w:p w14:paraId="5734BA64"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9F04A0">
        <w:rPr>
          <w:rFonts w:asciiTheme="minorHAnsi" w:hAnsiTheme="minorHAnsi" w:cstheme="minorHAnsi"/>
          <w:lang w:val="de-DE"/>
        </w:rPr>
        <w:lastRenderedPageBreak/>
        <w:t xml:space="preserve">Taylor EN, Stampfer MJ, Curhan GC. </w:t>
      </w:r>
      <w:r w:rsidRPr="00BE1C8C">
        <w:rPr>
          <w:rFonts w:asciiTheme="minorHAnsi" w:hAnsiTheme="minorHAnsi" w:cstheme="minorHAnsi"/>
        </w:rPr>
        <w:t>Dietary Factors and the Risk of Incident Kidney Stones in Men: New Insights after 14 Years of Follow-up. Journal of the American Society of Nephrology. 2004;15(12):3225-32.</w:t>
      </w:r>
    </w:p>
    <w:p w14:paraId="1CDF6A1E"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Taylor EN, Fung TT, Curhan GC. DASH-Style Diet Associates with Reduced Risk for Kidney Stones. Journal of the American Society of Nephrology. 2009;20(10):2253-9.</w:t>
      </w:r>
    </w:p>
    <w:p w14:paraId="41F6C7EE"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lang w:val="fr-BE"/>
        </w:rPr>
        <w:t xml:space="preserve">Borghi L, Schianchi T, Meschi T, Guerra A, Allegri F, Maggiore U, et al. </w:t>
      </w:r>
      <w:r w:rsidRPr="00BE1C8C">
        <w:rPr>
          <w:rFonts w:asciiTheme="minorHAnsi" w:hAnsiTheme="minorHAnsi" w:cstheme="minorHAnsi"/>
        </w:rPr>
        <w:t>Comparison of Two Diets for the Prevention of Recurrent Stones in Idiopathic Hypercalciuria. New England Journal of Medicine. 2002;346(2):77-84.</w:t>
      </w:r>
    </w:p>
    <w:p w14:paraId="3360D6CB"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Ferraro PM, Taylor EN, Gambaro G, Curhan GC. Dietary and Lifestyle Risk Factors Associated with Incident Kidney Stones in Men and Women. J Urol. 2017;198(4):858-63.</w:t>
      </w:r>
    </w:p>
    <w:p w14:paraId="251D01B7" w14:textId="37C73438"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Zisman AL. Effectiveness of Treatment Modalities on Kidney Stone Recurrence.  Clin J Am Soc Nephrol. 2017</w:t>
      </w:r>
      <w:r w:rsidR="00D07A0A">
        <w:rPr>
          <w:rFonts w:asciiTheme="minorHAnsi" w:hAnsiTheme="minorHAnsi" w:cstheme="minorHAnsi"/>
        </w:rPr>
        <w:t>;12(10):</w:t>
      </w:r>
      <w:r w:rsidRPr="00BE1C8C">
        <w:rPr>
          <w:rFonts w:asciiTheme="minorHAnsi" w:hAnsiTheme="minorHAnsi" w:cstheme="minorHAnsi"/>
        </w:rPr>
        <w:t>1699-708.</w:t>
      </w:r>
    </w:p>
    <w:p w14:paraId="64D78665" w14:textId="7429F102"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Borghi L, Meschi T, Guerra A, Novarini A. Randomized prospective study of a nonthiazide diuretic, indapamide, in preventing calcium stone recurrences. Journal of cardiovascular pharmacology. 1993;22</w:t>
      </w:r>
      <w:r w:rsidR="00D07A0A">
        <w:rPr>
          <w:rFonts w:asciiTheme="minorHAnsi" w:hAnsiTheme="minorHAnsi" w:cstheme="minorHAnsi"/>
        </w:rPr>
        <w:t>(6):</w:t>
      </w:r>
      <w:r w:rsidRPr="00BE1C8C">
        <w:rPr>
          <w:rFonts w:asciiTheme="minorHAnsi" w:hAnsiTheme="minorHAnsi" w:cstheme="minorHAnsi"/>
        </w:rPr>
        <w:t>78-86.</w:t>
      </w:r>
    </w:p>
    <w:p w14:paraId="3B4BC462" w14:textId="30EC34CF"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Ohkawa M, Tokunaga S, Nakashima T, Orito M, Hisazumi H. Thiazide treatment for calcium urolithiasis in patients with idiopathic hypercalciuria. British journal of Urology. 1992;69</w:t>
      </w:r>
      <w:r w:rsidR="00D07A0A">
        <w:rPr>
          <w:rFonts w:asciiTheme="minorHAnsi" w:hAnsiTheme="minorHAnsi" w:cstheme="minorHAnsi"/>
        </w:rPr>
        <w:t>(6)</w:t>
      </w:r>
      <w:r w:rsidRPr="00BE1C8C">
        <w:rPr>
          <w:rFonts w:asciiTheme="minorHAnsi" w:hAnsiTheme="minorHAnsi" w:cstheme="minorHAnsi"/>
        </w:rPr>
        <w:t>:571-6.</w:t>
      </w:r>
    </w:p>
    <w:p w14:paraId="64B9A875" w14:textId="114EA41C"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Laerum E, Larsen S. Thiazide Prophylaxis of Urolithiasis. Acta Medica Scandinavica. 1984;215(4):383-9.</w:t>
      </w:r>
    </w:p>
    <w:p w14:paraId="41808DEF" w14:textId="3640CD09"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Lojanapiwat B, Tanthanuch M, Pripathanont C, Ratchanon S, Srinualnad S, Taweemonkongsap T, et al. Alkaline citrate reduces stone recurrence and regrowth after shockwave lithotripsy and percutaneous nephrolithotomy. International Brazilian journal of urology. 2011;37</w:t>
      </w:r>
      <w:r w:rsidR="00D07A0A">
        <w:rPr>
          <w:rFonts w:asciiTheme="minorHAnsi" w:hAnsiTheme="minorHAnsi" w:cstheme="minorHAnsi"/>
        </w:rPr>
        <w:t>(5)</w:t>
      </w:r>
      <w:r w:rsidRPr="00BE1C8C">
        <w:rPr>
          <w:rFonts w:asciiTheme="minorHAnsi" w:hAnsiTheme="minorHAnsi" w:cstheme="minorHAnsi"/>
        </w:rPr>
        <w:t>:611-6.</w:t>
      </w:r>
    </w:p>
    <w:p w14:paraId="7BD1E635" w14:textId="1840933F"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Barcelo P, Wuhl O, Servitge E, Rousaud A, Pak CY. Randomized double-blind study of potassium citrate in idiopathic hypocitraturic calcium nephrolithiasis. The Journal of Urology. 1993;150</w:t>
      </w:r>
      <w:r w:rsidR="00D07A0A">
        <w:rPr>
          <w:rFonts w:asciiTheme="minorHAnsi" w:hAnsiTheme="minorHAnsi" w:cstheme="minorHAnsi"/>
        </w:rPr>
        <w:t>(6)</w:t>
      </w:r>
      <w:r w:rsidRPr="00BE1C8C">
        <w:rPr>
          <w:rFonts w:asciiTheme="minorHAnsi" w:hAnsiTheme="minorHAnsi" w:cstheme="minorHAnsi"/>
        </w:rPr>
        <w:t>:1761–4.</w:t>
      </w:r>
    </w:p>
    <w:p w14:paraId="3E797E08" w14:textId="7DFE3F22"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Ettinger B, Pak CY, Citron JT, Thomas C, Adams-Huet B, Vangessel A. Potassium-magnesium citrate is an effective prophylaxis against recurrent calcium oxalate nephrolithiasis. The Journal of Urology. 1997;158</w:t>
      </w:r>
      <w:r w:rsidR="00D07A0A">
        <w:rPr>
          <w:rFonts w:asciiTheme="minorHAnsi" w:hAnsiTheme="minorHAnsi" w:cstheme="minorHAnsi"/>
        </w:rPr>
        <w:t>(6)</w:t>
      </w:r>
      <w:r w:rsidRPr="00BE1C8C">
        <w:rPr>
          <w:rFonts w:asciiTheme="minorHAnsi" w:hAnsiTheme="minorHAnsi" w:cstheme="minorHAnsi"/>
        </w:rPr>
        <w:t>:2069-73.</w:t>
      </w:r>
    </w:p>
    <w:p w14:paraId="55E4DFA2"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Ettinger B, Tang A, Citron JT, Livermore B, Williams T. Randomized Trial of Allopurinol in the Prevention of Calcium Oxalate Calculi. New England Journal of Medicine. 1986;315(22):1386-9.</w:t>
      </w:r>
    </w:p>
    <w:p w14:paraId="486424D0" w14:textId="2BC791D2"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Pak CY, Sakhaee K, Fuller C. Successful management of uric acid nephrolithiasis with potassium citrate. Kidney International. 1986;30</w:t>
      </w:r>
      <w:r w:rsidR="00D07A0A">
        <w:rPr>
          <w:rFonts w:asciiTheme="minorHAnsi" w:hAnsiTheme="minorHAnsi" w:cstheme="minorHAnsi"/>
        </w:rPr>
        <w:t>(3)</w:t>
      </w:r>
      <w:r w:rsidRPr="00BE1C8C">
        <w:rPr>
          <w:rFonts w:asciiTheme="minorHAnsi" w:hAnsiTheme="minorHAnsi" w:cstheme="minorHAnsi"/>
        </w:rPr>
        <w:t>:422</w:t>
      </w:r>
      <w:r w:rsidR="00D07A0A">
        <w:rPr>
          <w:rFonts w:asciiTheme="minorHAnsi" w:hAnsiTheme="minorHAnsi" w:cstheme="minorHAnsi"/>
        </w:rPr>
        <w:t>-</w:t>
      </w:r>
      <w:r w:rsidRPr="00BE1C8C">
        <w:rPr>
          <w:rFonts w:asciiTheme="minorHAnsi" w:hAnsiTheme="minorHAnsi" w:cstheme="minorHAnsi"/>
        </w:rPr>
        <w:t>8.</w:t>
      </w:r>
    </w:p>
    <w:p w14:paraId="44E52D08" w14:textId="0C963315"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lastRenderedPageBreak/>
        <w:t>Singer A, Das S. Cystinuria: A Review of the Pathophysiology and Management. The Journal of Urology. 1989;142</w:t>
      </w:r>
      <w:r w:rsidR="00D07A0A">
        <w:rPr>
          <w:rFonts w:asciiTheme="minorHAnsi" w:hAnsiTheme="minorHAnsi" w:cstheme="minorHAnsi"/>
        </w:rPr>
        <w:t>(3)</w:t>
      </w:r>
      <w:r w:rsidRPr="00BE1C8C">
        <w:rPr>
          <w:rFonts w:asciiTheme="minorHAnsi" w:hAnsiTheme="minorHAnsi" w:cstheme="minorHAnsi"/>
        </w:rPr>
        <w:t>:669-73.</w:t>
      </w:r>
    </w:p>
    <w:p w14:paraId="26FD7435" w14:textId="77777777" w:rsidR="00775247" w:rsidRPr="00BE1C8C" w:rsidRDefault="00775247" w:rsidP="00775247">
      <w:pPr>
        <w:pStyle w:val="EndNoteBibliography"/>
        <w:spacing w:after="0" w:line="360" w:lineRule="auto"/>
        <w:jc w:val="both"/>
        <w:rPr>
          <w:rFonts w:asciiTheme="minorHAnsi" w:hAnsiTheme="minorHAnsi" w:cstheme="minorHAnsi"/>
          <w:sz w:val="2"/>
          <w:szCs w:val="2"/>
        </w:rPr>
      </w:pPr>
    </w:p>
    <w:p w14:paraId="645FE919" w14:textId="49B3C6F9"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Sarica K, İnal Y, Erturhan S, Yağci F. The effect of calcium channel blockers on stone regrowth and recurrence after shock wave lithotripsy. Urological Research. 2006;34(3):184-9.</w:t>
      </w:r>
    </w:p>
    <w:p w14:paraId="4E7E47BC" w14:textId="0755D92E"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9F04A0">
        <w:rPr>
          <w:rFonts w:asciiTheme="minorHAnsi" w:hAnsiTheme="minorHAnsi" w:cstheme="minorHAnsi"/>
          <w:lang w:val="de-DE"/>
        </w:rPr>
        <w:t xml:space="preserve">Hosking DH, Erickson SB, Van den Berg CJ, Wilson DM, Smith LH. </w:t>
      </w:r>
      <w:r w:rsidRPr="00BE1C8C">
        <w:rPr>
          <w:rFonts w:asciiTheme="minorHAnsi" w:hAnsiTheme="minorHAnsi" w:cstheme="minorHAnsi"/>
        </w:rPr>
        <w:t>The stone clinic effect in patients with idiopathic calcium urolithiasis. J Urol. 1983;130(6):1115–8</w:t>
      </w:r>
      <w:r w:rsidR="00D07A0A">
        <w:rPr>
          <w:rFonts w:asciiTheme="minorHAnsi" w:hAnsiTheme="minorHAnsi" w:cstheme="minorHAnsi"/>
        </w:rPr>
        <w:t>.</w:t>
      </w:r>
    </w:p>
    <w:p w14:paraId="67C696D8" w14:textId="3E7438FE" w:rsidR="00775247" w:rsidRPr="00BE1C8C" w:rsidRDefault="00775247" w:rsidP="00CC6FA2">
      <w:pPr>
        <w:pStyle w:val="EndNoteBibliography"/>
        <w:numPr>
          <w:ilvl w:val="0"/>
          <w:numId w:val="10"/>
        </w:numPr>
        <w:spacing w:after="0" w:line="360" w:lineRule="auto"/>
        <w:jc w:val="both"/>
        <w:rPr>
          <w:rFonts w:asciiTheme="minorHAnsi" w:hAnsiTheme="minorHAnsi" w:cstheme="minorHAnsi"/>
          <w:lang w:val="fr-BE"/>
        </w:rPr>
      </w:pPr>
      <w:bookmarkStart w:id="123" w:name="_Hlk67930111"/>
      <w:r w:rsidRPr="00BE1C8C">
        <w:rPr>
          <w:rFonts w:asciiTheme="minorHAnsi" w:hAnsiTheme="minorHAnsi" w:cstheme="minorHAnsi"/>
          <w:lang w:val="fr-BE"/>
        </w:rPr>
        <w:t xml:space="preserve">Iguchi M, Umekawa T, Ishikawa Y, et al. </w:t>
      </w:r>
      <w:r w:rsidRPr="00BE1C8C">
        <w:rPr>
          <w:rFonts w:asciiTheme="minorHAnsi" w:hAnsiTheme="minorHAnsi" w:cstheme="minorHAnsi"/>
        </w:rPr>
        <w:t xml:space="preserve">Clinical effects of prophylactic dietary treatment on renal stones. </w:t>
      </w:r>
      <w:r w:rsidRPr="00BE1C8C">
        <w:rPr>
          <w:rFonts w:asciiTheme="minorHAnsi" w:hAnsiTheme="minorHAnsi" w:cstheme="minorHAnsi"/>
          <w:lang w:val="fr-BE"/>
        </w:rPr>
        <w:t>J Urol. 1990;144(2):229–32.</w:t>
      </w:r>
    </w:p>
    <w:p w14:paraId="4895DBC6" w14:textId="3D422230" w:rsidR="00775247" w:rsidRPr="00BE1C8C" w:rsidRDefault="00775247" w:rsidP="00CC6FA2">
      <w:pPr>
        <w:pStyle w:val="EndNoteBibliography"/>
        <w:numPr>
          <w:ilvl w:val="0"/>
          <w:numId w:val="10"/>
        </w:numPr>
        <w:spacing w:after="0" w:line="360" w:lineRule="auto"/>
        <w:jc w:val="both"/>
        <w:rPr>
          <w:rFonts w:asciiTheme="minorHAnsi" w:hAnsiTheme="minorHAnsi" w:cstheme="minorHAnsi"/>
          <w:lang w:val="fr-BE"/>
        </w:rPr>
      </w:pPr>
      <w:r w:rsidRPr="009F04A0">
        <w:rPr>
          <w:rFonts w:asciiTheme="minorHAnsi" w:hAnsiTheme="minorHAnsi" w:cstheme="minorHAnsi"/>
          <w:lang w:val="de-DE"/>
        </w:rPr>
        <w:t>Kang D, Maloney M, Haleblian G, Springhart W, Honeycutt E, Eisenstein E</w:t>
      </w:r>
      <w:r w:rsidR="00D07A0A" w:rsidRPr="009F04A0">
        <w:rPr>
          <w:rFonts w:asciiTheme="minorHAnsi" w:hAnsiTheme="minorHAnsi" w:cstheme="minorHAnsi"/>
          <w:lang w:val="de-DE"/>
        </w:rPr>
        <w:t>,</w:t>
      </w:r>
      <w:r w:rsidRPr="009F04A0">
        <w:rPr>
          <w:rFonts w:asciiTheme="minorHAnsi" w:hAnsiTheme="minorHAnsi" w:cstheme="minorHAnsi"/>
          <w:lang w:val="de-DE"/>
        </w:rPr>
        <w:t xml:space="preserve"> et al. </w:t>
      </w:r>
      <w:r w:rsidRPr="00BE1C8C">
        <w:rPr>
          <w:rFonts w:asciiTheme="minorHAnsi" w:hAnsiTheme="minorHAnsi" w:cstheme="minorHAnsi"/>
          <w:lang w:val="en-GB"/>
        </w:rPr>
        <w:t xml:space="preserve">Effect of Medical Management on Recurrent Stone Formation Following Percutaneous Nephrolithotomy. </w:t>
      </w:r>
      <w:r w:rsidRPr="00BE1C8C">
        <w:rPr>
          <w:rFonts w:asciiTheme="minorHAnsi" w:hAnsiTheme="minorHAnsi" w:cstheme="minorHAnsi"/>
          <w:lang w:val="fr-BE"/>
        </w:rPr>
        <w:t>Journal of Urology. 2007;177(5):1785-89.</w:t>
      </w:r>
    </w:p>
    <w:p w14:paraId="381D05B5"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Fine JK, Pak CY, Preminger GM. Effect of medical management and residual fragments on recurrent stone formation following shock wave lithotripsy. J Urol. 1995;153(1):27–33.</w:t>
      </w:r>
    </w:p>
    <w:p w14:paraId="4C70D53B" w14:textId="71A2F43B"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Parks JH, Coe FL. Evidence for durable kidney stone prevention over several decades. BJU Int. 2009;103(9):1238–46.</w:t>
      </w:r>
    </w:p>
    <w:p w14:paraId="1FB12887" w14:textId="02468370"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lang w:val="en-GB"/>
        </w:rPr>
        <w:t xml:space="preserve">Parks J, Asplin J, Coe F. Patient adherence to long-term medical treatment of kidney stones. </w:t>
      </w:r>
      <w:r w:rsidRPr="00BE1C8C">
        <w:rPr>
          <w:rFonts w:asciiTheme="minorHAnsi" w:hAnsiTheme="minorHAnsi" w:cstheme="minorHAnsi"/>
          <w:lang w:val="fr-BE"/>
        </w:rPr>
        <w:t>The Journal of Urology. 2001</w:t>
      </w:r>
      <w:r w:rsidR="00D07A0A">
        <w:rPr>
          <w:rFonts w:asciiTheme="minorHAnsi" w:hAnsiTheme="minorHAnsi" w:cstheme="minorHAnsi"/>
          <w:lang w:val="fr-BE"/>
        </w:rPr>
        <w:t> ;166(6)</w:t>
      </w:r>
      <w:r w:rsidRPr="00BE1C8C">
        <w:rPr>
          <w:rFonts w:asciiTheme="minorHAnsi" w:hAnsiTheme="minorHAnsi" w:cstheme="minorHAnsi"/>
          <w:lang w:val="fr-BE"/>
        </w:rPr>
        <w:t>:2057-60</w:t>
      </w:r>
      <w:r w:rsidR="00D07A0A">
        <w:rPr>
          <w:rFonts w:asciiTheme="minorHAnsi" w:hAnsiTheme="minorHAnsi" w:cstheme="minorHAnsi"/>
          <w:lang w:val="fr-BE"/>
        </w:rPr>
        <w:t>.</w:t>
      </w:r>
    </w:p>
    <w:p w14:paraId="6A6C92B1"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Hsi RS, Stoller ML. A Spectrum: Nephrocalcinosis-Nephrolithiasis. Journal of urology. 2015;194(5):1188-9.</w:t>
      </w:r>
    </w:p>
    <w:p w14:paraId="62446D5C"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lang w:val="nl-BE"/>
        </w:rPr>
        <w:t xml:space="preserve">Shavit L, Jaeger P, Unwin RJ. </w:t>
      </w:r>
      <w:r w:rsidRPr="00BE1C8C">
        <w:rPr>
          <w:rFonts w:asciiTheme="minorHAnsi" w:hAnsiTheme="minorHAnsi" w:cstheme="minorHAnsi"/>
        </w:rPr>
        <w:t>What Is Nephrocalcinosis? Kidney international. 2015;88(1):35-43.</w:t>
      </w:r>
    </w:p>
    <w:p w14:paraId="76245330" w14:textId="77777777"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9F04A0">
        <w:rPr>
          <w:rFonts w:asciiTheme="minorHAnsi" w:hAnsiTheme="minorHAnsi" w:cstheme="minorHAnsi"/>
          <w:lang w:val="de-DE"/>
        </w:rPr>
        <w:t xml:space="preserve">Oliveira B, Kleta R, Bockenhauer D, Walsh SB. </w:t>
      </w:r>
      <w:r w:rsidRPr="00BE1C8C">
        <w:rPr>
          <w:rFonts w:asciiTheme="minorHAnsi" w:hAnsiTheme="minorHAnsi" w:cstheme="minorHAnsi"/>
        </w:rPr>
        <w:t>Genetic, pathophysiological, and clinical aspects of nephrocalcinosis. American journal of physiology. 2016;311(6):1243-52.</w:t>
      </w:r>
    </w:p>
    <w:p w14:paraId="6DECE705" w14:textId="2D26717E"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rPr>
        <w:t>Kittanamongkolchai W, Vaughan L, Enders F, Dhondup T, Mehta R, Krambeck A</w:t>
      </w:r>
      <w:r w:rsidR="00D07A0A">
        <w:rPr>
          <w:rFonts w:asciiTheme="minorHAnsi" w:hAnsiTheme="minorHAnsi" w:cstheme="minorHAnsi"/>
        </w:rPr>
        <w:t>,</w:t>
      </w:r>
      <w:r w:rsidRPr="00BE1C8C">
        <w:rPr>
          <w:rFonts w:asciiTheme="minorHAnsi" w:hAnsiTheme="minorHAnsi" w:cstheme="minorHAnsi"/>
        </w:rPr>
        <w:t xml:space="preserve"> et al. The Changing Incidence and Presentation of Urinary Stones Over 3 Decades. Mayo Clinic Proceedings. 2018;93(3):291-9.</w:t>
      </w:r>
    </w:p>
    <w:p w14:paraId="34679EF5" w14:textId="36DCB163" w:rsidR="00775247" w:rsidRPr="00BE1C8C" w:rsidRDefault="00775247" w:rsidP="00CC6FA2">
      <w:pPr>
        <w:pStyle w:val="EndNoteBibliography"/>
        <w:numPr>
          <w:ilvl w:val="0"/>
          <w:numId w:val="10"/>
        </w:numPr>
        <w:spacing w:after="0" w:line="360" w:lineRule="auto"/>
        <w:jc w:val="both"/>
        <w:rPr>
          <w:rFonts w:asciiTheme="minorHAnsi" w:hAnsiTheme="minorHAnsi" w:cstheme="minorHAnsi"/>
        </w:rPr>
      </w:pPr>
      <w:r w:rsidRPr="00BE1C8C">
        <w:rPr>
          <w:rFonts w:asciiTheme="minorHAnsi" w:hAnsiTheme="minorHAnsi" w:cstheme="minorHAnsi"/>
          <w:lang w:val="fr-BE"/>
        </w:rPr>
        <w:t>Daudon M, Hennequin C, Lacour B, Le Moel G, Donsimoni R, Fellahi S</w:t>
      </w:r>
      <w:r w:rsidR="00D07A0A">
        <w:rPr>
          <w:rFonts w:asciiTheme="minorHAnsi" w:hAnsiTheme="minorHAnsi" w:cstheme="minorHAnsi"/>
          <w:lang w:val="fr-BE"/>
        </w:rPr>
        <w:t>,</w:t>
      </w:r>
      <w:r w:rsidRPr="00BE1C8C">
        <w:rPr>
          <w:rFonts w:asciiTheme="minorHAnsi" w:hAnsiTheme="minorHAnsi" w:cstheme="minorHAnsi"/>
          <w:lang w:val="fr-BE"/>
        </w:rPr>
        <w:t xml:space="preserve"> et al. </w:t>
      </w:r>
      <w:r w:rsidRPr="00BE1C8C">
        <w:rPr>
          <w:rFonts w:asciiTheme="minorHAnsi" w:hAnsiTheme="minorHAnsi" w:cstheme="minorHAnsi"/>
        </w:rPr>
        <w:t>Sex- and age-related composition of 10 617 calculi analyzed by infrared spectroscopy. Urological Research. 1995;23(5):319-26.</w:t>
      </w:r>
    </w:p>
    <w:p w14:paraId="0649E577" w14:textId="4B8DE8CC" w:rsidR="00775247" w:rsidRPr="00BE1C8C" w:rsidRDefault="00775247" w:rsidP="00CC6FA2">
      <w:pPr>
        <w:pStyle w:val="EndNoteBibliography"/>
        <w:numPr>
          <w:ilvl w:val="0"/>
          <w:numId w:val="10"/>
        </w:numPr>
        <w:spacing w:after="0" w:line="360" w:lineRule="auto"/>
        <w:jc w:val="both"/>
        <w:rPr>
          <w:rFonts w:asciiTheme="minorHAnsi" w:hAnsiTheme="minorHAnsi" w:cstheme="minorHAnsi"/>
          <w:lang w:val="en-GB"/>
        </w:rPr>
      </w:pPr>
      <w:r w:rsidRPr="00BE1C8C">
        <w:rPr>
          <w:rFonts w:asciiTheme="minorHAnsi" w:hAnsiTheme="minorHAnsi" w:cstheme="minorHAnsi"/>
          <w:lang w:val="fr-BE"/>
        </w:rPr>
        <w:t>Scales C, Curtis L, Norris R, Springhart W, Sur R, Schulman K</w:t>
      </w:r>
      <w:r w:rsidR="00D07A0A">
        <w:rPr>
          <w:rFonts w:asciiTheme="minorHAnsi" w:hAnsiTheme="minorHAnsi" w:cstheme="minorHAnsi"/>
          <w:lang w:val="fr-BE"/>
        </w:rPr>
        <w:t>,</w:t>
      </w:r>
      <w:r w:rsidRPr="00BE1C8C">
        <w:rPr>
          <w:rFonts w:asciiTheme="minorHAnsi" w:hAnsiTheme="minorHAnsi" w:cstheme="minorHAnsi"/>
          <w:lang w:val="fr-BE"/>
        </w:rPr>
        <w:t xml:space="preserve"> et al. </w:t>
      </w:r>
      <w:r w:rsidRPr="00BE1C8C">
        <w:rPr>
          <w:rFonts w:asciiTheme="minorHAnsi" w:hAnsiTheme="minorHAnsi" w:cstheme="minorHAnsi"/>
          <w:lang w:val="en-GB"/>
        </w:rPr>
        <w:t>Changing Gender Prevalence of Stone Disease. Journal of Urology. 2007;177(3):979-82.</w:t>
      </w:r>
    </w:p>
    <w:p w14:paraId="5BF4AC25" w14:textId="1E28BF0A" w:rsidR="00775247" w:rsidRPr="00BE1C8C" w:rsidRDefault="00775247" w:rsidP="00CC6FA2">
      <w:pPr>
        <w:pStyle w:val="EndNoteBibliography"/>
        <w:numPr>
          <w:ilvl w:val="0"/>
          <w:numId w:val="10"/>
        </w:numPr>
        <w:spacing w:after="0" w:line="360" w:lineRule="auto"/>
        <w:jc w:val="both"/>
        <w:rPr>
          <w:rFonts w:asciiTheme="minorHAnsi" w:hAnsiTheme="minorHAnsi" w:cstheme="minorHAnsi"/>
          <w:lang w:val="en-GB"/>
        </w:rPr>
      </w:pPr>
      <w:r w:rsidRPr="00BE1C8C">
        <w:rPr>
          <w:rFonts w:asciiTheme="minorHAnsi" w:hAnsiTheme="minorHAnsi" w:cstheme="minorHAnsi"/>
          <w:lang w:val="fr-BE"/>
        </w:rPr>
        <w:t>Castiglione V, Jouret F, Bruyère O, Dubois B, Thomas A, Waltregny D</w:t>
      </w:r>
      <w:r w:rsidR="00D07A0A">
        <w:rPr>
          <w:rFonts w:asciiTheme="minorHAnsi" w:hAnsiTheme="minorHAnsi" w:cstheme="minorHAnsi"/>
          <w:lang w:val="fr-BE"/>
        </w:rPr>
        <w:t>,</w:t>
      </w:r>
      <w:r w:rsidRPr="00BE1C8C">
        <w:rPr>
          <w:rFonts w:asciiTheme="minorHAnsi" w:hAnsiTheme="minorHAnsi" w:cstheme="minorHAnsi"/>
          <w:lang w:val="fr-BE"/>
        </w:rPr>
        <w:t xml:space="preserve"> et al. Épidémiologie de la lithiase urinaire en Belgique sur base d’une classification morpho-constitutionnelle. </w:t>
      </w:r>
      <w:r w:rsidRPr="00BE1C8C">
        <w:rPr>
          <w:rFonts w:asciiTheme="minorHAnsi" w:hAnsiTheme="minorHAnsi" w:cstheme="minorHAnsi"/>
          <w:lang w:val="en-GB"/>
        </w:rPr>
        <w:t>Néphrologie &amp; Thérapeutique. 2015;11(1):42-49.</w:t>
      </w:r>
    </w:p>
    <w:p w14:paraId="547CDDD5" w14:textId="368F83AD" w:rsidR="00775247" w:rsidRPr="00BE1C8C" w:rsidRDefault="00775247" w:rsidP="00CC6FA2">
      <w:pPr>
        <w:pStyle w:val="EndNoteBibliography"/>
        <w:numPr>
          <w:ilvl w:val="0"/>
          <w:numId w:val="10"/>
        </w:numPr>
        <w:spacing w:after="0" w:line="360" w:lineRule="auto"/>
        <w:jc w:val="both"/>
        <w:rPr>
          <w:rFonts w:asciiTheme="minorHAnsi" w:hAnsiTheme="minorHAnsi" w:cstheme="minorHAnsi"/>
          <w:lang w:val="fr-BE"/>
        </w:rPr>
      </w:pPr>
      <w:r w:rsidRPr="00BE1C8C">
        <w:rPr>
          <w:rFonts w:asciiTheme="minorHAnsi" w:hAnsiTheme="minorHAnsi" w:cstheme="minorHAnsi"/>
          <w:lang w:val="en-GB"/>
        </w:rPr>
        <w:lastRenderedPageBreak/>
        <w:t xml:space="preserve">Obligado S, Goldfarb D. The Association of Nephrolithiasis With Hypertension and Obesity: A Review. </w:t>
      </w:r>
      <w:r w:rsidRPr="00BE1C8C">
        <w:rPr>
          <w:rFonts w:asciiTheme="minorHAnsi" w:hAnsiTheme="minorHAnsi" w:cstheme="minorHAnsi"/>
          <w:lang w:val="fr-BE"/>
        </w:rPr>
        <w:t>American Journal of Hypertension. 2008;21(3):257-264.</w:t>
      </w:r>
    </w:p>
    <w:p w14:paraId="3ABB4DE1" w14:textId="4645D1AA" w:rsidR="00FE5E69" w:rsidRPr="00BE1C8C" w:rsidRDefault="00FE5E69" w:rsidP="00CC6FA2">
      <w:pPr>
        <w:pStyle w:val="EndNoteBibliography"/>
        <w:numPr>
          <w:ilvl w:val="0"/>
          <w:numId w:val="10"/>
        </w:numPr>
        <w:spacing w:after="0" w:line="360" w:lineRule="auto"/>
        <w:jc w:val="both"/>
        <w:rPr>
          <w:rFonts w:asciiTheme="minorHAnsi" w:hAnsiTheme="minorHAnsi" w:cstheme="minorHAnsi"/>
          <w:lang w:val="fr-BE"/>
        </w:rPr>
      </w:pPr>
      <w:r w:rsidRPr="008466AE">
        <w:rPr>
          <w:rFonts w:asciiTheme="minorHAnsi" w:hAnsiTheme="minorHAnsi" w:cstheme="minorHAnsi"/>
          <w:lang w:val="en-GB"/>
        </w:rPr>
        <w:t xml:space="preserve">Daudon M, Jungers P, Traxer O. Lithiase urinaire. 2nd ed. </w:t>
      </w:r>
      <w:r w:rsidRPr="00BE1C8C">
        <w:rPr>
          <w:rFonts w:asciiTheme="minorHAnsi" w:hAnsiTheme="minorHAnsi" w:cstheme="minorHAnsi"/>
          <w:lang w:val="fr-BE"/>
        </w:rPr>
        <w:t>Paris: Médecine sciences publications-[Lavoisier]; 2012.</w:t>
      </w:r>
    </w:p>
    <w:p w14:paraId="00787CA2" w14:textId="258A0A03" w:rsidR="00013F8C" w:rsidRPr="00BE1C8C" w:rsidRDefault="00013F8C" w:rsidP="00CC6FA2">
      <w:pPr>
        <w:pStyle w:val="EndNoteBibliography"/>
        <w:numPr>
          <w:ilvl w:val="0"/>
          <w:numId w:val="10"/>
        </w:numPr>
        <w:spacing w:after="0" w:line="360" w:lineRule="auto"/>
        <w:jc w:val="both"/>
        <w:rPr>
          <w:rFonts w:asciiTheme="minorHAnsi" w:hAnsiTheme="minorHAnsi" w:cstheme="minorHAnsi"/>
          <w:lang w:val="fr-BE"/>
        </w:rPr>
      </w:pPr>
      <w:r w:rsidRPr="00BE1C8C">
        <w:rPr>
          <w:rFonts w:asciiTheme="minorHAnsi" w:hAnsiTheme="minorHAnsi" w:cstheme="minorHAnsi"/>
          <w:lang w:val="en-GB"/>
        </w:rPr>
        <w:t xml:space="preserve">Harvey JA, Hill KD, Pak CY. Similarity of urinary risk factors among stone-forming patients in five regions of the United States. </w:t>
      </w:r>
      <w:r w:rsidRPr="00BE1C8C">
        <w:rPr>
          <w:rFonts w:asciiTheme="minorHAnsi" w:hAnsiTheme="minorHAnsi" w:cstheme="minorHAnsi"/>
          <w:lang w:val="fr-BE"/>
        </w:rPr>
        <w:t xml:space="preserve">J Lithotr Stone Dis. 1990 Apr;2(2):124-32. </w:t>
      </w:r>
    </w:p>
    <w:p w14:paraId="2951FA44" w14:textId="5C5C75CD" w:rsidR="00013F8C" w:rsidRPr="00BE1C8C" w:rsidRDefault="00013F8C" w:rsidP="00CC6FA2">
      <w:pPr>
        <w:pStyle w:val="EndNoteBibliography"/>
        <w:numPr>
          <w:ilvl w:val="0"/>
          <w:numId w:val="10"/>
        </w:numPr>
        <w:spacing w:after="0" w:line="360" w:lineRule="auto"/>
        <w:jc w:val="both"/>
        <w:rPr>
          <w:rFonts w:asciiTheme="minorHAnsi" w:hAnsiTheme="minorHAnsi" w:cstheme="minorHAnsi"/>
          <w:lang w:val="fr-BE"/>
        </w:rPr>
      </w:pPr>
      <w:r w:rsidRPr="00BE1C8C">
        <w:rPr>
          <w:rFonts w:asciiTheme="minorHAnsi" w:hAnsiTheme="minorHAnsi" w:cstheme="minorHAnsi"/>
          <w:lang w:val="en-GB"/>
        </w:rPr>
        <w:t xml:space="preserve">Eisner BH, Sheth S, Dretler SP, Herrick B, Pais VM Jr. Abnormalities of 24-hour urine composition in first-time and recurrent stone-formers. </w:t>
      </w:r>
      <w:r w:rsidRPr="00BE1C8C">
        <w:rPr>
          <w:rFonts w:asciiTheme="minorHAnsi" w:hAnsiTheme="minorHAnsi" w:cstheme="minorHAnsi"/>
          <w:lang w:val="fr-BE"/>
        </w:rPr>
        <w:t xml:space="preserve">Urology. 2012 Oct;80(4):776-9. </w:t>
      </w:r>
    </w:p>
    <w:p w14:paraId="48FACB03" w14:textId="6220309B" w:rsidR="00013F8C" w:rsidRPr="00BE1C8C" w:rsidRDefault="00013F8C" w:rsidP="00CC6FA2">
      <w:pPr>
        <w:pStyle w:val="EndNoteBibliography"/>
        <w:numPr>
          <w:ilvl w:val="0"/>
          <w:numId w:val="10"/>
        </w:numPr>
        <w:spacing w:after="0" w:line="360" w:lineRule="auto"/>
        <w:jc w:val="both"/>
        <w:rPr>
          <w:rFonts w:asciiTheme="minorHAnsi" w:hAnsiTheme="minorHAnsi" w:cstheme="minorHAnsi"/>
          <w:lang w:val="fr-BE"/>
        </w:rPr>
      </w:pPr>
      <w:r w:rsidRPr="00BE1C8C">
        <w:rPr>
          <w:rFonts w:asciiTheme="minorHAnsi" w:hAnsiTheme="minorHAnsi" w:cstheme="minorHAnsi"/>
          <w:lang w:val="fr-BE"/>
        </w:rPr>
        <w:t xml:space="preserve">Spradling K, Vernez SL, Khoyliar C, Morgan JB, Okhunov Z, Preminger GM, Lipkin ME, Landman J, Youssef RF. </w:t>
      </w:r>
      <w:r w:rsidRPr="00BE1C8C">
        <w:rPr>
          <w:rFonts w:asciiTheme="minorHAnsi" w:hAnsiTheme="minorHAnsi" w:cstheme="minorHAnsi"/>
          <w:lang w:val="en-GB"/>
        </w:rPr>
        <w:t xml:space="preserve">Prevalence of Hyperoxaluria in Urinary Stone Formers: Chronological and Geographical Trends and a Literature Review. </w:t>
      </w:r>
      <w:r w:rsidRPr="00BE1C8C">
        <w:rPr>
          <w:rFonts w:asciiTheme="minorHAnsi" w:hAnsiTheme="minorHAnsi" w:cstheme="minorHAnsi"/>
          <w:lang w:val="fr-BE"/>
        </w:rPr>
        <w:t xml:space="preserve">J Endourol. 2016 Apr;30(4):469-75. </w:t>
      </w:r>
    </w:p>
    <w:p w14:paraId="584AFBEE" w14:textId="07F5A32C" w:rsidR="00013F8C" w:rsidRPr="00BE1C8C" w:rsidRDefault="00013F8C" w:rsidP="00CC6FA2">
      <w:pPr>
        <w:pStyle w:val="EndNoteBibliography"/>
        <w:numPr>
          <w:ilvl w:val="0"/>
          <w:numId w:val="10"/>
        </w:numPr>
        <w:spacing w:after="0" w:line="360" w:lineRule="auto"/>
        <w:jc w:val="both"/>
        <w:rPr>
          <w:rFonts w:asciiTheme="minorHAnsi" w:hAnsiTheme="minorHAnsi" w:cstheme="minorHAnsi"/>
          <w:lang w:val="fr-BE"/>
        </w:rPr>
      </w:pPr>
      <w:r w:rsidRPr="009F04A0">
        <w:rPr>
          <w:rFonts w:asciiTheme="minorHAnsi" w:hAnsiTheme="minorHAnsi" w:cstheme="minorHAnsi"/>
          <w:lang w:val="de-DE"/>
        </w:rPr>
        <w:t xml:space="preserve">Curhan GC, Willett WC, Speizer FE, Stampfer MJ. </w:t>
      </w:r>
      <w:r w:rsidRPr="00BE1C8C">
        <w:rPr>
          <w:rFonts w:asciiTheme="minorHAnsi" w:hAnsiTheme="minorHAnsi" w:cstheme="minorHAnsi"/>
          <w:lang w:val="en-GB"/>
        </w:rPr>
        <w:t xml:space="preserve">Twenty-four-hour urine chemistries and the risk of kidney stones among women and men. </w:t>
      </w:r>
      <w:r w:rsidRPr="00BE1C8C">
        <w:rPr>
          <w:rFonts w:asciiTheme="minorHAnsi" w:hAnsiTheme="minorHAnsi" w:cstheme="minorHAnsi"/>
          <w:lang w:val="fr-BE"/>
        </w:rPr>
        <w:t xml:space="preserve">Kidney Int. 2001 Jun;59(6):2290-8. </w:t>
      </w:r>
    </w:p>
    <w:p w14:paraId="42C555DF" w14:textId="15FE48F2" w:rsidR="0097192F" w:rsidRPr="00BE1C8C" w:rsidRDefault="00775247" w:rsidP="00CC6FA2">
      <w:pPr>
        <w:pStyle w:val="EndNoteBibliography"/>
        <w:numPr>
          <w:ilvl w:val="0"/>
          <w:numId w:val="10"/>
        </w:numPr>
        <w:spacing w:after="0" w:line="360" w:lineRule="auto"/>
        <w:jc w:val="both"/>
        <w:rPr>
          <w:rFonts w:asciiTheme="minorHAnsi" w:hAnsiTheme="minorHAnsi" w:cstheme="minorHAnsi"/>
          <w:lang w:val="fr-BE"/>
        </w:rPr>
      </w:pPr>
      <w:r w:rsidRPr="00BE1C8C">
        <w:rPr>
          <w:rFonts w:asciiTheme="minorHAnsi" w:hAnsiTheme="minorHAnsi" w:cstheme="minorHAnsi"/>
          <w:lang w:val="fr-BE"/>
        </w:rPr>
        <w:t xml:space="preserve">Lingeman J, Mardis H, Kahnoski R, Goldfarb DS, Lacy S, Grasso M, Scheinman SJ, Parks JH, Asplin JR, Coe FL. </w:t>
      </w:r>
      <w:r w:rsidRPr="00BE1C8C">
        <w:rPr>
          <w:rFonts w:asciiTheme="minorHAnsi" w:hAnsiTheme="minorHAnsi" w:cstheme="minorHAnsi"/>
          <w:lang w:val="en-GB"/>
        </w:rPr>
        <w:t xml:space="preserve">Medical reduction of stone risk in a network of treatment centers compared to a research clinic. </w:t>
      </w:r>
      <w:r w:rsidRPr="00BE1C8C">
        <w:rPr>
          <w:rFonts w:asciiTheme="minorHAnsi" w:hAnsiTheme="minorHAnsi" w:cstheme="minorHAnsi"/>
          <w:lang w:val="fr-BE"/>
        </w:rPr>
        <w:t xml:space="preserve">J Urol. 1998 Nov;160(5):1629-34. </w:t>
      </w:r>
    </w:p>
    <w:bookmarkEnd w:id="123"/>
    <w:p w14:paraId="24144B2F" w14:textId="553478F4" w:rsidR="001B324E" w:rsidRDefault="001B324E" w:rsidP="00C27A37">
      <w:pPr>
        <w:pStyle w:val="EndNoteBibliography"/>
        <w:spacing w:after="0" w:line="360" w:lineRule="auto"/>
        <w:jc w:val="both"/>
        <w:rPr>
          <w:rFonts w:asciiTheme="minorHAnsi" w:hAnsiTheme="minorHAnsi" w:cstheme="minorHAnsi"/>
          <w:lang w:val="en-GB"/>
        </w:rPr>
      </w:pPr>
    </w:p>
    <w:p w14:paraId="59111A9B" w14:textId="003690B7" w:rsidR="00C27A37" w:rsidRDefault="00C27A37" w:rsidP="00C27A37">
      <w:pPr>
        <w:pStyle w:val="EndNoteBibliography"/>
        <w:spacing w:after="0" w:line="360" w:lineRule="auto"/>
        <w:jc w:val="both"/>
        <w:rPr>
          <w:rFonts w:asciiTheme="minorHAnsi" w:hAnsiTheme="minorHAnsi" w:cstheme="minorHAnsi"/>
          <w:lang w:val="en-GB"/>
        </w:rPr>
      </w:pPr>
    </w:p>
    <w:p w14:paraId="485A7F3E" w14:textId="52D0414B" w:rsidR="00C27A37" w:rsidRDefault="00C27A37" w:rsidP="00C27A37">
      <w:pPr>
        <w:pStyle w:val="EndNoteBibliography"/>
        <w:spacing w:after="0" w:line="360" w:lineRule="auto"/>
        <w:jc w:val="both"/>
        <w:rPr>
          <w:rFonts w:asciiTheme="minorHAnsi" w:hAnsiTheme="minorHAnsi" w:cstheme="minorHAnsi"/>
          <w:lang w:val="en-GB"/>
        </w:rPr>
      </w:pPr>
    </w:p>
    <w:p w14:paraId="1A65C552" w14:textId="16C41A96" w:rsidR="00C27A37" w:rsidRDefault="00C27A37" w:rsidP="00C27A37">
      <w:pPr>
        <w:pStyle w:val="EndNoteBibliography"/>
        <w:spacing w:after="0" w:line="360" w:lineRule="auto"/>
        <w:jc w:val="both"/>
        <w:rPr>
          <w:rFonts w:asciiTheme="minorHAnsi" w:hAnsiTheme="minorHAnsi" w:cstheme="minorHAnsi"/>
          <w:lang w:val="en-GB"/>
        </w:rPr>
      </w:pPr>
    </w:p>
    <w:p w14:paraId="7C3CB6AB" w14:textId="0113E8C2" w:rsidR="00540A95" w:rsidRDefault="00540A95" w:rsidP="00C27A37">
      <w:pPr>
        <w:pStyle w:val="EndNoteBibliography"/>
        <w:spacing w:after="0" w:line="360" w:lineRule="auto"/>
        <w:jc w:val="both"/>
        <w:rPr>
          <w:rFonts w:asciiTheme="minorHAnsi" w:hAnsiTheme="minorHAnsi" w:cstheme="minorHAnsi"/>
          <w:lang w:val="en-GB"/>
        </w:rPr>
      </w:pPr>
    </w:p>
    <w:p w14:paraId="73D502DC" w14:textId="4DDBAE74" w:rsidR="00540A95" w:rsidRDefault="00540A95" w:rsidP="00C27A37">
      <w:pPr>
        <w:pStyle w:val="EndNoteBibliography"/>
        <w:spacing w:after="0" w:line="360" w:lineRule="auto"/>
        <w:jc w:val="both"/>
        <w:rPr>
          <w:rFonts w:asciiTheme="minorHAnsi" w:hAnsiTheme="minorHAnsi" w:cstheme="minorHAnsi"/>
          <w:lang w:val="en-GB"/>
        </w:rPr>
      </w:pPr>
    </w:p>
    <w:p w14:paraId="22374369" w14:textId="77777777" w:rsidR="00540A95" w:rsidRDefault="00540A95" w:rsidP="00937A50">
      <w:pPr>
        <w:rPr>
          <w:lang w:val="en-GB"/>
        </w:rPr>
        <w:sectPr w:rsidR="00540A95" w:rsidSect="006E52B4">
          <w:headerReference w:type="default" r:id="rId14"/>
          <w:footerReference w:type="default" r:id="rId15"/>
          <w:pgSz w:w="11906" w:h="16838"/>
          <w:pgMar w:top="1418" w:right="1418" w:bottom="1418" w:left="1418" w:header="567" w:footer="0" w:gutter="0"/>
          <w:pgNumType w:start="40"/>
          <w:cols w:space="708"/>
          <w:docGrid w:linePitch="360"/>
        </w:sectPr>
      </w:pPr>
    </w:p>
    <w:p w14:paraId="34AE14F3" w14:textId="36FE6C61" w:rsidR="00C27A37" w:rsidRDefault="00E766C2" w:rsidP="00C27A37">
      <w:pPr>
        <w:pStyle w:val="Kop1"/>
        <w:rPr>
          <w:lang w:val="en-GB"/>
        </w:rPr>
      </w:pPr>
      <w:bookmarkStart w:id="124" w:name="_Toc70238577"/>
      <w:r>
        <w:rPr>
          <w:lang w:val="en-GB"/>
        </w:rPr>
        <w:lastRenderedPageBreak/>
        <w:t xml:space="preserve">ATTACHMENT </w:t>
      </w:r>
      <w:r w:rsidR="00B4275C">
        <w:rPr>
          <w:lang w:val="en-GB"/>
        </w:rPr>
        <w:t>1</w:t>
      </w:r>
      <w:r w:rsidR="00C27A37">
        <w:rPr>
          <w:lang w:val="en-GB"/>
        </w:rPr>
        <w:t xml:space="preserve">: </w:t>
      </w:r>
      <w:r w:rsidR="00B4275C" w:rsidRPr="00B4275C">
        <w:rPr>
          <w:u w:val="none"/>
          <w:lang w:val="en-GB"/>
        </w:rPr>
        <w:t>stone compositions according to the European Renal Stone Network Survey</w:t>
      </w:r>
      <w:bookmarkEnd w:id="124"/>
    </w:p>
    <w:p w14:paraId="526C8C2A" w14:textId="77777777" w:rsidR="005769F3" w:rsidRDefault="00C27A37" w:rsidP="005769F3">
      <w:pPr>
        <w:rPr>
          <w:lang w:val="en-GB"/>
        </w:rPr>
      </w:pPr>
      <w:r w:rsidRPr="00B4275C">
        <w:rPr>
          <w:noProof/>
          <w:lang w:val="en-GB" w:eastAsia="en-GB"/>
        </w:rPr>
        <w:drawing>
          <wp:inline distT="0" distB="0" distL="0" distR="0" wp14:anchorId="1FEFF9AD" wp14:editId="28D21981">
            <wp:extent cx="5082363" cy="1425196"/>
            <wp:effectExtent l="0" t="0" r="4445" b="381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rotWithShape="1">
                    <a:blip r:embed="rId16">
                      <a:extLst>
                        <a:ext uri="{28A0092B-C50C-407E-A947-70E740481C1C}">
                          <a14:useLocalDpi xmlns:a14="http://schemas.microsoft.com/office/drawing/2010/main" val="0"/>
                        </a:ext>
                      </a:extLst>
                    </a:blip>
                    <a:srcRect t="40640" b="10630"/>
                    <a:stretch/>
                  </pic:blipFill>
                  <pic:spPr bwMode="auto">
                    <a:xfrm>
                      <a:off x="0" y="0"/>
                      <a:ext cx="5105725" cy="1431747"/>
                    </a:xfrm>
                    <a:prstGeom prst="rect">
                      <a:avLst/>
                    </a:prstGeom>
                    <a:ln>
                      <a:noFill/>
                    </a:ln>
                    <a:extLst>
                      <a:ext uri="{53640926-AAD7-44D8-BBD7-CCE9431645EC}">
                        <a14:shadowObscured xmlns:a14="http://schemas.microsoft.com/office/drawing/2010/main"/>
                      </a:ext>
                    </a:extLst>
                  </pic:spPr>
                </pic:pic>
              </a:graphicData>
            </a:graphic>
          </wp:inline>
        </w:drawing>
      </w:r>
      <w:r w:rsidR="00B4275C" w:rsidRPr="00B4275C">
        <w:rPr>
          <w:lang w:val="en-GB"/>
        </w:rPr>
        <w:t xml:space="preserve"> </w:t>
      </w:r>
    </w:p>
    <w:p w14:paraId="6EDD8CD3" w14:textId="6246D52A" w:rsidR="00B4275C" w:rsidRPr="00C27A37" w:rsidRDefault="00E766C2" w:rsidP="005769F3">
      <w:pPr>
        <w:pStyle w:val="Kop1"/>
        <w:rPr>
          <w:lang w:val="en-GB"/>
        </w:rPr>
      </w:pPr>
      <w:bookmarkStart w:id="125" w:name="_Toc70238578"/>
      <w:r>
        <w:rPr>
          <w:lang w:val="en-GB"/>
        </w:rPr>
        <w:t xml:space="preserve">ATTACHMENT </w:t>
      </w:r>
      <w:r w:rsidR="00B4275C">
        <w:rPr>
          <w:lang w:val="en-GB"/>
        </w:rPr>
        <w:t xml:space="preserve">2: </w:t>
      </w:r>
      <w:r w:rsidR="00B4275C" w:rsidRPr="00C27A37">
        <w:rPr>
          <w:lang w:val="en-GB"/>
        </w:rPr>
        <w:t>ICH GCP certificate</w:t>
      </w:r>
      <w:bookmarkEnd w:id="125"/>
    </w:p>
    <w:p w14:paraId="44707310" w14:textId="77777777" w:rsidR="00B4275C" w:rsidRDefault="00B4275C" w:rsidP="00B4275C">
      <w:pPr>
        <w:pStyle w:val="EndNoteBibliography"/>
        <w:spacing w:after="0" w:line="360" w:lineRule="auto"/>
        <w:jc w:val="both"/>
        <w:rPr>
          <w:rFonts w:asciiTheme="minorHAnsi" w:hAnsiTheme="minorHAnsi" w:cstheme="minorHAnsi"/>
          <w:lang w:val="en-GB"/>
        </w:rPr>
      </w:pPr>
    </w:p>
    <w:p w14:paraId="28FB02C2" w14:textId="77777777" w:rsidR="00B4275C" w:rsidRDefault="00B4275C" w:rsidP="00B4275C">
      <w:pPr>
        <w:pStyle w:val="EndNoteBibliography"/>
        <w:spacing w:after="0" w:line="360" w:lineRule="auto"/>
        <w:jc w:val="both"/>
        <w:rPr>
          <w:rFonts w:asciiTheme="minorHAnsi" w:hAnsiTheme="minorHAnsi" w:cstheme="minorHAnsi"/>
          <w:lang w:val="en-GB"/>
        </w:rPr>
      </w:pPr>
      <w:r>
        <w:rPr>
          <w:rFonts w:asciiTheme="minorHAnsi" w:hAnsiTheme="minorHAnsi" w:cstheme="minorHAnsi"/>
          <w:lang w:val="en-GB" w:eastAsia="en-GB"/>
        </w:rPr>
        <w:drawing>
          <wp:inline distT="0" distB="0" distL="0" distR="0" wp14:anchorId="5E602A79" wp14:editId="41FCB788">
            <wp:extent cx="3393343" cy="5685183"/>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7">
                      <a:extLst>
                        <a:ext uri="{28A0092B-C50C-407E-A947-70E740481C1C}">
                          <a14:useLocalDpi xmlns:a14="http://schemas.microsoft.com/office/drawing/2010/main" val="0"/>
                        </a:ext>
                      </a:extLst>
                    </a:blip>
                    <a:srcRect r="1391"/>
                    <a:stretch/>
                  </pic:blipFill>
                  <pic:spPr bwMode="auto">
                    <a:xfrm>
                      <a:off x="0" y="0"/>
                      <a:ext cx="3402868" cy="5701140"/>
                    </a:xfrm>
                    <a:prstGeom prst="rect">
                      <a:avLst/>
                    </a:prstGeom>
                    <a:ln>
                      <a:noFill/>
                    </a:ln>
                    <a:extLst>
                      <a:ext uri="{53640926-AAD7-44D8-BBD7-CCE9431645EC}">
                        <a14:shadowObscured xmlns:a14="http://schemas.microsoft.com/office/drawing/2010/main"/>
                      </a:ext>
                    </a:extLst>
                  </pic:spPr>
                </pic:pic>
              </a:graphicData>
            </a:graphic>
          </wp:inline>
        </w:drawing>
      </w:r>
    </w:p>
    <w:p w14:paraId="26C5B1DF" w14:textId="7702E251" w:rsidR="00B4275C" w:rsidRPr="00B4275C" w:rsidRDefault="00B4275C" w:rsidP="00B4275C">
      <w:pPr>
        <w:pStyle w:val="Kop1"/>
        <w:rPr>
          <w:u w:val="none"/>
          <w:lang w:val="en-GB"/>
        </w:rPr>
      </w:pPr>
      <w:bookmarkStart w:id="126" w:name="_Toc70238579"/>
      <w:r>
        <w:rPr>
          <w:noProof/>
          <w:lang w:val="en-GB" w:eastAsia="en-GB"/>
        </w:rPr>
        <w:lastRenderedPageBreak/>
        <w:drawing>
          <wp:anchor distT="0" distB="0" distL="114300" distR="114300" simplePos="0" relativeHeight="251659264" behindDoc="0" locked="0" layoutInCell="1" allowOverlap="1" wp14:anchorId="782B69A5" wp14:editId="3480CE49">
            <wp:simplePos x="0" y="0"/>
            <wp:positionH relativeFrom="margin">
              <wp:align>left</wp:align>
            </wp:positionH>
            <wp:positionV relativeFrom="paragraph">
              <wp:posOffset>309908</wp:posOffset>
            </wp:positionV>
            <wp:extent cx="6169660" cy="7386320"/>
            <wp:effectExtent l="0" t="0" r="2540" b="5080"/>
            <wp:wrapSquare wrapText="bothSides"/>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6177165" cy="7395303"/>
                    </a:xfrm>
                    <a:prstGeom prst="rect">
                      <a:avLst/>
                    </a:prstGeom>
                  </pic:spPr>
                </pic:pic>
              </a:graphicData>
            </a:graphic>
            <wp14:sizeRelH relativeFrom="page">
              <wp14:pctWidth>0</wp14:pctWidth>
            </wp14:sizeRelH>
            <wp14:sizeRelV relativeFrom="page">
              <wp14:pctHeight>0</wp14:pctHeight>
            </wp14:sizeRelV>
          </wp:anchor>
        </w:drawing>
      </w:r>
      <w:r w:rsidR="00E766C2">
        <w:rPr>
          <w:lang w:val="en-GB"/>
        </w:rPr>
        <w:t xml:space="preserve">ATTACHMENT </w:t>
      </w:r>
      <w:r>
        <w:rPr>
          <w:lang w:val="en-GB"/>
        </w:rPr>
        <w:t xml:space="preserve">3: </w:t>
      </w:r>
      <w:r w:rsidRPr="00B4275C">
        <w:rPr>
          <w:u w:val="none"/>
          <w:lang w:val="en-GB"/>
        </w:rPr>
        <w:t>approvals of the Ethics committee</w:t>
      </w:r>
      <w:bookmarkEnd w:id="126"/>
    </w:p>
    <w:p w14:paraId="094578FA" w14:textId="77777777" w:rsidR="00B4275C" w:rsidRDefault="00B4275C" w:rsidP="00B4275C">
      <w:pPr>
        <w:rPr>
          <w:lang w:val="en-GB"/>
        </w:rPr>
      </w:pPr>
    </w:p>
    <w:p w14:paraId="493ED4CE" w14:textId="77777777" w:rsidR="00B4275C" w:rsidRDefault="00B4275C" w:rsidP="00B4275C">
      <w:pPr>
        <w:rPr>
          <w:lang w:val="en-GB"/>
        </w:rPr>
      </w:pPr>
    </w:p>
    <w:p w14:paraId="0A76AF57" w14:textId="77777777" w:rsidR="00B4275C" w:rsidRDefault="00B4275C" w:rsidP="00B4275C">
      <w:pPr>
        <w:rPr>
          <w:lang w:val="en-GB"/>
        </w:rPr>
      </w:pPr>
    </w:p>
    <w:p w14:paraId="0631618B" w14:textId="77777777" w:rsidR="00B4275C" w:rsidRDefault="00B4275C" w:rsidP="00B4275C">
      <w:pPr>
        <w:rPr>
          <w:lang w:val="en-GB"/>
        </w:rPr>
      </w:pPr>
    </w:p>
    <w:p w14:paraId="2F77C92B" w14:textId="5C5FD4C9" w:rsidR="00B4275C" w:rsidRDefault="00B4275C" w:rsidP="00B4275C">
      <w:pPr>
        <w:rPr>
          <w:lang w:val="en-GB"/>
        </w:rPr>
      </w:pPr>
      <w:r>
        <w:rPr>
          <w:noProof/>
          <w:lang w:val="en-GB" w:eastAsia="en-GB"/>
        </w:rPr>
        <w:lastRenderedPageBreak/>
        <w:drawing>
          <wp:inline distT="0" distB="0" distL="0" distR="0" wp14:anchorId="4C769D5C" wp14:editId="7D7FC043">
            <wp:extent cx="6146359" cy="7915187"/>
            <wp:effectExtent l="0" t="0" r="6985"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rotWithShape="1">
                    <a:blip r:embed="rId19">
                      <a:extLst>
                        <a:ext uri="{28A0092B-C50C-407E-A947-70E740481C1C}">
                          <a14:useLocalDpi xmlns:a14="http://schemas.microsoft.com/office/drawing/2010/main" val="0"/>
                        </a:ext>
                      </a:extLst>
                    </a:blip>
                    <a:srcRect b="1668"/>
                    <a:stretch/>
                  </pic:blipFill>
                  <pic:spPr bwMode="auto">
                    <a:xfrm>
                      <a:off x="0" y="0"/>
                      <a:ext cx="6149945" cy="7919805"/>
                    </a:xfrm>
                    <a:prstGeom prst="rect">
                      <a:avLst/>
                    </a:prstGeom>
                    <a:ln>
                      <a:noFill/>
                    </a:ln>
                    <a:extLst>
                      <a:ext uri="{53640926-AAD7-44D8-BBD7-CCE9431645EC}">
                        <a14:shadowObscured xmlns:a14="http://schemas.microsoft.com/office/drawing/2010/main"/>
                      </a:ext>
                    </a:extLst>
                  </pic:spPr>
                </pic:pic>
              </a:graphicData>
            </a:graphic>
          </wp:inline>
        </w:drawing>
      </w:r>
    </w:p>
    <w:p w14:paraId="63731090" w14:textId="504F5395" w:rsidR="00E766C2" w:rsidRDefault="00E766C2" w:rsidP="00B4275C">
      <w:pPr>
        <w:rPr>
          <w:lang w:val="en-GB"/>
        </w:rPr>
      </w:pPr>
    </w:p>
    <w:p w14:paraId="0E464ADB" w14:textId="39B2713A" w:rsidR="00E766C2" w:rsidRDefault="00E766C2" w:rsidP="00B4275C">
      <w:pPr>
        <w:rPr>
          <w:lang w:val="en-GB"/>
        </w:rPr>
      </w:pPr>
    </w:p>
    <w:p w14:paraId="675DB044" w14:textId="0F9AF2AA" w:rsidR="00E766C2" w:rsidRPr="00E766C2" w:rsidRDefault="00E766C2" w:rsidP="00E766C2">
      <w:pPr>
        <w:rPr>
          <w:lang w:val="en-GB"/>
        </w:rPr>
      </w:pPr>
    </w:p>
    <w:sectPr w:rsidR="00E766C2" w:rsidRPr="00E766C2" w:rsidSect="006E52B4">
      <w:footerReference w:type="default" r:id="rId20"/>
      <w:pgSz w:w="11906" w:h="16838"/>
      <w:pgMar w:top="1418" w:right="1418" w:bottom="1418" w:left="1418" w:header="567" w:footer="0"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5F21" w14:textId="77777777" w:rsidR="00E90F5A" w:rsidRDefault="00E90F5A">
      <w:pPr>
        <w:spacing w:after="0" w:line="240" w:lineRule="auto"/>
      </w:pPr>
      <w:r>
        <w:separator/>
      </w:r>
    </w:p>
  </w:endnote>
  <w:endnote w:type="continuationSeparator" w:id="0">
    <w:p w14:paraId="56073C87" w14:textId="77777777" w:rsidR="00E90F5A" w:rsidRDefault="00E9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575390"/>
      <w:docPartObj>
        <w:docPartGallery w:val="Page Numbers (Bottom of Page)"/>
        <w:docPartUnique/>
      </w:docPartObj>
    </w:sdtPr>
    <w:sdtEndPr/>
    <w:sdtContent>
      <w:p w14:paraId="55041D85" w14:textId="0A4C2982" w:rsidR="00D21C22" w:rsidRDefault="00E90F5A">
        <w:pPr>
          <w:pStyle w:val="Voettekst"/>
          <w:jc w:val="right"/>
        </w:pPr>
      </w:p>
    </w:sdtContent>
  </w:sdt>
  <w:p w14:paraId="4277F23C" w14:textId="77777777" w:rsidR="00D21C22" w:rsidRDefault="00D21C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377318"/>
      <w:docPartObj>
        <w:docPartGallery w:val="Page Numbers (Bottom of Page)"/>
        <w:docPartUnique/>
      </w:docPartObj>
    </w:sdtPr>
    <w:sdtEndPr/>
    <w:sdtContent>
      <w:p w14:paraId="7862DBBF" w14:textId="228E17B8" w:rsidR="00D21C22" w:rsidRDefault="00D21C22">
        <w:pPr>
          <w:pStyle w:val="Voettekst"/>
          <w:jc w:val="right"/>
        </w:pPr>
        <w:r>
          <w:fldChar w:fldCharType="begin"/>
        </w:r>
        <w:r>
          <w:instrText>PAGE   \* MERGEFORMAT</w:instrText>
        </w:r>
        <w:r>
          <w:fldChar w:fldCharType="separate"/>
        </w:r>
        <w:r w:rsidRPr="002008B3">
          <w:rPr>
            <w:noProof/>
            <w:lang w:val="nl-NL"/>
          </w:rPr>
          <w:t>30</w:t>
        </w:r>
        <w:r>
          <w:fldChar w:fldCharType="end"/>
        </w:r>
      </w:p>
    </w:sdtContent>
  </w:sdt>
  <w:p w14:paraId="03951B7C" w14:textId="77777777" w:rsidR="00D21C22" w:rsidRDefault="00D21C2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07501"/>
      <w:docPartObj>
        <w:docPartGallery w:val="Page Numbers (Bottom of Page)"/>
        <w:docPartUnique/>
      </w:docPartObj>
    </w:sdtPr>
    <w:sdtEndPr/>
    <w:sdtContent>
      <w:p w14:paraId="79C48380" w14:textId="42FF5E8E" w:rsidR="00D21C22" w:rsidRDefault="00D21C22">
        <w:pPr>
          <w:pStyle w:val="Voettekst"/>
          <w:jc w:val="right"/>
        </w:pPr>
        <w:r>
          <w:fldChar w:fldCharType="begin"/>
        </w:r>
        <w:r>
          <w:instrText>PAGE   \* MERGEFORMAT</w:instrText>
        </w:r>
        <w:r>
          <w:fldChar w:fldCharType="separate"/>
        </w:r>
        <w:r w:rsidRPr="002008B3">
          <w:rPr>
            <w:noProof/>
            <w:lang w:val="nl-NL"/>
          </w:rPr>
          <w:t>51</w:t>
        </w:r>
        <w:r>
          <w:fldChar w:fldCharType="end"/>
        </w:r>
      </w:p>
    </w:sdtContent>
  </w:sdt>
  <w:p w14:paraId="02F5C110" w14:textId="77777777" w:rsidR="00D21C22" w:rsidRDefault="00D21C2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429264"/>
      <w:docPartObj>
        <w:docPartGallery w:val="Page Numbers (Bottom of Page)"/>
        <w:docPartUnique/>
      </w:docPartObj>
    </w:sdtPr>
    <w:sdtEndPr/>
    <w:sdtContent>
      <w:p w14:paraId="3587C5FB" w14:textId="69550ED8" w:rsidR="00D21C22" w:rsidRDefault="00D21C22">
        <w:pPr>
          <w:pStyle w:val="Voettekst"/>
          <w:jc w:val="right"/>
        </w:pPr>
        <w:r>
          <w:fldChar w:fldCharType="begin"/>
        </w:r>
        <w:r>
          <w:instrText>PAGE   \* MERGEFORMAT</w:instrText>
        </w:r>
        <w:r>
          <w:fldChar w:fldCharType="separate"/>
        </w:r>
        <w:r w:rsidRPr="002008B3">
          <w:rPr>
            <w:noProof/>
            <w:lang w:val="nl-NL"/>
          </w:rPr>
          <w:t>55</w:t>
        </w:r>
        <w:r>
          <w:fldChar w:fldCharType="end"/>
        </w:r>
      </w:p>
    </w:sdtContent>
  </w:sdt>
  <w:p w14:paraId="34C2F943" w14:textId="77777777" w:rsidR="00D21C22" w:rsidRDefault="00D21C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753D5" w14:textId="77777777" w:rsidR="00E90F5A" w:rsidRDefault="00E90F5A">
      <w:pPr>
        <w:spacing w:after="0" w:line="240" w:lineRule="auto"/>
      </w:pPr>
      <w:r>
        <w:separator/>
      </w:r>
    </w:p>
  </w:footnote>
  <w:footnote w:type="continuationSeparator" w:id="0">
    <w:p w14:paraId="7D60AC86" w14:textId="77777777" w:rsidR="00E90F5A" w:rsidRDefault="00E9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E807" w14:textId="43D09B08" w:rsidR="00D21C22" w:rsidRDefault="00D21C22">
    <w:pPr>
      <w:pStyle w:val="Koptekst"/>
    </w:pPr>
    <w:r w:rsidRPr="008F671F">
      <w:rPr>
        <w:rFonts w:ascii="Verdana" w:eastAsia="Times New Roman" w:hAnsi="Verdana" w:cs="Times New Roman"/>
        <w:noProof/>
        <w:sz w:val="20"/>
        <w:szCs w:val="24"/>
        <w:lang w:val="en-GB" w:eastAsia="en-GB"/>
      </w:rPr>
      <w:drawing>
        <wp:anchor distT="0" distB="0" distL="114300" distR="114300" simplePos="0" relativeHeight="251659264" behindDoc="0" locked="0" layoutInCell="1" allowOverlap="1" wp14:anchorId="18A52E5E" wp14:editId="34D85501">
          <wp:simplePos x="0" y="0"/>
          <wp:positionH relativeFrom="margin">
            <wp:align>left</wp:align>
          </wp:positionH>
          <wp:positionV relativeFrom="paragraph">
            <wp:posOffset>82550</wp:posOffset>
          </wp:positionV>
          <wp:extent cx="2042280" cy="718920"/>
          <wp:effectExtent l="0" t="0" r="0" b="508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2280" cy="718920"/>
                  </a:xfrm>
                  <a:prstGeom prst="rect">
                    <a:avLst/>
                  </a:prstGeom>
                </pic:spPr>
              </pic:pic>
            </a:graphicData>
          </a:graphic>
          <wp14:sizeRelH relativeFrom="page">
            <wp14:pctWidth>0</wp14:pctWidth>
          </wp14:sizeRelH>
          <wp14:sizeRelV relativeFrom="page">
            <wp14:pctHeight>0</wp14:pctHeight>
          </wp14:sizeRelV>
        </wp:anchor>
      </w:drawing>
    </w:r>
    <w:r w:rsidRPr="0097173B">
      <w:rPr>
        <w:rFonts w:ascii="Verdana" w:eastAsia="Times New Roman" w:hAnsi="Verdana" w:cs="Times New Roman"/>
        <w:noProof/>
        <w:sz w:val="20"/>
        <w:szCs w:val="24"/>
        <w:lang w:val="en-GB" w:eastAsia="en-GB"/>
      </w:rPr>
      <mc:AlternateContent>
        <mc:Choice Requires="wps">
          <w:drawing>
            <wp:anchor distT="0" distB="0" distL="114300" distR="114300" simplePos="0" relativeHeight="251661312" behindDoc="0" locked="1" layoutInCell="1" allowOverlap="1" wp14:anchorId="364C03D2" wp14:editId="0407A1D9">
              <wp:simplePos x="0" y="0"/>
              <wp:positionH relativeFrom="rightMargin">
                <wp:align>left</wp:align>
              </wp:positionH>
              <wp:positionV relativeFrom="page">
                <wp:posOffset>419100</wp:posOffset>
              </wp:positionV>
              <wp:extent cx="358775" cy="996315"/>
              <wp:effectExtent l="19050" t="0" r="22225" b="51435"/>
              <wp:wrapSquare wrapText="bothSides"/>
              <wp:docPr id="3"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12741A0" id="_x0000_t6" coordsize="21600,21600" o:spt="6" path="m,l,21600r21600,xe">
              <v:stroke joinstyle="miter"/>
              <v:path gradientshapeok="t" o:connecttype="custom" o:connectlocs="0,0;0,10800;0,21600;10800,21600;21600,21600;10800,10800" textboxrect="1800,12600,12600,19800"/>
            </v:shapetype>
            <v:shape id="Rechthoekige driehoek 3" o:spid="_x0000_s1026" type="#_x0000_t6" style="position:absolute;margin-left:0;margin-top:33pt;width:28.25pt;height:78.45pt;flip:x y;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3ufAIAABYFAAAOAAAAZHJzL2Uyb0RvYy54bWysVEtPGzEQvlfqf7B8LxuISCBigyJQ2koI&#10;okLLeeL17lr1q2MnG/rrO/ZuIJQeqqp7sGY878/f7MXlzmi2lRiUsyU/PhpxJq1wlbJNyb8+LD+c&#10;cRYi2Aq0s7LkTzLwy/n7dxedn8kT1zpdSWSUxIZZ50vexuhnRRFEKw2EI+elJWPt0EAkFZuiQugo&#10;u9HFyWg0KTqHlUcnZAh0e90b+Tznr2sp4l1dBxmZLjn1FvOJ+Vyns5hfwKxB8K0SQxvwD10YUJaK&#10;Pqe6hghsg+pNKqMEuuDqeCScKVxdKyHzDDTN8ei3ae5b8DLPQuAE/wxT+H9pxe12hUxVJR9zZsHQ&#10;E32Roo2tk99VI1mFSiaZjRNUnQ8zirj3Kxy0QGKae1ejYbVW/hOxgGfpW5KSjaZkuwz50zPkcheZ&#10;oMvx6dl0esqZINP5+WR8fJrqFH3CFOwxxI/SGZaEkmN8QAW20QkXmMH2JsQ+YO+YroPTqloqrbOC&#10;zfpKI9sCcWC5nExG+dmpxis3bVlHHZ9MycwEEBdrDZFE4wmdYBvOQDdEchEx134VHf6uSGryGkLb&#10;N5Mz9BQ0KtIeaGVKfjZK3wCDtmkEmZk8jJoeoYc9SWtXPdELouupHbxYKipyAyGuAInLNA3tZ7yj&#10;o9aORnSDxFnr8Oef7pM/UYysnHW0GzT+jw2g5Ex/tkS+KW1eWqZDBQ+V9aFiN+bKEfREC+ouixSM&#10;Ue/FGp15pDVepKpkAiuodg/0oFzFfmfpRyDkYpHdaIE8xBt778WeaQneh90joB/oEolnt26/R2/4&#10;0vsmhK1bbKKrVSbTC65ExaTQ8mVSDj+KtN2HevZ6+Z3NfwEAAP//AwBQSwMEFAAGAAgAAAAhAMFW&#10;k53bAAAABgEAAA8AAABkcnMvZG93bnJldi54bWxMj81KxEAQhO+C7zC04M2dOLDBxHSWRRBE8GAU&#10;vXYyvUnWzA+Z2Wx8e8eTnpqiiqqvq91qJrHwHEZnEW43GQi2ndOj7RHe3x5v7kCESFbT5CwjfHOA&#10;XX15UVGp3dm+8tLEXqQSG0pCGGL0pZShG9hQ2DjPNnkHNxuKSc691DOdU7mZpMqyXBoabVoYyPPD&#10;wN1XczIIRVD77PmpIb9obj/dy0fhjwbx+mrd34OIvMa/MPziJ3SoE1PrTlYHMSGkRyJCnqeb3G2+&#10;BdEiKKUKkHUl/+PXPwAAAP//AwBQSwECLQAUAAYACAAAACEAtoM4kv4AAADhAQAAEwAAAAAAAAAA&#10;AAAAAAAAAAAAW0NvbnRlbnRfVHlwZXNdLnhtbFBLAQItABQABgAIAAAAIQA4/SH/1gAAAJQBAAAL&#10;AAAAAAAAAAAAAAAAAC8BAABfcmVscy8ucmVsc1BLAQItABQABgAIAAAAIQAYMo3ufAIAABYFAAAO&#10;AAAAAAAAAAAAAAAAAC4CAABkcnMvZTJvRG9jLnhtbFBLAQItABQABgAIAAAAIQDBVpOd2wAAAAYB&#10;AAAPAAAAAAAAAAAAAAAAANYEAABkcnMvZG93bnJldi54bWxQSwUGAAAAAAQABADzAAAA3gUAAAAA&#10;" fillcolor="#f60" strokecolor="#f60" strokeweight="1pt">
              <v:textbox inset="2mm,2mm,2mm,2mm"/>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884C" w14:textId="77777777" w:rsidR="00D21C22" w:rsidRDefault="00D21C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CAE"/>
    <w:multiLevelType w:val="hybridMultilevel"/>
    <w:tmpl w:val="5C0497E8"/>
    <w:lvl w:ilvl="0" w:tplc="068CA4C4">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6E1EF0"/>
    <w:multiLevelType w:val="hybridMultilevel"/>
    <w:tmpl w:val="CA1C529E"/>
    <w:lvl w:ilvl="0" w:tplc="C3ECC46A">
      <w:start w:val="2"/>
      <w:numFmt w:val="bullet"/>
      <w:lvlText w:val="-"/>
      <w:lvlJc w:val="left"/>
      <w:pPr>
        <w:ind w:left="284" w:hanging="142"/>
      </w:pPr>
      <w:rPr>
        <w:rFonts w:ascii="Calibri" w:eastAsiaTheme="minorHAns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333278"/>
    <w:multiLevelType w:val="hybridMultilevel"/>
    <w:tmpl w:val="528A0AFA"/>
    <w:lvl w:ilvl="0" w:tplc="7874573E">
      <w:start w:val="20"/>
      <w:numFmt w:val="bullet"/>
      <w:lvlText w:val="-"/>
      <w:lvlJc w:val="left"/>
      <w:pPr>
        <w:ind w:left="284" w:hanging="142"/>
      </w:pPr>
      <w:rPr>
        <w:rFonts w:ascii="Calibri" w:eastAsiaTheme="minorHAns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ED61D1"/>
    <w:multiLevelType w:val="hybridMultilevel"/>
    <w:tmpl w:val="871CB810"/>
    <w:lvl w:ilvl="0" w:tplc="714E4420">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B14C1DD0">
      <w:start w:val="5"/>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EF76E9"/>
    <w:multiLevelType w:val="multilevel"/>
    <w:tmpl w:val="1B38AB64"/>
    <w:lvl w:ilvl="0">
      <w:start w:val="3"/>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5" w15:restartNumberingAfterBreak="0">
    <w:nsid w:val="32A1765E"/>
    <w:multiLevelType w:val="hybridMultilevel"/>
    <w:tmpl w:val="614AE2A2"/>
    <w:lvl w:ilvl="0" w:tplc="7F16CC76">
      <w:start w:val="1"/>
      <w:numFmt w:val="decimal"/>
      <w:lvlText w:val="%1."/>
      <w:lvlJc w:val="left"/>
      <w:pPr>
        <w:ind w:left="71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E043547"/>
    <w:multiLevelType w:val="hybridMultilevel"/>
    <w:tmpl w:val="6802B1A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75A5E9A"/>
    <w:multiLevelType w:val="multilevel"/>
    <w:tmpl w:val="4888D7F6"/>
    <w:lvl w:ilvl="0">
      <w:start w:val="1"/>
      <w:numFmt w:val="decimal"/>
      <w:lvlText w:val="%1."/>
      <w:lvlJc w:val="left"/>
      <w:pPr>
        <w:ind w:left="643" w:hanging="360"/>
      </w:pPr>
      <w:rPr>
        <w:rFonts w:hint="default"/>
      </w:rPr>
    </w:lvl>
    <w:lvl w:ilvl="1">
      <w:start w:val="1"/>
      <w:numFmt w:val="decimal"/>
      <w:isLgl/>
      <w:lvlText w:val="%1.%2"/>
      <w:lvlJc w:val="left"/>
      <w:pPr>
        <w:ind w:left="2770" w:hanging="36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8" w15:restartNumberingAfterBreak="0">
    <w:nsid w:val="5F6579A7"/>
    <w:multiLevelType w:val="hybridMultilevel"/>
    <w:tmpl w:val="8AD0E6A8"/>
    <w:lvl w:ilvl="0" w:tplc="714E4420">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4294AEB"/>
    <w:multiLevelType w:val="hybridMultilevel"/>
    <w:tmpl w:val="3D066544"/>
    <w:lvl w:ilvl="0" w:tplc="FC060A88">
      <w:start w:val="20"/>
      <w:numFmt w:val="bullet"/>
      <w:lvlText w:val="-"/>
      <w:lvlJc w:val="left"/>
      <w:pPr>
        <w:ind w:left="284" w:hanging="142"/>
      </w:pPr>
      <w:rPr>
        <w:rFonts w:ascii="Calibri" w:eastAsiaTheme="minorHAns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B9A4E0D"/>
    <w:multiLevelType w:val="multilevel"/>
    <w:tmpl w:val="1B38AB64"/>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1" w15:restartNumberingAfterBreak="0">
    <w:nsid w:val="6FB70286"/>
    <w:multiLevelType w:val="hybridMultilevel"/>
    <w:tmpl w:val="23249D46"/>
    <w:lvl w:ilvl="0" w:tplc="E1BA4558">
      <w:numFmt w:val="bullet"/>
      <w:lvlText w:val="-"/>
      <w:lvlJc w:val="left"/>
      <w:pPr>
        <w:ind w:left="720" w:hanging="360"/>
      </w:pPr>
      <w:rPr>
        <w:rFonts w:ascii="Calibri" w:eastAsiaTheme="minorHAnsi" w:hAnsi="Calibri" w:cs="Calibri"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0C16B46"/>
    <w:multiLevelType w:val="multilevel"/>
    <w:tmpl w:val="624C5962"/>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8"/>
  </w:num>
  <w:num w:numId="2">
    <w:abstractNumId w:val="11"/>
  </w:num>
  <w:num w:numId="3">
    <w:abstractNumId w:val="7"/>
  </w:num>
  <w:num w:numId="4">
    <w:abstractNumId w:val="6"/>
  </w:num>
  <w:num w:numId="5">
    <w:abstractNumId w:val="3"/>
  </w:num>
  <w:num w:numId="6">
    <w:abstractNumId w:val="0"/>
  </w:num>
  <w:num w:numId="7">
    <w:abstractNumId w:val="12"/>
  </w:num>
  <w:num w:numId="8">
    <w:abstractNumId w:val="10"/>
  </w:num>
  <w:num w:numId="9">
    <w:abstractNumId w:val="4"/>
  </w:num>
  <w:num w:numId="10">
    <w:abstractNumId w:val="5"/>
  </w:num>
  <w:num w:numId="11">
    <w:abstractNumId w:val="2"/>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47"/>
    <w:rsid w:val="000114F9"/>
    <w:rsid w:val="00012003"/>
    <w:rsid w:val="00013F8C"/>
    <w:rsid w:val="00023EA9"/>
    <w:rsid w:val="00026AE4"/>
    <w:rsid w:val="0003016D"/>
    <w:rsid w:val="00030E7C"/>
    <w:rsid w:val="0003492B"/>
    <w:rsid w:val="00034C0F"/>
    <w:rsid w:val="00035401"/>
    <w:rsid w:val="00036FC0"/>
    <w:rsid w:val="00043EF3"/>
    <w:rsid w:val="00044AD6"/>
    <w:rsid w:val="000460CE"/>
    <w:rsid w:val="00046137"/>
    <w:rsid w:val="000473C0"/>
    <w:rsid w:val="00050F7E"/>
    <w:rsid w:val="00051527"/>
    <w:rsid w:val="000575B5"/>
    <w:rsid w:val="000610BD"/>
    <w:rsid w:val="00063D69"/>
    <w:rsid w:val="00065DA6"/>
    <w:rsid w:val="0006627B"/>
    <w:rsid w:val="00074D3D"/>
    <w:rsid w:val="00075014"/>
    <w:rsid w:val="0007683B"/>
    <w:rsid w:val="0008325E"/>
    <w:rsid w:val="0008406D"/>
    <w:rsid w:val="00092913"/>
    <w:rsid w:val="000953E7"/>
    <w:rsid w:val="000A5031"/>
    <w:rsid w:val="000B0833"/>
    <w:rsid w:val="000B2129"/>
    <w:rsid w:val="000B3BEF"/>
    <w:rsid w:val="000B3C6C"/>
    <w:rsid w:val="000B4EDC"/>
    <w:rsid w:val="000C3569"/>
    <w:rsid w:val="000C3B37"/>
    <w:rsid w:val="000C3DA1"/>
    <w:rsid w:val="000D0F4F"/>
    <w:rsid w:val="000E1937"/>
    <w:rsid w:val="000E1D2A"/>
    <w:rsid w:val="000E255D"/>
    <w:rsid w:val="000E5880"/>
    <w:rsid w:val="000E67FE"/>
    <w:rsid w:val="000F702E"/>
    <w:rsid w:val="000F7111"/>
    <w:rsid w:val="00104C24"/>
    <w:rsid w:val="00107090"/>
    <w:rsid w:val="0011295C"/>
    <w:rsid w:val="00114BFB"/>
    <w:rsid w:val="0011687F"/>
    <w:rsid w:val="001169DC"/>
    <w:rsid w:val="00121CBD"/>
    <w:rsid w:val="00121F32"/>
    <w:rsid w:val="00122173"/>
    <w:rsid w:val="001258DA"/>
    <w:rsid w:val="00126414"/>
    <w:rsid w:val="00126813"/>
    <w:rsid w:val="0013087A"/>
    <w:rsid w:val="00133349"/>
    <w:rsid w:val="00143C80"/>
    <w:rsid w:val="0014445D"/>
    <w:rsid w:val="00144A92"/>
    <w:rsid w:val="001452F1"/>
    <w:rsid w:val="00145E7A"/>
    <w:rsid w:val="00155B18"/>
    <w:rsid w:val="00155BF1"/>
    <w:rsid w:val="0016059F"/>
    <w:rsid w:val="00163DAC"/>
    <w:rsid w:val="00171903"/>
    <w:rsid w:val="00171929"/>
    <w:rsid w:val="00175B98"/>
    <w:rsid w:val="00181D50"/>
    <w:rsid w:val="001952CD"/>
    <w:rsid w:val="00195D20"/>
    <w:rsid w:val="001A1834"/>
    <w:rsid w:val="001A2577"/>
    <w:rsid w:val="001A3CDD"/>
    <w:rsid w:val="001B324E"/>
    <w:rsid w:val="001B423A"/>
    <w:rsid w:val="001C0065"/>
    <w:rsid w:val="001C2E03"/>
    <w:rsid w:val="001C4C8B"/>
    <w:rsid w:val="001D0191"/>
    <w:rsid w:val="001D63E1"/>
    <w:rsid w:val="001D79E3"/>
    <w:rsid w:val="001E2AA0"/>
    <w:rsid w:val="001E2EEA"/>
    <w:rsid w:val="001E3EB4"/>
    <w:rsid w:val="001E6B71"/>
    <w:rsid w:val="001F0BC2"/>
    <w:rsid w:val="001F5720"/>
    <w:rsid w:val="002008B3"/>
    <w:rsid w:val="002074A0"/>
    <w:rsid w:val="00210A36"/>
    <w:rsid w:val="00214E16"/>
    <w:rsid w:val="00215137"/>
    <w:rsid w:val="00221977"/>
    <w:rsid w:val="00221F87"/>
    <w:rsid w:val="00223F6D"/>
    <w:rsid w:val="00224DE7"/>
    <w:rsid w:val="002350A8"/>
    <w:rsid w:val="0023773B"/>
    <w:rsid w:val="0024078B"/>
    <w:rsid w:val="00244166"/>
    <w:rsid w:val="0025042E"/>
    <w:rsid w:val="002507C8"/>
    <w:rsid w:val="00257BEC"/>
    <w:rsid w:val="0026319F"/>
    <w:rsid w:val="00265757"/>
    <w:rsid w:val="00265A7D"/>
    <w:rsid w:val="00272563"/>
    <w:rsid w:val="00274DED"/>
    <w:rsid w:val="00275F76"/>
    <w:rsid w:val="00286925"/>
    <w:rsid w:val="00290F91"/>
    <w:rsid w:val="002915DD"/>
    <w:rsid w:val="00292823"/>
    <w:rsid w:val="00295827"/>
    <w:rsid w:val="00296185"/>
    <w:rsid w:val="00296378"/>
    <w:rsid w:val="002A1AF1"/>
    <w:rsid w:val="002A23F1"/>
    <w:rsid w:val="002A285D"/>
    <w:rsid w:val="002A7D5A"/>
    <w:rsid w:val="002B7951"/>
    <w:rsid w:val="002C1574"/>
    <w:rsid w:val="002D12F1"/>
    <w:rsid w:val="002D4BC5"/>
    <w:rsid w:val="002E3FD9"/>
    <w:rsid w:val="002F3772"/>
    <w:rsid w:val="00301863"/>
    <w:rsid w:val="00301C54"/>
    <w:rsid w:val="00302D98"/>
    <w:rsid w:val="00310678"/>
    <w:rsid w:val="00311773"/>
    <w:rsid w:val="00320F44"/>
    <w:rsid w:val="00321E83"/>
    <w:rsid w:val="00324175"/>
    <w:rsid w:val="003267F0"/>
    <w:rsid w:val="00332239"/>
    <w:rsid w:val="00332F2E"/>
    <w:rsid w:val="00337F62"/>
    <w:rsid w:val="0034179C"/>
    <w:rsid w:val="003421E8"/>
    <w:rsid w:val="00342839"/>
    <w:rsid w:val="003605E5"/>
    <w:rsid w:val="00362F9B"/>
    <w:rsid w:val="00364D35"/>
    <w:rsid w:val="00366FF5"/>
    <w:rsid w:val="003756F3"/>
    <w:rsid w:val="00375901"/>
    <w:rsid w:val="0038599C"/>
    <w:rsid w:val="003904A3"/>
    <w:rsid w:val="0039154A"/>
    <w:rsid w:val="003943D9"/>
    <w:rsid w:val="00395C41"/>
    <w:rsid w:val="003A18C1"/>
    <w:rsid w:val="003A2B39"/>
    <w:rsid w:val="003A7331"/>
    <w:rsid w:val="003B72F7"/>
    <w:rsid w:val="003C2AC8"/>
    <w:rsid w:val="003C4902"/>
    <w:rsid w:val="003C6597"/>
    <w:rsid w:val="003D23B6"/>
    <w:rsid w:val="003D25CE"/>
    <w:rsid w:val="003D3075"/>
    <w:rsid w:val="003D5642"/>
    <w:rsid w:val="003D64D5"/>
    <w:rsid w:val="003E36D9"/>
    <w:rsid w:val="003E5834"/>
    <w:rsid w:val="003F6E13"/>
    <w:rsid w:val="00401026"/>
    <w:rsid w:val="00410D6E"/>
    <w:rsid w:val="00410FEC"/>
    <w:rsid w:val="00416079"/>
    <w:rsid w:val="004226ED"/>
    <w:rsid w:val="00424012"/>
    <w:rsid w:val="00424C9D"/>
    <w:rsid w:val="00427922"/>
    <w:rsid w:val="00430237"/>
    <w:rsid w:val="004318C7"/>
    <w:rsid w:val="0043353F"/>
    <w:rsid w:val="00434D5C"/>
    <w:rsid w:val="00436704"/>
    <w:rsid w:val="004414E5"/>
    <w:rsid w:val="004416A2"/>
    <w:rsid w:val="00442591"/>
    <w:rsid w:val="004472AA"/>
    <w:rsid w:val="00447FE0"/>
    <w:rsid w:val="004515A5"/>
    <w:rsid w:val="00454268"/>
    <w:rsid w:val="004551DC"/>
    <w:rsid w:val="0045579F"/>
    <w:rsid w:val="00455D66"/>
    <w:rsid w:val="00457BAF"/>
    <w:rsid w:val="004600FB"/>
    <w:rsid w:val="004608F7"/>
    <w:rsid w:val="00463CCF"/>
    <w:rsid w:val="004677A9"/>
    <w:rsid w:val="004744CC"/>
    <w:rsid w:val="0047553E"/>
    <w:rsid w:val="00480697"/>
    <w:rsid w:val="00480785"/>
    <w:rsid w:val="0048106C"/>
    <w:rsid w:val="00481295"/>
    <w:rsid w:val="004812EA"/>
    <w:rsid w:val="004813F3"/>
    <w:rsid w:val="00486502"/>
    <w:rsid w:val="00492A64"/>
    <w:rsid w:val="00492E57"/>
    <w:rsid w:val="004967B2"/>
    <w:rsid w:val="004978AF"/>
    <w:rsid w:val="004A2C3A"/>
    <w:rsid w:val="004A6E16"/>
    <w:rsid w:val="004B0FF2"/>
    <w:rsid w:val="004B11DE"/>
    <w:rsid w:val="004B3A70"/>
    <w:rsid w:val="004B5A02"/>
    <w:rsid w:val="004B6EE2"/>
    <w:rsid w:val="004B7D21"/>
    <w:rsid w:val="004C0CF0"/>
    <w:rsid w:val="004C183B"/>
    <w:rsid w:val="004C274F"/>
    <w:rsid w:val="004C73A6"/>
    <w:rsid w:val="004C7CF8"/>
    <w:rsid w:val="004D3C74"/>
    <w:rsid w:val="004D4C0F"/>
    <w:rsid w:val="004D628F"/>
    <w:rsid w:val="004E1858"/>
    <w:rsid w:val="004E31E5"/>
    <w:rsid w:val="004E3A9B"/>
    <w:rsid w:val="004E3AE9"/>
    <w:rsid w:val="004E4346"/>
    <w:rsid w:val="004E6714"/>
    <w:rsid w:val="00500A92"/>
    <w:rsid w:val="00500C90"/>
    <w:rsid w:val="00504FFC"/>
    <w:rsid w:val="0051075A"/>
    <w:rsid w:val="00510DDE"/>
    <w:rsid w:val="00517605"/>
    <w:rsid w:val="00520238"/>
    <w:rsid w:val="00525172"/>
    <w:rsid w:val="005262AF"/>
    <w:rsid w:val="00540A95"/>
    <w:rsid w:val="00545712"/>
    <w:rsid w:val="00551BB6"/>
    <w:rsid w:val="00552257"/>
    <w:rsid w:val="00556510"/>
    <w:rsid w:val="00563508"/>
    <w:rsid w:val="00563BC5"/>
    <w:rsid w:val="005647FD"/>
    <w:rsid w:val="00566FBB"/>
    <w:rsid w:val="00570966"/>
    <w:rsid w:val="00571000"/>
    <w:rsid w:val="0057187E"/>
    <w:rsid w:val="005724DF"/>
    <w:rsid w:val="005769F3"/>
    <w:rsid w:val="00581D1E"/>
    <w:rsid w:val="00582136"/>
    <w:rsid w:val="005828C1"/>
    <w:rsid w:val="00584924"/>
    <w:rsid w:val="00590419"/>
    <w:rsid w:val="0059262B"/>
    <w:rsid w:val="00593278"/>
    <w:rsid w:val="005946BB"/>
    <w:rsid w:val="00595941"/>
    <w:rsid w:val="00595C15"/>
    <w:rsid w:val="00595C51"/>
    <w:rsid w:val="00595E15"/>
    <w:rsid w:val="005A0493"/>
    <w:rsid w:val="005A10B2"/>
    <w:rsid w:val="005A38A2"/>
    <w:rsid w:val="005B24D0"/>
    <w:rsid w:val="005B7696"/>
    <w:rsid w:val="005D3237"/>
    <w:rsid w:val="005D3CC5"/>
    <w:rsid w:val="005D4BD8"/>
    <w:rsid w:val="005D5FAB"/>
    <w:rsid w:val="005D75C8"/>
    <w:rsid w:val="005E38A1"/>
    <w:rsid w:val="005F5A7D"/>
    <w:rsid w:val="005F7112"/>
    <w:rsid w:val="006147D8"/>
    <w:rsid w:val="00616427"/>
    <w:rsid w:val="0061777C"/>
    <w:rsid w:val="006211C9"/>
    <w:rsid w:val="006258AF"/>
    <w:rsid w:val="006264C3"/>
    <w:rsid w:val="00630360"/>
    <w:rsid w:val="00632860"/>
    <w:rsid w:val="00632FBF"/>
    <w:rsid w:val="00633008"/>
    <w:rsid w:val="006345F3"/>
    <w:rsid w:val="00634CE0"/>
    <w:rsid w:val="0063541E"/>
    <w:rsid w:val="00643BA6"/>
    <w:rsid w:val="00645D72"/>
    <w:rsid w:val="00647720"/>
    <w:rsid w:val="00647A91"/>
    <w:rsid w:val="006547E6"/>
    <w:rsid w:val="006568D6"/>
    <w:rsid w:val="00662FE1"/>
    <w:rsid w:val="00663D61"/>
    <w:rsid w:val="00666A1E"/>
    <w:rsid w:val="006720F5"/>
    <w:rsid w:val="006730F3"/>
    <w:rsid w:val="00675776"/>
    <w:rsid w:val="00675FD8"/>
    <w:rsid w:val="00676D57"/>
    <w:rsid w:val="00682FB8"/>
    <w:rsid w:val="006834A8"/>
    <w:rsid w:val="006920C2"/>
    <w:rsid w:val="006954CA"/>
    <w:rsid w:val="006A112B"/>
    <w:rsid w:val="006A52F5"/>
    <w:rsid w:val="006A5E25"/>
    <w:rsid w:val="006A63D9"/>
    <w:rsid w:val="006B0178"/>
    <w:rsid w:val="006B2264"/>
    <w:rsid w:val="006B5801"/>
    <w:rsid w:val="006B792C"/>
    <w:rsid w:val="006C0A29"/>
    <w:rsid w:val="006C0F4C"/>
    <w:rsid w:val="006C1CD1"/>
    <w:rsid w:val="006C3269"/>
    <w:rsid w:val="006D251B"/>
    <w:rsid w:val="006E0437"/>
    <w:rsid w:val="006E52B4"/>
    <w:rsid w:val="006F41AA"/>
    <w:rsid w:val="006F5CA3"/>
    <w:rsid w:val="006F72D0"/>
    <w:rsid w:val="006F7D9B"/>
    <w:rsid w:val="007013BD"/>
    <w:rsid w:val="007031CB"/>
    <w:rsid w:val="0070593A"/>
    <w:rsid w:val="00706013"/>
    <w:rsid w:val="007107B6"/>
    <w:rsid w:val="00712247"/>
    <w:rsid w:val="0071776A"/>
    <w:rsid w:val="007235E0"/>
    <w:rsid w:val="00725B31"/>
    <w:rsid w:val="0073106F"/>
    <w:rsid w:val="00731802"/>
    <w:rsid w:val="00733E82"/>
    <w:rsid w:val="00735854"/>
    <w:rsid w:val="00740F87"/>
    <w:rsid w:val="007418E1"/>
    <w:rsid w:val="00743B2D"/>
    <w:rsid w:val="00751698"/>
    <w:rsid w:val="00753E47"/>
    <w:rsid w:val="00754EDE"/>
    <w:rsid w:val="00755456"/>
    <w:rsid w:val="00762922"/>
    <w:rsid w:val="007646D1"/>
    <w:rsid w:val="00765C5F"/>
    <w:rsid w:val="00774FA3"/>
    <w:rsid w:val="007750BB"/>
    <w:rsid w:val="00775247"/>
    <w:rsid w:val="00782D8A"/>
    <w:rsid w:val="00790263"/>
    <w:rsid w:val="007919E0"/>
    <w:rsid w:val="007928CE"/>
    <w:rsid w:val="00794D59"/>
    <w:rsid w:val="007A61A4"/>
    <w:rsid w:val="007A6850"/>
    <w:rsid w:val="007A6D85"/>
    <w:rsid w:val="007B08E4"/>
    <w:rsid w:val="007B12A8"/>
    <w:rsid w:val="007B219C"/>
    <w:rsid w:val="007B21C6"/>
    <w:rsid w:val="007B33E1"/>
    <w:rsid w:val="007B365C"/>
    <w:rsid w:val="007B4F9D"/>
    <w:rsid w:val="007C018D"/>
    <w:rsid w:val="007C66D6"/>
    <w:rsid w:val="007C6979"/>
    <w:rsid w:val="007C742C"/>
    <w:rsid w:val="007D05AA"/>
    <w:rsid w:val="007D4C44"/>
    <w:rsid w:val="007D797A"/>
    <w:rsid w:val="007E3111"/>
    <w:rsid w:val="007F0BD1"/>
    <w:rsid w:val="007F1C00"/>
    <w:rsid w:val="00800C84"/>
    <w:rsid w:val="00805D3C"/>
    <w:rsid w:val="00806D4D"/>
    <w:rsid w:val="00810852"/>
    <w:rsid w:val="008134CD"/>
    <w:rsid w:val="008164B1"/>
    <w:rsid w:val="0082303A"/>
    <w:rsid w:val="0082460F"/>
    <w:rsid w:val="008249FF"/>
    <w:rsid w:val="008272AD"/>
    <w:rsid w:val="00830310"/>
    <w:rsid w:val="00840064"/>
    <w:rsid w:val="00840D90"/>
    <w:rsid w:val="00844DC1"/>
    <w:rsid w:val="008466AE"/>
    <w:rsid w:val="00847FB9"/>
    <w:rsid w:val="00864A1A"/>
    <w:rsid w:val="00881BC6"/>
    <w:rsid w:val="00892342"/>
    <w:rsid w:val="008931E1"/>
    <w:rsid w:val="008B2EB7"/>
    <w:rsid w:val="008C35B2"/>
    <w:rsid w:val="008D256B"/>
    <w:rsid w:val="008D3F0F"/>
    <w:rsid w:val="008D6432"/>
    <w:rsid w:val="008E07D9"/>
    <w:rsid w:val="008E57B3"/>
    <w:rsid w:val="008F176E"/>
    <w:rsid w:val="008F3CB0"/>
    <w:rsid w:val="008F4F39"/>
    <w:rsid w:val="008F57AD"/>
    <w:rsid w:val="008F671F"/>
    <w:rsid w:val="008F7391"/>
    <w:rsid w:val="00903DF8"/>
    <w:rsid w:val="00913E7C"/>
    <w:rsid w:val="0091408E"/>
    <w:rsid w:val="00915F2C"/>
    <w:rsid w:val="009170A2"/>
    <w:rsid w:val="00917640"/>
    <w:rsid w:val="009267F2"/>
    <w:rsid w:val="00926933"/>
    <w:rsid w:val="00932A49"/>
    <w:rsid w:val="00937A50"/>
    <w:rsid w:val="00944717"/>
    <w:rsid w:val="009468F7"/>
    <w:rsid w:val="00952A1E"/>
    <w:rsid w:val="00953827"/>
    <w:rsid w:val="00960708"/>
    <w:rsid w:val="0096238E"/>
    <w:rsid w:val="009644D4"/>
    <w:rsid w:val="00964605"/>
    <w:rsid w:val="00964E60"/>
    <w:rsid w:val="00966AAB"/>
    <w:rsid w:val="00967A52"/>
    <w:rsid w:val="0097173B"/>
    <w:rsid w:val="0097192F"/>
    <w:rsid w:val="00972E53"/>
    <w:rsid w:val="00974B4E"/>
    <w:rsid w:val="009760ED"/>
    <w:rsid w:val="009767B7"/>
    <w:rsid w:val="009769CD"/>
    <w:rsid w:val="009832F6"/>
    <w:rsid w:val="00984031"/>
    <w:rsid w:val="00985C14"/>
    <w:rsid w:val="00992B63"/>
    <w:rsid w:val="009966FF"/>
    <w:rsid w:val="009A47D8"/>
    <w:rsid w:val="009B0AA9"/>
    <w:rsid w:val="009B0C0E"/>
    <w:rsid w:val="009B3CE8"/>
    <w:rsid w:val="009C044A"/>
    <w:rsid w:val="009C12A9"/>
    <w:rsid w:val="009C1D08"/>
    <w:rsid w:val="009C2FE0"/>
    <w:rsid w:val="009C4F76"/>
    <w:rsid w:val="009D0514"/>
    <w:rsid w:val="009D26D8"/>
    <w:rsid w:val="009D2723"/>
    <w:rsid w:val="009D310B"/>
    <w:rsid w:val="009D7E6D"/>
    <w:rsid w:val="009E3AC8"/>
    <w:rsid w:val="009E424B"/>
    <w:rsid w:val="009E4C32"/>
    <w:rsid w:val="009E74A2"/>
    <w:rsid w:val="009F04A0"/>
    <w:rsid w:val="009F451A"/>
    <w:rsid w:val="009F63B0"/>
    <w:rsid w:val="009F6648"/>
    <w:rsid w:val="00A02B71"/>
    <w:rsid w:val="00A0484F"/>
    <w:rsid w:val="00A103B9"/>
    <w:rsid w:val="00A1363B"/>
    <w:rsid w:val="00A13CE9"/>
    <w:rsid w:val="00A1445D"/>
    <w:rsid w:val="00A17844"/>
    <w:rsid w:val="00A2184F"/>
    <w:rsid w:val="00A2200B"/>
    <w:rsid w:val="00A27523"/>
    <w:rsid w:val="00A37428"/>
    <w:rsid w:val="00A40338"/>
    <w:rsid w:val="00A535D6"/>
    <w:rsid w:val="00A5394C"/>
    <w:rsid w:val="00A53AC4"/>
    <w:rsid w:val="00A56C71"/>
    <w:rsid w:val="00A606B8"/>
    <w:rsid w:val="00A64949"/>
    <w:rsid w:val="00A66312"/>
    <w:rsid w:val="00A67A46"/>
    <w:rsid w:val="00A76D4B"/>
    <w:rsid w:val="00A837DE"/>
    <w:rsid w:val="00A84A63"/>
    <w:rsid w:val="00A86DE4"/>
    <w:rsid w:val="00A87247"/>
    <w:rsid w:val="00A9561E"/>
    <w:rsid w:val="00AA01EE"/>
    <w:rsid w:val="00AA3F99"/>
    <w:rsid w:val="00AA6FE7"/>
    <w:rsid w:val="00AB1220"/>
    <w:rsid w:val="00AB1EEB"/>
    <w:rsid w:val="00AC036D"/>
    <w:rsid w:val="00AC074B"/>
    <w:rsid w:val="00AC5CDC"/>
    <w:rsid w:val="00AC7AF6"/>
    <w:rsid w:val="00AD0815"/>
    <w:rsid w:val="00AD0D90"/>
    <w:rsid w:val="00AD0E09"/>
    <w:rsid w:val="00AD4B29"/>
    <w:rsid w:val="00AE2419"/>
    <w:rsid w:val="00AE3ABE"/>
    <w:rsid w:val="00AE7A89"/>
    <w:rsid w:val="00AF000D"/>
    <w:rsid w:val="00AF1925"/>
    <w:rsid w:val="00AF3AA7"/>
    <w:rsid w:val="00B201A2"/>
    <w:rsid w:val="00B25FC9"/>
    <w:rsid w:val="00B2736B"/>
    <w:rsid w:val="00B27C24"/>
    <w:rsid w:val="00B323B1"/>
    <w:rsid w:val="00B344BA"/>
    <w:rsid w:val="00B364C9"/>
    <w:rsid w:val="00B41AC0"/>
    <w:rsid w:val="00B4275C"/>
    <w:rsid w:val="00B44220"/>
    <w:rsid w:val="00B44CE8"/>
    <w:rsid w:val="00B45381"/>
    <w:rsid w:val="00B4566E"/>
    <w:rsid w:val="00B533BC"/>
    <w:rsid w:val="00B55A8F"/>
    <w:rsid w:val="00B57D7F"/>
    <w:rsid w:val="00B61B7B"/>
    <w:rsid w:val="00B66F27"/>
    <w:rsid w:val="00B67698"/>
    <w:rsid w:val="00B70AF6"/>
    <w:rsid w:val="00B75090"/>
    <w:rsid w:val="00B775D9"/>
    <w:rsid w:val="00B776D3"/>
    <w:rsid w:val="00B83C92"/>
    <w:rsid w:val="00B86098"/>
    <w:rsid w:val="00B9132B"/>
    <w:rsid w:val="00B9302E"/>
    <w:rsid w:val="00B95F19"/>
    <w:rsid w:val="00B96F93"/>
    <w:rsid w:val="00B978D0"/>
    <w:rsid w:val="00B97F8F"/>
    <w:rsid w:val="00BA487B"/>
    <w:rsid w:val="00BA5FE9"/>
    <w:rsid w:val="00BA74AC"/>
    <w:rsid w:val="00BA787B"/>
    <w:rsid w:val="00BB16D5"/>
    <w:rsid w:val="00BB2EE1"/>
    <w:rsid w:val="00BB341C"/>
    <w:rsid w:val="00BB713E"/>
    <w:rsid w:val="00BC2323"/>
    <w:rsid w:val="00BC4279"/>
    <w:rsid w:val="00BC580F"/>
    <w:rsid w:val="00BC7017"/>
    <w:rsid w:val="00BD2896"/>
    <w:rsid w:val="00BD31F8"/>
    <w:rsid w:val="00BD5A09"/>
    <w:rsid w:val="00BE085F"/>
    <w:rsid w:val="00BE1C8C"/>
    <w:rsid w:val="00BE3057"/>
    <w:rsid w:val="00BF55D1"/>
    <w:rsid w:val="00BF6E06"/>
    <w:rsid w:val="00BF6FED"/>
    <w:rsid w:val="00C0080D"/>
    <w:rsid w:val="00C02AE3"/>
    <w:rsid w:val="00C05687"/>
    <w:rsid w:val="00C05AC5"/>
    <w:rsid w:val="00C115BF"/>
    <w:rsid w:val="00C14333"/>
    <w:rsid w:val="00C173E4"/>
    <w:rsid w:val="00C20AD2"/>
    <w:rsid w:val="00C22A2E"/>
    <w:rsid w:val="00C235A2"/>
    <w:rsid w:val="00C252A2"/>
    <w:rsid w:val="00C2564F"/>
    <w:rsid w:val="00C27A37"/>
    <w:rsid w:val="00C33EA6"/>
    <w:rsid w:val="00C41F9F"/>
    <w:rsid w:val="00C4520C"/>
    <w:rsid w:val="00C46461"/>
    <w:rsid w:val="00C466AC"/>
    <w:rsid w:val="00C516CA"/>
    <w:rsid w:val="00C5359A"/>
    <w:rsid w:val="00C64FB1"/>
    <w:rsid w:val="00C723A2"/>
    <w:rsid w:val="00C76886"/>
    <w:rsid w:val="00C808A8"/>
    <w:rsid w:val="00C82402"/>
    <w:rsid w:val="00C931D8"/>
    <w:rsid w:val="00C93931"/>
    <w:rsid w:val="00C96666"/>
    <w:rsid w:val="00C97C3B"/>
    <w:rsid w:val="00CA22FD"/>
    <w:rsid w:val="00CA5AAE"/>
    <w:rsid w:val="00CA6569"/>
    <w:rsid w:val="00CA69FB"/>
    <w:rsid w:val="00CB05D8"/>
    <w:rsid w:val="00CB155F"/>
    <w:rsid w:val="00CB1FED"/>
    <w:rsid w:val="00CB71EB"/>
    <w:rsid w:val="00CC22BC"/>
    <w:rsid w:val="00CC36DC"/>
    <w:rsid w:val="00CC3A06"/>
    <w:rsid w:val="00CC4845"/>
    <w:rsid w:val="00CC6FA2"/>
    <w:rsid w:val="00CC7174"/>
    <w:rsid w:val="00CD36DE"/>
    <w:rsid w:val="00CD7075"/>
    <w:rsid w:val="00CE1927"/>
    <w:rsid w:val="00CE347C"/>
    <w:rsid w:val="00CE4C03"/>
    <w:rsid w:val="00CE743C"/>
    <w:rsid w:val="00CF0150"/>
    <w:rsid w:val="00CF2456"/>
    <w:rsid w:val="00CF283D"/>
    <w:rsid w:val="00CF69F8"/>
    <w:rsid w:val="00CF7CC5"/>
    <w:rsid w:val="00CF7F89"/>
    <w:rsid w:val="00D016C9"/>
    <w:rsid w:val="00D064FF"/>
    <w:rsid w:val="00D07944"/>
    <w:rsid w:val="00D07A0A"/>
    <w:rsid w:val="00D13C0F"/>
    <w:rsid w:val="00D169E5"/>
    <w:rsid w:val="00D172BA"/>
    <w:rsid w:val="00D17B8B"/>
    <w:rsid w:val="00D20735"/>
    <w:rsid w:val="00D21C22"/>
    <w:rsid w:val="00D226C5"/>
    <w:rsid w:val="00D278D4"/>
    <w:rsid w:val="00D31726"/>
    <w:rsid w:val="00D325FB"/>
    <w:rsid w:val="00D33D3C"/>
    <w:rsid w:val="00D4171B"/>
    <w:rsid w:val="00D41889"/>
    <w:rsid w:val="00D42CE0"/>
    <w:rsid w:val="00D43CF6"/>
    <w:rsid w:val="00D4564F"/>
    <w:rsid w:val="00D4610D"/>
    <w:rsid w:val="00D472DE"/>
    <w:rsid w:val="00D478D5"/>
    <w:rsid w:val="00D47D39"/>
    <w:rsid w:val="00D5288D"/>
    <w:rsid w:val="00D5507A"/>
    <w:rsid w:val="00D56C75"/>
    <w:rsid w:val="00D62FEB"/>
    <w:rsid w:val="00D71EEF"/>
    <w:rsid w:val="00D75D27"/>
    <w:rsid w:val="00D7749A"/>
    <w:rsid w:val="00D7781A"/>
    <w:rsid w:val="00D77BF4"/>
    <w:rsid w:val="00D84152"/>
    <w:rsid w:val="00D8660C"/>
    <w:rsid w:val="00D90F8B"/>
    <w:rsid w:val="00D94694"/>
    <w:rsid w:val="00D94D96"/>
    <w:rsid w:val="00D96807"/>
    <w:rsid w:val="00DA089F"/>
    <w:rsid w:val="00DA2BE6"/>
    <w:rsid w:val="00DA3EE1"/>
    <w:rsid w:val="00DA4FD8"/>
    <w:rsid w:val="00DA6760"/>
    <w:rsid w:val="00DB766B"/>
    <w:rsid w:val="00DC0B4A"/>
    <w:rsid w:val="00DC0EF1"/>
    <w:rsid w:val="00DC173A"/>
    <w:rsid w:val="00DC5DD0"/>
    <w:rsid w:val="00DC7FE7"/>
    <w:rsid w:val="00DD0388"/>
    <w:rsid w:val="00DD10C7"/>
    <w:rsid w:val="00DE0C9D"/>
    <w:rsid w:val="00DE375F"/>
    <w:rsid w:val="00DE7C1D"/>
    <w:rsid w:val="00DF1697"/>
    <w:rsid w:val="00DF604A"/>
    <w:rsid w:val="00DF799F"/>
    <w:rsid w:val="00E02EC5"/>
    <w:rsid w:val="00E02F1B"/>
    <w:rsid w:val="00E07E8E"/>
    <w:rsid w:val="00E11500"/>
    <w:rsid w:val="00E13918"/>
    <w:rsid w:val="00E13AC9"/>
    <w:rsid w:val="00E22A53"/>
    <w:rsid w:val="00E22BA8"/>
    <w:rsid w:val="00E23E8A"/>
    <w:rsid w:val="00E25859"/>
    <w:rsid w:val="00E25F14"/>
    <w:rsid w:val="00E32023"/>
    <w:rsid w:val="00E32C60"/>
    <w:rsid w:val="00E34D58"/>
    <w:rsid w:val="00E37430"/>
    <w:rsid w:val="00E4123F"/>
    <w:rsid w:val="00E428B6"/>
    <w:rsid w:val="00E45D1D"/>
    <w:rsid w:val="00E471FE"/>
    <w:rsid w:val="00E47439"/>
    <w:rsid w:val="00E509BF"/>
    <w:rsid w:val="00E50CB2"/>
    <w:rsid w:val="00E54421"/>
    <w:rsid w:val="00E54DB6"/>
    <w:rsid w:val="00E57E62"/>
    <w:rsid w:val="00E60832"/>
    <w:rsid w:val="00E61C2F"/>
    <w:rsid w:val="00E67E14"/>
    <w:rsid w:val="00E71589"/>
    <w:rsid w:val="00E766C2"/>
    <w:rsid w:val="00E832CA"/>
    <w:rsid w:val="00E83820"/>
    <w:rsid w:val="00E8445A"/>
    <w:rsid w:val="00E90F5A"/>
    <w:rsid w:val="00E9115D"/>
    <w:rsid w:val="00E91BDD"/>
    <w:rsid w:val="00E92A40"/>
    <w:rsid w:val="00EA517F"/>
    <w:rsid w:val="00EB05B3"/>
    <w:rsid w:val="00EB2264"/>
    <w:rsid w:val="00EB4C57"/>
    <w:rsid w:val="00EC1EE5"/>
    <w:rsid w:val="00EC3219"/>
    <w:rsid w:val="00ED4547"/>
    <w:rsid w:val="00ED5FC0"/>
    <w:rsid w:val="00F035A3"/>
    <w:rsid w:val="00F03EAB"/>
    <w:rsid w:val="00F0468B"/>
    <w:rsid w:val="00F04F3F"/>
    <w:rsid w:val="00F06883"/>
    <w:rsid w:val="00F06A3D"/>
    <w:rsid w:val="00F07338"/>
    <w:rsid w:val="00F0776A"/>
    <w:rsid w:val="00F13667"/>
    <w:rsid w:val="00F13F61"/>
    <w:rsid w:val="00F21972"/>
    <w:rsid w:val="00F26B65"/>
    <w:rsid w:val="00F3471D"/>
    <w:rsid w:val="00F36B11"/>
    <w:rsid w:val="00F37FC8"/>
    <w:rsid w:val="00F4291F"/>
    <w:rsid w:val="00F43C45"/>
    <w:rsid w:val="00F4563C"/>
    <w:rsid w:val="00F51608"/>
    <w:rsid w:val="00F516A9"/>
    <w:rsid w:val="00F52A32"/>
    <w:rsid w:val="00F55FD9"/>
    <w:rsid w:val="00F61421"/>
    <w:rsid w:val="00F620E5"/>
    <w:rsid w:val="00F64B74"/>
    <w:rsid w:val="00F71D2A"/>
    <w:rsid w:val="00F74C50"/>
    <w:rsid w:val="00F75CD3"/>
    <w:rsid w:val="00F77006"/>
    <w:rsid w:val="00F868FD"/>
    <w:rsid w:val="00FB429B"/>
    <w:rsid w:val="00FB44F8"/>
    <w:rsid w:val="00FC06CC"/>
    <w:rsid w:val="00FC1C6F"/>
    <w:rsid w:val="00FC2144"/>
    <w:rsid w:val="00FC6DBB"/>
    <w:rsid w:val="00FD3165"/>
    <w:rsid w:val="00FD3729"/>
    <w:rsid w:val="00FD6394"/>
    <w:rsid w:val="00FD7352"/>
    <w:rsid w:val="00FE0052"/>
    <w:rsid w:val="00FE13DA"/>
    <w:rsid w:val="00FE2408"/>
    <w:rsid w:val="00FE5E69"/>
    <w:rsid w:val="00FF2769"/>
    <w:rsid w:val="00FF42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E2F0"/>
  <w15:docId w15:val="{CFF5DED6-3796-4CC6-971D-C78ECF08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247"/>
  </w:style>
  <w:style w:type="paragraph" w:styleId="Kop1">
    <w:name w:val="heading 1"/>
    <w:basedOn w:val="Standaard"/>
    <w:next w:val="Standaard"/>
    <w:link w:val="Kop1Char"/>
    <w:uiPriority w:val="9"/>
    <w:qFormat/>
    <w:rsid w:val="00B364C9"/>
    <w:pPr>
      <w:keepNext/>
      <w:keepLines/>
      <w:spacing w:before="240" w:after="0"/>
      <w:outlineLvl w:val="0"/>
    </w:pPr>
    <w:rPr>
      <w:rFonts w:asciiTheme="majorHAnsi" w:eastAsiaTheme="majorEastAsia" w:hAnsiTheme="majorHAnsi" w:cstheme="majorBidi"/>
      <w:sz w:val="26"/>
      <w:szCs w:val="32"/>
      <w:u w:val="single"/>
    </w:rPr>
  </w:style>
  <w:style w:type="paragraph" w:styleId="Kop2">
    <w:name w:val="heading 2"/>
    <w:basedOn w:val="Standaard"/>
    <w:next w:val="Standaard"/>
    <w:link w:val="Kop2Char"/>
    <w:uiPriority w:val="9"/>
    <w:unhideWhenUsed/>
    <w:qFormat/>
    <w:rsid w:val="006834A8"/>
    <w:pPr>
      <w:keepNext/>
      <w:keepLines/>
      <w:spacing w:before="40" w:after="0"/>
      <w:outlineLvl w:val="1"/>
    </w:pPr>
    <w:rPr>
      <w:rFonts w:asciiTheme="majorHAnsi" w:eastAsiaTheme="majorEastAsia" w:hAnsiTheme="majorHAnsi" w:cstheme="majorBidi"/>
      <w:b/>
      <w:color w:val="000000" w:themeColor="text1"/>
      <w:szCs w:val="26"/>
      <w:u w:val="single"/>
    </w:rPr>
  </w:style>
  <w:style w:type="paragraph" w:styleId="Kop3">
    <w:name w:val="heading 3"/>
    <w:basedOn w:val="Standaard"/>
    <w:next w:val="Standaard"/>
    <w:link w:val="Kop3Char"/>
    <w:uiPriority w:val="9"/>
    <w:unhideWhenUsed/>
    <w:qFormat/>
    <w:rsid w:val="007235E0"/>
    <w:pPr>
      <w:keepNext/>
      <w:keepLines/>
      <w:spacing w:before="40" w:after="0"/>
      <w:ind w:left="1416"/>
      <w:outlineLvl w:val="2"/>
    </w:pPr>
    <w:rPr>
      <w:rFonts w:asciiTheme="majorHAnsi" w:eastAsiaTheme="majorEastAsia" w:hAnsiTheme="majorHAnsi" w:cstheme="majorBidi"/>
      <w:color w:val="000000" w:themeColor="text1"/>
      <w:sz w:val="24"/>
      <w:szCs w:val="24"/>
    </w:rPr>
  </w:style>
  <w:style w:type="paragraph" w:styleId="Kop4">
    <w:name w:val="heading 4"/>
    <w:basedOn w:val="Standaard"/>
    <w:next w:val="Standaard"/>
    <w:link w:val="Kop4Char"/>
    <w:uiPriority w:val="9"/>
    <w:unhideWhenUsed/>
    <w:qFormat/>
    <w:rsid w:val="007235E0"/>
    <w:pPr>
      <w:keepNext/>
      <w:keepLines/>
      <w:spacing w:before="40" w:after="0"/>
      <w:ind w:left="2124"/>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
    <w:name w:val="EndNote Bibliography"/>
    <w:basedOn w:val="Standaard"/>
    <w:link w:val="EndNoteBibliographyChar"/>
    <w:rsid w:val="00712247"/>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712247"/>
    <w:rPr>
      <w:rFonts w:ascii="Calibri" w:hAnsi="Calibri" w:cs="Calibri"/>
      <w:noProof/>
      <w:lang w:val="en-US"/>
    </w:rPr>
  </w:style>
  <w:style w:type="table" w:styleId="Tabelraster">
    <w:name w:val="Table Grid"/>
    <w:basedOn w:val="Standaardtabel"/>
    <w:uiPriority w:val="39"/>
    <w:rsid w:val="0071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122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2247"/>
  </w:style>
  <w:style w:type="paragraph" w:styleId="Ballontekst">
    <w:name w:val="Balloon Text"/>
    <w:basedOn w:val="Standaard"/>
    <w:link w:val="BallontekstChar"/>
    <w:uiPriority w:val="99"/>
    <w:semiHidden/>
    <w:unhideWhenUsed/>
    <w:rsid w:val="007122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247"/>
    <w:rPr>
      <w:rFonts w:ascii="Segoe UI" w:hAnsi="Segoe UI" w:cs="Segoe UI"/>
      <w:sz w:val="18"/>
      <w:szCs w:val="18"/>
    </w:rPr>
  </w:style>
  <w:style w:type="paragraph" w:styleId="Lijstalinea">
    <w:name w:val="List Paragraph"/>
    <w:basedOn w:val="Standaard"/>
    <w:uiPriority w:val="34"/>
    <w:qFormat/>
    <w:rsid w:val="00712247"/>
    <w:pPr>
      <w:ind w:left="720"/>
      <w:contextualSpacing/>
    </w:pPr>
  </w:style>
  <w:style w:type="paragraph" w:styleId="Koptekst">
    <w:name w:val="header"/>
    <w:basedOn w:val="Standaard"/>
    <w:link w:val="KoptekstChar"/>
    <w:uiPriority w:val="99"/>
    <w:unhideWhenUsed/>
    <w:rsid w:val="00332F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2F2E"/>
  </w:style>
  <w:style w:type="table" w:customStyle="1" w:styleId="Tablestyle">
    <w:name w:val="Table style"/>
    <w:basedOn w:val="Standaardtabel"/>
    <w:rsid w:val="00A1445D"/>
    <w:pPr>
      <w:spacing w:after="0" w:line="240" w:lineRule="auto"/>
    </w:pPr>
    <w:rPr>
      <w:rFonts w:ascii="Times New Roman" w:eastAsia="Times New Roman" w:hAnsi="Times New Roman" w:cs="Times New Roman"/>
      <w:sz w:val="20"/>
      <w:szCs w:val="20"/>
      <w:lang w:val="nl-NL" w:eastAsia="nl-NL"/>
    </w:rPr>
    <w:tblPr>
      <w:tblCellMar>
        <w:left w:w="0" w:type="dxa"/>
        <w:right w:w="0" w:type="dxa"/>
      </w:tblCellMar>
    </w:tblPr>
  </w:style>
  <w:style w:type="character" w:customStyle="1" w:styleId="Kop1Char">
    <w:name w:val="Kop 1 Char"/>
    <w:basedOn w:val="Standaardalinea-lettertype"/>
    <w:link w:val="Kop1"/>
    <w:uiPriority w:val="9"/>
    <w:rsid w:val="00B364C9"/>
    <w:rPr>
      <w:rFonts w:asciiTheme="majorHAnsi" w:eastAsiaTheme="majorEastAsia" w:hAnsiTheme="majorHAnsi" w:cstheme="majorBidi"/>
      <w:sz w:val="26"/>
      <w:szCs w:val="32"/>
      <w:u w:val="single"/>
    </w:rPr>
  </w:style>
  <w:style w:type="character" w:styleId="Verwijzingopmerking">
    <w:name w:val="annotation reference"/>
    <w:basedOn w:val="Standaardalinea-lettertype"/>
    <w:uiPriority w:val="99"/>
    <w:semiHidden/>
    <w:unhideWhenUsed/>
    <w:rsid w:val="00C2564F"/>
    <w:rPr>
      <w:sz w:val="16"/>
      <w:szCs w:val="16"/>
    </w:rPr>
  </w:style>
  <w:style w:type="paragraph" w:styleId="Tekstopmerking">
    <w:name w:val="annotation text"/>
    <w:basedOn w:val="Standaard"/>
    <w:link w:val="TekstopmerkingChar"/>
    <w:uiPriority w:val="99"/>
    <w:unhideWhenUsed/>
    <w:rsid w:val="00C2564F"/>
    <w:pPr>
      <w:spacing w:line="240" w:lineRule="auto"/>
    </w:pPr>
    <w:rPr>
      <w:sz w:val="20"/>
      <w:szCs w:val="20"/>
    </w:rPr>
  </w:style>
  <w:style w:type="character" w:customStyle="1" w:styleId="TekstopmerkingChar">
    <w:name w:val="Tekst opmerking Char"/>
    <w:basedOn w:val="Standaardalinea-lettertype"/>
    <w:link w:val="Tekstopmerking"/>
    <w:uiPriority w:val="99"/>
    <w:rsid w:val="00C2564F"/>
    <w:rPr>
      <w:sz w:val="20"/>
      <w:szCs w:val="20"/>
    </w:rPr>
  </w:style>
  <w:style w:type="character" w:customStyle="1" w:styleId="Kop2Char">
    <w:name w:val="Kop 2 Char"/>
    <w:basedOn w:val="Standaardalinea-lettertype"/>
    <w:link w:val="Kop2"/>
    <w:uiPriority w:val="9"/>
    <w:rsid w:val="006834A8"/>
    <w:rPr>
      <w:rFonts w:asciiTheme="majorHAnsi" w:eastAsiaTheme="majorEastAsia" w:hAnsiTheme="majorHAnsi" w:cstheme="majorBidi"/>
      <w:b/>
      <w:color w:val="000000" w:themeColor="text1"/>
      <w:szCs w:val="26"/>
      <w:u w:val="single"/>
    </w:rPr>
  </w:style>
  <w:style w:type="character" w:customStyle="1" w:styleId="Kop3Char">
    <w:name w:val="Kop 3 Char"/>
    <w:basedOn w:val="Standaardalinea-lettertype"/>
    <w:link w:val="Kop3"/>
    <w:uiPriority w:val="9"/>
    <w:rsid w:val="007235E0"/>
    <w:rPr>
      <w:rFonts w:asciiTheme="majorHAnsi" w:eastAsiaTheme="majorEastAsia" w:hAnsiTheme="majorHAnsi" w:cstheme="majorBidi"/>
      <w:color w:val="000000" w:themeColor="text1"/>
      <w:sz w:val="24"/>
      <w:szCs w:val="24"/>
    </w:rPr>
  </w:style>
  <w:style w:type="character" w:customStyle="1" w:styleId="Kop4Char">
    <w:name w:val="Kop 4 Char"/>
    <w:basedOn w:val="Standaardalinea-lettertype"/>
    <w:link w:val="Kop4"/>
    <w:uiPriority w:val="9"/>
    <w:rsid w:val="007235E0"/>
    <w:rPr>
      <w:rFonts w:asciiTheme="majorHAnsi" w:eastAsiaTheme="majorEastAsia" w:hAnsiTheme="majorHAnsi" w:cstheme="majorBidi"/>
      <w:i/>
      <w:iCs/>
    </w:rPr>
  </w:style>
  <w:style w:type="paragraph" w:styleId="Kopvaninhoudsopgave">
    <w:name w:val="TOC Heading"/>
    <w:basedOn w:val="Kop1"/>
    <w:next w:val="Standaard"/>
    <w:uiPriority w:val="39"/>
    <w:unhideWhenUsed/>
    <w:qFormat/>
    <w:rsid w:val="007235E0"/>
    <w:pPr>
      <w:outlineLvl w:val="9"/>
    </w:pPr>
    <w:rPr>
      <w:color w:val="2F5496" w:themeColor="accent1" w:themeShade="BF"/>
      <w:sz w:val="32"/>
      <w:u w:val="none"/>
      <w:lang w:eastAsia="nl-BE"/>
    </w:rPr>
  </w:style>
  <w:style w:type="paragraph" w:styleId="Inhopg1">
    <w:name w:val="toc 1"/>
    <w:basedOn w:val="Standaard"/>
    <w:next w:val="Standaard"/>
    <w:autoRedefine/>
    <w:uiPriority w:val="39"/>
    <w:unhideWhenUsed/>
    <w:rsid w:val="0059262B"/>
    <w:pPr>
      <w:tabs>
        <w:tab w:val="right" w:leader="dot" w:pos="9062"/>
      </w:tabs>
      <w:spacing w:after="100"/>
    </w:pPr>
    <w:rPr>
      <w:b/>
      <w:bCs/>
      <w:noProof/>
      <w:lang w:val="en-GB"/>
    </w:rPr>
  </w:style>
  <w:style w:type="paragraph" w:styleId="Inhopg2">
    <w:name w:val="toc 2"/>
    <w:basedOn w:val="Standaard"/>
    <w:next w:val="Standaard"/>
    <w:autoRedefine/>
    <w:uiPriority w:val="39"/>
    <w:unhideWhenUsed/>
    <w:rsid w:val="007235E0"/>
    <w:pPr>
      <w:spacing w:after="100"/>
      <w:ind w:left="220"/>
    </w:pPr>
  </w:style>
  <w:style w:type="paragraph" w:styleId="Inhopg3">
    <w:name w:val="toc 3"/>
    <w:basedOn w:val="Standaard"/>
    <w:next w:val="Standaard"/>
    <w:autoRedefine/>
    <w:uiPriority w:val="39"/>
    <w:unhideWhenUsed/>
    <w:rsid w:val="007235E0"/>
    <w:pPr>
      <w:spacing w:after="100"/>
      <w:ind w:left="440"/>
    </w:pPr>
  </w:style>
  <w:style w:type="character" w:styleId="Hyperlink">
    <w:name w:val="Hyperlink"/>
    <w:basedOn w:val="Standaardalinea-lettertype"/>
    <w:uiPriority w:val="99"/>
    <w:unhideWhenUsed/>
    <w:rsid w:val="007235E0"/>
    <w:rPr>
      <w:color w:val="0563C1" w:themeColor="hyperlink"/>
      <w:u w:val="single"/>
    </w:rPr>
  </w:style>
  <w:style w:type="character" w:customStyle="1" w:styleId="Onopgelostemelding1">
    <w:name w:val="Onopgeloste melding1"/>
    <w:basedOn w:val="Standaardalinea-lettertype"/>
    <w:uiPriority w:val="99"/>
    <w:semiHidden/>
    <w:unhideWhenUsed/>
    <w:rsid w:val="001258DA"/>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590419"/>
    <w:rPr>
      <w:b/>
      <w:bCs/>
    </w:rPr>
  </w:style>
  <w:style w:type="character" w:customStyle="1" w:styleId="OnderwerpvanopmerkingChar">
    <w:name w:val="Onderwerp van opmerking Char"/>
    <w:basedOn w:val="TekstopmerkingChar"/>
    <w:link w:val="Onderwerpvanopmerking"/>
    <w:uiPriority w:val="99"/>
    <w:semiHidden/>
    <w:rsid w:val="00590419"/>
    <w:rPr>
      <w:b/>
      <w:bCs/>
      <w:sz w:val="20"/>
      <w:szCs w:val="20"/>
    </w:rPr>
  </w:style>
  <w:style w:type="numbering" w:customStyle="1" w:styleId="Geenlijst1">
    <w:name w:val="Geen lijst1"/>
    <w:next w:val="Geenlijst"/>
    <w:uiPriority w:val="99"/>
    <w:semiHidden/>
    <w:unhideWhenUsed/>
    <w:rsid w:val="00540A95"/>
  </w:style>
  <w:style w:type="character" w:styleId="Zwaar">
    <w:name w:val="Strong"/>
    <w:basedOn w:val="Standaardalinea-lettertype"/>
    <w:uiPriority w:val="22"/>
    <w:qFormat/>
    <w:rsid w:val="00540A95"/>
    <w:rPr>
      <w:b/>
      <w:bCs/>
    </w:rPr>
  </w:style>
  <w:style w:type="character" w:styleId="Tekstvantijdelijkeaanduiding">
    <w:name w:val="Placeholder Text"/>
    <w:basedOn w:val="Standaardalinea-lettertype"/>
    <w:uiPriority w:val="99"/>
    <w:semiHidden/>
    <w:rsid w:val="00540A95"/>
    <w:rPr>
      <w:color w:val="808080"/>
    </w:rPr>
  </w:style>
  <w:style w:type="character" w:styleId="Onopgelostemelding">
    <w:name w:val="Unresolved Mention"/>
    <w:basedOn w:val="Standaardalinea-lettertype"/>
    <w:uiPriority w:val="99"/>
    <w:semiHidden/>
    <w:unhideWhenUsed/>
    <w:rsid w:val="001452F1"/>
    <w:rPr>
      <w:color w:val="605E5C"/>
      <w:shd w:val="clear" w:color="auto" w:fill="E1DFDD"/>
    </w:rPr>
  </w:style>
  <w:style w:type="character" w:styleId="GevolgdeHyperlink">
    <w:name w:val="FollowedHyperlink"/>
    <w:basedOn w:val="Standaardalinea-lettertype"/>
    <w:uiPriority w:val="99"/>
    <w:semiHidden/>
    <w:unhideWhenUsed/>
    <w:rsid w:val="00846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6309">
      <w:bodyDiv w:val="1"/>
      <w:marLeft w:val="0"/>
      <w:marRight w:val="0"/>
      <w:marTop w:val="0"/>
      <w:marBottom w:val="0"/>
      <w:divBdr>
        <w:top w:val="none" w:sz="0" w:space="0" w:color="auto"/>
        <w:left w:val="none" w:sz="0" w:space="0" w:color="auto"/>
        <w:bottom w:val="none" w:sz="0" w:space="0" w:color="auto"/>
        <w:right w:val="none" w:sz="0" w:space="0" w:color="auto"/>
      </w:divBdr>
    </w:div>
    <w:div w:id="327027640">
      <w:bodyDiv w:val="1"/>
      <w:marLeft w:val="0"/>
      <w:marRight w:val="0"/>
      <w:marTop w:val="0"/>
      <w:marBottom w:val="0"/>
      <w:divBdr>
        <w:top w:val="none" w:sz="0" w:space="0" w:color="auto"/>
        <w:left w:val="none" w:sz="0" w:space="0" w:color="auto"/>
        <w:bottom w:val="none" w:sz="0" w:space="0" w:color="auto"/>
        <w:right w:val="none" w:sz="0" w:space="0" w:color="auto"/>
      </w:divBdr>
    </w:div>
    <w:div w:id="425544196">
      <w:bodyDiv w:val="1"/>
      <w:marLeft w:val="0"/>
      <w:marRight w:val="0"/>
      <w:marTop w:val="0"/>
      <w:marBottom w:val="0"/>
      <w:divBdr>
        <w:top w:val="none" w:sz="0" w:space="0" w:color="auto"/>
        <w:left w:val="none" w:sz="0" w:space="0" w:color="auto"/>
        <w:bottom w:val="none" w:sz="0" w:space="0" w:color="auto"/>
        <w:right w:val="none" w:sz="0" w:space="0" w:color="auto"/>
      </w:divBdr>
    </w:div>
    <w:div w:id="1296065805">
      <w:bodyDiv w:val="1"/>
      <w:marLeft w:val="0"/>
      <w:marRight w:val="0"/>
      <w:marTop w:val="0"/>
      <w:marBottom w:val="0"/>
      <w:divBdr>
        <w:top w:val="none" w:sz="0" w:space="0" w:color="auto"/>
        <w:left w:val="none" w:sz="0" w:space="0" w:color="auto"/>
        <w:bottom w:val="none" w:sz="0" w:space="0" w:color="auto"/>
        <w:right w:val="none" w:sz="0" w:space="0" w:color="auto"/>
      </w:divBdr>
    </w:div>
    <w:div w:id="1661999988">
      <w:bodyDiv w:val="1"/>
      <w:marLeft w:val="0"/>
      <w:marRight w:val="0"/>
      <w:marTop w:val="0"/>
      <w:marBottom w:val="0"/>
      <w:divBdr>
        <w:top w:val="none" w:sz="0" w:space="0" w:color="auto"/>
        <w:left w:val="none" w:sz="0" w:space="0" w:color="auto"/>
        <w:bottom w:val="none" w:sz="0" w:space="0" w:color="auto"/>
        <w:right w:val="none" w:sz="0" w:space="0" w:color="auto"/>
      </w:divBdr>
    </w:div>
    <w:div w:id="18761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CAC60ABD36145ABDCD16EFBDF838E" ma:contentTypeVersion="13" ma:contentTypeDescription="Een nieuw document maken." ma:contentTypeScope="" ma:versionID="e55899bdfcbdae575092a9776000575a">
  <xsd:schema xmlns:xsd="http://www.w3.org/2001/XMLSchema" xmlns:xs="http://www.w3.org/2001/XMLSchema" xmlns:p="http://schemas.microsoft.com/office/2006/metadata/properties" xmlns:ns3="6f56c0e6-11e1-4c52-9bb4-ad90023fcbe7" xmlns:ns4="19d85331-88a5-4348-b7c5-32b285a78b1c" targetNamespace="http://schemas.microsoft.com/office/2006/metadata/properties" ma:root="true" ma:fieldsID="62419e2e84eefc36638dc3803172784c" ns3:_="" ns4:_="">
    <xsd:import namespace="6f56c0e6-11e1-4c52-9bb4-ad90023fcbe7"/>
    <xsd:import namespace="19d85331-88a5-4348-b7c5-32b285a78b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c0e6-11e1-4c52-9bb4-ad90023f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85331-88a5-4348-b7c5-32b285a78b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ADD21E-55BE-4A1B-A03A-F87A15DDA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c0e6-11e1-4c52-9bb4-ad90023fcbe7"/>
    <ds:schemaRef ds:uri="19d85331-88a5-4348-b7c5-32b285a78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B098E-1E1B-4435-9C62-F10F3074F8AD}">
  <ds:schemaRefs>
    <ds:schemaRef ds:uri="http://schemas.microsoft.com/sharepoint/v3/contenttype/forms"/>
  </ds:schemaRefs>
</ds:datastoreItem>
</file>

<file path=customXml/itemProps3.xml><?xml version="1.0" encoding="utf-8"?>
<ds:datastoreItem xmlns:ds="http://schemas.openxmlformats.org/officeDocument/2006/customXml" ds:itemID="{C2FC4531-0BCC-4F8A-95BD-D99C3F06FC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71F47-0581-4CD0-8A23-E7B9DD46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57</Pages>
  <Words>15963</Words>
  <Characters>87797</Characters>
  <Application>Microsoft Office Word</Application>
  <DocSecurity>0</DocSecurity>
  <Lines>731</Lines>
  <Paragraphs>207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Brussel</Company>
  <LinksUpToDate>false</LinksUpToDate>
  <CharactersWithSpaces>103553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florine janssens</dc:creator>
  <cp:lastModifiedBy>florine janssens</cp:lastModifiedBy>
  <cp:revision>12</cp:revision>
  <cp:lastPrinted>2021-05-09T16:56:00Z</cp:lastPrinted>
  <dcterms:created xsi:type="dcterms:W3CDTF">2021-05-06T18:29:00Z</dcterms:created>
  <dcterms:modified xsi:type="dcterms:W3CDTF">2021-10-01T15:09:00Z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0x01010036ACAC60ABD36145ABDCD16EFBDF838E</vt:lpwstr>
  </property>
</Properties>
</file>